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sz w:val="72"/>
          <w:szCs w:val="72"/>
        </w:rPr>
      </w:pPr>
      <w:bookmarkStart w:id="1" w:name="_Toc15377425"/>
      <w:bookmarkStart w:id="2" w:name="_Toc15377193"/>
      <w:bookmarkStart w:id="3" w:name="_Toc15396597"/>
      <w:bookmarkStart w:id="4" w:name="_Toc15396475"/>
      <w:bookmarkStart w:id="5" w:name="_Toc15378441"/>
      <w:r>
        <w:rPr>
          <w:rFonts w:hint="eastAsia" w:ascii="方正小标宋_GBK" w:hAnsi="方正小标宋_GBK" w:eastAsia="方正小标宋_GBK" w:cs="方正小标宋_GBK"/>
          <w:sz w:val="72"/>
          <w:szCs w:val="72"/>
        </w:rPr>
        <w:t>2022年度</w:t>
      </w:r>
      <w:bookmarkEnd w:id="1"/>
      <w:bookmarkEnd w:id="2"/>
      <w:bookmarkEnd w:id="3"/>
      <w:bookmarkEnd w:id="4"/>
      <w:bookmarkEnd w:id="5"/>
    </w:p>
    <w:p>
      <w:pPr>
        <w:adjustRightInd w:val="0"/>
        <w:snapToGrid w:val="0"/>
        <w:spacing w:line="360" w:lineRule="auto"/>
        <w:jc w:val="center"/>
        <w:outlineLvl w:val="0"/>
        <w:rPr>
          <w:rFonts w:hint="eastAsia" w:ascii="方正小标宋_GBK" w:hAnsi="方正小标宋_GBK" w:eastAsia="方正小标宋_GBK" w:cs="方正小标宋_GBK"/>
          <w:sz w:val="72"/>
          <w:szCs w:val="72"/>
        </w:rPr>
      </w:pPr>
      <w:bookmarkStart w:id="6" w:name="_Toc15396476"/>
      <w:bookmarkStart w:id="7" w:name="_Toc15396598"/>
      <w:bookmarkStart w:id="8" w:name="_Toc15378442"/>
      <w:bookmarkStart w:id="9" w:name="_Toc15377194"/>
      <w:bookmarkStart w:id="10" w:name="_Toc15377426"/>
      <w:r>
        <w:rPr>
          <w:rFonts w:hint="eastAsia" w:ascii="方正小标宋_GBK" w:hAnsi="方正小标宋_GBK" w:eastAsia="方正小标宋_GBK" w:cs="方正小标宋_GBK"/>
          <w:sz w:val="72"/>
          <w:szCs w:val="72"/>
        </w:rPr>
        <w:t>攀枝花市</w:t>
      </w:r>
      <w:bookmarkEnd w:id="0"/>
      <w:bookmarkStart w:id="11" w:name="_Toc15306268"/>
      <w:r>
        <w:rPr>
          <w:rFonts w:hint="eastAsia" w:ascii="方正小标宋_GBK" w:hAnsi="方正小标宋_GBK" w:eastAsia="方正小标宋_GBK" w:cs="方正小标宋_GBK"/>
          <w:sz w:val="72"/>
          <w:szCs w:val="72"/>
          <w:lang w:eastAsia="zh-CN"/>
        </w:rPr>
        <w:t>米易生态环境局</w:t>
      </w:r>
      <w:r>
        <w:rPr>
          <w:rFonts w:hint="eastAsia" w:ascii="方正小标宋_GBK" w:hAnsi="方正小标宋_GBK" w:eastAsia="方正小标宋_GBK" w:cs="方正小标宋_GBK"/>
          <w:sz w:val="72"/>
          <w:szCs w:val="72"/>
        </w:rPr>
        <w:t>单位决算</w:t>
      </w:r>
      <w:bookmarkEnd w:id="6"/>
      <w:bookmarkEnd w:id="7"/>
      <w:bookmarkEnd w:id="8"/>
      <w:bookmarkEnd w:id="9"/>
      <w:bookmarkEnd w:id="10"/>
      <w:bookmarkEnd w:id="11"/>
    </w:p>
    <w:p>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w:t>
      </w:r>
      <w:r>
        <w:t>12</w:t>
      </w:r>
      <w:r>
        <w:rPr>
          <w:rFonts w:hint="eastAsia"/>
        </w:rPr>
        <w:t>日</w:t>
      </w:r>
      <w:bookmarkStart w:id="70" w:name="_GoBack"/>
      <w:bookmarkEnd w:id="70"/>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1</w:t>
      </w:r>
    </w:p>
    <w:p>
      <w:pPr>
        <w:pStyle w:val="11"/>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r>
        <w:rPr>
          <w:rFonts w:hint="eastAsia" w:cstheme="minorBidi"/>
          <w:sz w:val="24"/>
          <w:lang w:val="en-US" w:eastAsia="zh-CN"/>
        </w:rPr>
        <w:t>1</w:t>
      </w:r>
    </w:p>
    <w:p>
      <w:pPr>
        <w:pStyle w:val="11"/>
        <w:adjustRightInd w:val="0"/>
        <w:snapToGrid w:val="0"/>
        <w:spacing w:line="440" w:lineRule="exact"/>
        <w:jc w:val="left"/>
      </w:pPr>
      <w:r>
        <w:rPr>
          <w:rFonts w:hint="eastAsia"/>
          <w:sz w:val="24"/>
        </w:rPr>
        <w:t>二、机构设置</w:t>
      </w:r>
      <w:r>
        <w:rPr>
          <w:rFonts w:cstheme="minorBidi"/>
          <w:sz w:val="24"/>
        </w:rPr>
        <w:tab/>
      </w:r>
      <w:r>
        <w:rPr>
          <w:rFonts w:hint="eastAsia" w:cstheme="minorBidi"/>
          <w:sz w:val="24"/>
          <w:lang w:val="en-US" w:eastAsia="zh-CN"/>
        </w:rPr>
        <w:t>4</w:t>
      </w:r>
    </w:p>
    <w:p>
      <w:pPr>
        <w:pStyle w:val="10"/>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rPr>
        <w:tab/>
      </w:r>
      <w:r>
        <w:rPr>
          <w:rFonts w:hint="eastAsia" w:cstheme="minorBidi"/>
          <w:sz w:val="24"/>
          <w:lang w:val="en-US" w:eastAsia="zh-CN"/>
        </w:rPr>
        <w:t>5</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lang w:val="en-US" w:eastAsia="zh-CN"/>
        </w:rPr>
        <w:t>5</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lang w:val="en-US" w:eastAsia="zh-CN"/>
        </w:rPr>
        <w:t>5</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lang w:val="en-US" w:eastAsia="zh-CN"/>
        </w:rPr>
        <w:t>7</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8</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lang w:val="en-US" w:eastAsia="zh-CN"/>
        </w:rPr>
        <w:t>9</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cstheme="minorBidi"/>
          <w:sz w:val="24"/>
        </w:rPr>
        <w:tab/>
      </w:r>
      <w:r>
        <w:rPr>
          <w:rFonts w:hint="eastAsia" w:cstheme="minorBidi"/>
          <w:sz w:val="24"/>
          <w:lang w:val="en-US" w:eastAsia="zh-CN"/>
        </w:rPr>
        <w:t>11</w:t>
      </w:r>
    </w:p>
    <w:p>
      <w:pPr>
        <w:pStyle w:val="11"/>
        <w:adjustRightInd w:val="0"/>
        <w:snapToGrid w:val="0"/>
        <w:spacing w:line="440" w:lineRule="exact"/>
        <w:jc w:val="left"/>
        <w:rPr>
          <w:rFonts w:hint="default"/>
          <w:sz w:val="24"/>
          <w:lang w:val="en-US"/>
        </w:rPr>
      </w:pPr>
      <w:r>
        <w:rPr>
          <w:rFonts w:hint="eastAsia"/>
          <w:sz w:val="24"/>
        </w:rPr>
        <w:t>九、国有资本经营预算支出决算情况说明</w:t>
      </w:r>
      <w:r>
        <w:rPr>
          <w:rFonts w:cstheme="minorBidi"/>
          <w:sz w:val="24"/>
        </w:rPr>
        <w:tab/>
      </w:r>
      <w:r>
        <w:rPr>
          <w:rFonts w:hint="eastAsia" w:cstheme="minorBidi"/>
          <w:sz w:val="24"/>
          <w:lang w:val="en-US" w:eastAsia="zh-CN"/>
        </w:rPr>
        <w:t>11</w:t>
      </w:r>
    </w:p>
    <w:p>
      <w:pPr>
        <w:pStyle w:val="11"/>
        <w:adjustRightInd w:val="0"/>
        <w:snapToGrid w:val="0"/>
        <w:spacing w:line="440" w:lineRule="exact"/>
        <w:jc w:val="left"/>
        <w:rPr>
          <w:rFonts w:hint="default"/>
          <w:sz w:val="24"/>
          <w:lang w:val="en-US"/>
        </w:rPr>
      </w:pPr>
      <w:r>
        <w:rPr>
          <w:rFonts w:hint="eastAsia"/>
          <w:sz w:val="24"/>
        </w:rPr>
        <w:t>十、其他重要事项的情况说明</w:t>
      </w:r>
      <w:r>
        <w:rPr>
          <w:rFonts w:cstheme="minorBidi"/>
          <w:sz w:val="24"/>
        </w:rPr>
        <w:tab/>
      </w:r>
      <w:r>
        <w:rPr>
          <w:rFonts w:hint="eastAsia" w:cstheme="minorBidi"/>
          <w:sz w:val="24"/>
          <w:lang w:val="en-US" w:eastAsia="zh-CN"/>
        </w:rPr>
        <w:t>11</w:t>
      </w:r>
    </w:p>
    <w:p>
      <w:pPr>
        <w:pStyle w:val="10"/>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12</w:t>
      </w:r>
    </w:p>
    <w:p>
      <w:pPr>
        <w:pStyle w:val="10"/>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13</w:t>
      </w:r>
    </w:p>
    <w:p>
      <w:pPr>
        <w:pStyle w:val="10"/>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rFonts w:hint="eastAsia"/>
          <w:sz w:val="24"/>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pStyle w:val="11"/>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lang w:val="en-US" w:eastAsia="zh-CN"/>
        </w:rPr>
        <w:t>14</w:t>
      </w:r>
    </w:p>
    <w:p>
      <w:pPr>
        <w:pStyle w:val="11"/>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hint="eastAsia" w:cstheme="minorBidi"/>
          <w:sz w:val="24"/>
          <w:lang w:val="en-US" w:eastAsia="zh-CN"/>
        </w:rPr>
        <w:t>14</w:t>
      </w:r>
    </w:p>
    <w:p>
      <w:pPr>
        <w:pStyle w:val="3"/>
        <w:jc w:val="center"/>
        <w:rPr>
          <w:rFonts w:hint="eastAsia" w:ascii="黑体" w:hAnsi="黑体" w:eastAsia="黑体"/>
          <w:b w:val="0"/>
        </w:rPr>
      </w:pPr>
      <w:bookmarkStart w:id="12" w:name="_Toc15377196"/>
      <w:bookmarkStart w:id="13" w:name="_Toc15396599"/>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pStyle w:val="4"/>
        <w:pageBreakBefore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lang w:eastAsia="zh-CN"/>
        </w:rPr>
        <w:t>一、</w:t>
      </w:r>
      <w:r>
        <w:rPr>
          <w:rStyle w:val="26"/>
          <w:rFonts w:hint="eastAsia" w:ascii="黑体" w:hAnsi="黑体" w:eastAsia="黑体"/>
          <w:b w:val="0"/>
          <w:bCs w:val="0"/>
        </w:rPr>
        <w:t>主要职责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ascii="仿宋_GB2312" w:hAnsi="仿宋_GB2312" w:eastAsia="仿宋_GB2312" w:cs="仿宋_GB2312"/>
          <w:i w:val="0"/>
          <w:caps w:val="0"/>
          <w:color w:val="333333"/>
          <w:spacing w:val="0"/>
          <w:sz w:val="32"/>
          <w:szCs w:val="32"/>
        </w:rPr>
        <w:t>（</w:t>
      </w:r>
      <w:r>
        <w:rPr>
          <w:rFonts w:hint="default" w:ascii="Times New Roman" w:hAnsi="Times New Roman" w:cs="Times New Roman"/>
          <w:i w:val="0"/>
          <w:caps w:val="0"/>
          <w:color w:val="333333"/>
          <w:spacing w:val="0"/>
          <w:sz w:val="32"/>
          <w:szCs w:val="32"/>
        </w:rPr>
        <w:t>1</w:t>
      </w:r>
      <w:r>
        <w:rPr>
          <w:rFonts w:hint="eastAsia" w:ascii="仿宋_GB2312" w:hAnsi="仿宋_GB2312" w:eastAsia="仿宋_GB2312" w:cs="仿宋_GB2312"/>
          <w:i w:val="0"/>
          <w:caps w:val="0"/>
          <w:color w:val="333333"/>
          <w:spacing w:val="0"/>
          <w:sz w:val="32"/>
          <w:szCs w:val="32"/>
        </w:rPr>
        <w:t>）负责建立健全并执行各项生态环境基本制度。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ascii="Times New Roman" w:hAnsi="Times New Roman" w:eastAsia="仿宋_GB2312" w:cs="Times New Roman"/>
          <w:i w:val="0"/>
          <w:caps w:val="0"/>
          <w:color w:val="333333"/>
          <w:spacing w:val="0"/>
          <w:sz w:val="32"/>
          <w:szCs w:val="32"/>
        </w:rPr>
        <w:t>2</w:t>
      </w:r>
      <w:r>
        <w:rPr>
          <w:rFonts w:hint="eastAsia" w:ascii="仿宋_GB2312" w:hAnsi="仿宋_GB2312" w:eastAsia="仿宋_GB2312" w:cs="仿宋_GB2312"/>
          <w:i w:val="0"/>
          <w:caps w:val="0"/>
          <w:color w:val="333333"/>
          <w:spacing w:val="0"/>
          <w:sz w:val="32"/>
          <w:szCs w:val="32"/>
        </w:rPr>
        <w:t>）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3</w:t>
      </w:r>
      <w:r>
        <w:rPr>
          <w:rFonts w:hint="eastAsia" w:ascii="仿宋_GB2312" w:hAnsi="仿宋_GB2312" w:eastAsia="仿宋_GB2312" w:cs="仿宋_GB2312"/>
          <w:i w:val="0"/>
          <w:caps w:val="0"/>
          <w:color w:val="333333"/>
          <w:spacing w:val="0"/>
          <w:sz w:val="32"/>
          <w:szCs w:val="32"/>
        </w:rPr>
        <w:t>）负责监督管理区域内减排目标的落实。组织实施区域内各类污染物排放总量控制和排污许可证制度，提出实施总量控制的污染物控制指标，督查、督办、核查污染物减排任务完成情况。实施生态环境目标责任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4</w:t>
      </w:r>
      <w:r>
        <w:rPr>
          <w:rFonts w:hint="eastAsia" w:ascii="仿宋_GB2312" w:hAnsi="仿宋_GB2312" w:eastAsia="仿宋_GB2312" w:cs="仿宋_GB2312"/>
          <w:i w:val="0"/>
          <w:caps w:val="0"/>
          <w:color w:val="333333"/>
          <w:spacing w:val="0"/>
          <w:sz w:val="32"/>
          <w:szCs w:val="32"/>
        </w:rPr>
        <w:t>）负责提出区域内生态环境领域财政专项资金安排的建议。参与指导推动区域内循环经济和生态环保产业发展。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5</w:t>
      </w:r>
      <w:r>
        <w:rPr>
          <w:rFonts w:hint="eastAsia" w:ascii="仿宋_GB2312" w:hAnsi="仿宋_GB2312" w:eastAsia="仿宋_GB2312" w:cs="仿宋_GB2312"/>
          <w:i w:val="0"/>
          <w:caps w:val="0"/>
          <w:color w:val="333333"/>
          <w:spacing w:val="0"/>
          <w:sz w:val="32"/>
          <w:szCs w:val="32"/>
        </w:rPr>
        <w:t>）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部门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6</w:t>
      </w:r>
      <w:r>
        <w:rPr>
          <w:rFonts w:hint="eastAsia" w:ascii="仿宋_GB2312" w:hAnsi="仿宋_GB2312" w:eastAsia="仿宋_GB2312" w:cs="仿宋_GB2312"/>
          <w:i w:val="0"/>
          <w:caps w:val="0"/>
          <w:color w:val="333333"/>
          <w:spacing w:val="0"/>
          <w:sz w:val="32"/>
          <w:szCs w:val="32"/>
        </w:rPr>
        <w:t>）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7</w:t>
      </w:r>
      <w:r>
        <w:rPr>
          <w:rFonts w:hint="eastAsia" w:ascii="仿宋_GB2312" w:hAnsi="仿宋_GB2312" w:eastAsia="仿宋_GB2312" w:cs="仿宋_GB2312"/>
          <w:i w:val="0"/>
          <w:caps w:val="0"/>
          <w:color w:val="333333"/>
          <w:spacing w:val="0"/>
          <w:sz w:val="32"/>
          <w:szCs w:val="32"/>
        </w:rPr>
        <w:t>）负责区域内核与辐射安全的监督管理。贯彻执行国家、省核与辐射安全法律、法规、规章、政策、规划和技术标准。负责辐射环境事故应急处理工作，参与核事故应急处理。监督管理放射源与射线装置安全，监督管理区域内核技术应用、电磁辐射、伴有放射性矿产资源开发利用中的污染防治。负责核与辐射建设项目</w:t>
      </w:r>
      <w:r>
        <w:rPr>
          <w:rFonts w:hint="default" w:ascii="Times New Roman" w:hAnsi="Times New Roman" w:cs="Times New Roman"/>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rPr>
        <w:t>三同时</w:t>
      </w:r>
      <w:r>
        <w:rPr>
          <w:rFonts w:hint="default" w:ascii="Times New Roman" w:hAnsi="Times New Roman" w:cs="Times New Roman"/>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rPr>
        <w:t>（同时设计、同时施工、同时投产使用）管理工作，参与对核材料的管制和民用核安全设备的设计、制造、安装和无损检验活动的监督管理。负责核与辐射环境监测和执法工作。参与反生化、核与辐射恐怖事件的防范和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8</w:t>
      </w:r>
      <w:r>
        <w:rPr>
          <w:rFonts w:hint="eastAsia" w:ascii="仿宋_GB2312" w:hAnsi="仿宋_GB2312" w:eastAsia="仿宋_GB2312" w:cs="仿宋_GB2312"/>
          <w:i w:val="0"/>
          <w:caps w:val="0"/>
          <w:color w:val="333333"/>
          <w:spacing w:val="0"/>
          <w:sz w:val="32"/>
          <w:szCs w:val="32"/>
        </w:rPr>
        <w:t>）负责区域内生态环境准入的监督管理。根据授权对建设项目环境影响评价文件进行审批，按规定审查开发建设区域、规划、项目环境影响评价文件。组织实施区域内生态环境准入清单。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9</w:t>
      </w:r>
      <w:r>
        <w:rPr>
          <w:rFonts w:hint="eastAsia" w:ascii="仿宋_GB2312" w:hAnsi="仿宋_GB2312" w:eastAsia="仿宋_GB2312" w:cs="仿宋_GB2312"/>
          <w:i w:val="0"/>
          <w:caps w:val="0"/>
          <w:color w:val="333333"/>
          <w:spacing w:val="0"/>
          <w:sz w:val="32"/>
          <w:szCs w:val="32"/>
        </w:rPr>
        <w:t>）负责应对气候变化工作。组织实施国家、省应对气候变化及温室气体减排重大战略、规划和政策，组织实施区域内应对气候变化的规划和政策措施。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10</w:t>
      </w:r>
      <w:r>
        <w:rPr>
          <w:rFonts w:hint="eastAsia" w:ascii="仿宋_GB2312" w:hAnsi="仿宋_GB2312" w:eastAsia="仿宋_GB2312" w:cs="仿宋_GB2312"/>
          <w:i w:val="0"/>
          <w:caps w:val="0"/>
          <w:color w:val="333333"/>
          <w:spacing w:val="0"/>
          <w:sz w:val="32"/>
          <w:szCs w:val="32"/>
        </w:rPr>
        <w:t>）组织开展中央、省环保督察反馈问题的整改。贯彻执行中央、省生态环境保护督察制度。督促协调产业园区、乡镇（街道）和区域内有关部门整改突出环境问题。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11</w:t>
      </w:r>
      <w:r>
        <w:rPr>
          <w:rFonts w:hint="eastAsia" w:ascii="仿宋_GB2312" w:hAnsi="仿宋_GB2312" w:eastAsia="仿宋_GB2312" w:cs="仿宋_GB2312"/>
          <w:i w:val="0"/>
          <w:caps w:val="0"/>
          <w:color w:val="333333"/>
          <w:spacing w:val="0"/>
          <w:sz w:val="32"/>
          <w:szCs w:val="32"/>
        </w:rPr>
        <w:t>）负责区域内生态环境监督执法。组织开展区域内生态环境保护执法检查，根据授权查处生态环境违法问题。监督实施建设项目生态环境保护设施</w:t>
      </w:r>
      <w:r>
        <w:rPr>
          <w:rFonts w:hint="default" w:ascii="Times New Roman" w:hAnsi="Times New Roman" w:cs="Times New Roman"/>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rPr>
        <w:t>三同时</w:t>
      </w:r>
      <w:r>
        <w:rPr>
          <w:rFonts w:hint="default" w:ascii="Times New Roman" w:hAnsi="Times New Roman" w:cs="Times New Roman"/>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rPr>
        <w:t>制度。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12</w:t>
      </w:r>
      <w:r>
        <w:rPr>
          <w:rFonts w:hint="eastAsia" w:ascii="仿宋_GB2312" w:hAnsi="仿宋_GB2312" w:eastAsia="仿宋_GB2312" w:cs="仿宋_GB2312"/>
          <w:i w:val="0"/>
          <w:caps w:val="0"/>
          <w:color w:val="333333"/>
          <w:spacing w:val="0"/>
          <w:sz w:val="32"/>
          <w:szCs w:val="32"/>
        </w:rPr>
        <w:t>）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13</w:t>
      </w:r>
      <w:r>
        <w:rPr>
          <w:rFonts w:hint="eastAsia" w:ascii="仿宋_GB2312" w:hAnsi="仿宋_GB2312" w:eastAsia="仿宋_GB2312" w:cs="仿宋_GB2312"/>
          <w:i w:val="0"/>
          <w:caps w:val="0"/>
          <w:color w:val="333333"/>
          <w:spacing w:val="0"/>
          <w:sz w:val="32"/>
          <w:szCs w:val="32"/>
        </w:rPr>
        <w:t>）开展生态环境科技工作。管理区域内生态环境保护科技成果并推广应用。组织开展生态环境重大科学研究和技术工程示范，推动生态环境技术管理体系建设。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14</w:t>
      </w:r>
      <w:r>
        <w:rPr>
          <w:rFonts w:hint="eastAsia" w:ascii="仿宋_GB2312" w:hAnsi="仿宋_GB2312" w:eastAsia="仿宋_GB2312" w:cs="仿宋_GB2312"/>
          <w:i w:val="0"/>
          <w:caps w:val="0"/>
          <w:color w:val="333333"/>
          <w:spacing w:val="0"/>
          <w:sz w:val="32"/>
          <w:szCs w:val="32"/>
        </w:rPr>
        <w:t>）负责职责范围内安全生产和职业健康等工作。</w:t>
      </w:r>
    </w:p>
    <w:p>
      <w:pPr>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i w:val="0"/>
          <w:caps w:val="0"/>
          <w:color w:val="333333"/>
          <w:spacing w:val="0"/>
          <w:sz w:val="32"/>
          <w:szCs w:val="32"/>
        </w:rPr>
        <w:t>（</w:t>
      </w:r>
      <w:r>
        <w:rPr>
          <w:rFonts w:hint="default" w:ascii="Times New Roman" w:hAnsi="Times New Roman" w:eastAsia="仿宋_GB2312" w:cs="Times New Roman"/>
          <w:i w:val="0"/>
          <w:caps w:val="0"/>
          <w:color w:val="333333"/>
          <w:spacing w:val="0"/>
          <w:sz w:val="32"/>
          <w:szCs w:val="32"/>
        </w:rPr>
        <w:t>15</w:t>
      </w:r>
      <w:r>
        <w:rPr>
          <w:rFonts w:hint="eastAsia" w:ascii="仿宋_GB2312" w:hAnsi="仿宋_GB2312" w:eastAsia="仿宋_GB2312" w:cs="仿宋_GB2312"/>
          <w:i w:val="0"/>
          <w:caps w:val="0"/>
          <w:color w:val="333333"/>
          <w:spacing w:val="0"/>
          <w:sz w:val="32"/>
          <w:szCs w:val="32"/>
        </w:rPr>
        <w:t>）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pageBreakBefore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黑体" w:hAnsi="黑体" w:eastAsia="黑体"/>
          <w:b w:val="0"/>
        </w:rPr>
      </w:pPr>
      <w:r>
        <w:rPr>
          <w:rFonts w:hint="default" w:ascii="Times New Roman" w:hAnsi="Times New Roman" w:eastAsia="黑体" w:cs="Times New Roman"/>
          <w:b w:val="0"/>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pPr>
      <w:r>
        <w:rPr>
          <w:rFonts w:hint="eastAsia" w:ascii="仿宋_GB2312" w:eastAsia="仿宋_GB2312" w:cs="仿宋_GB2312"/>
          <w:i w:val="0"/>
          <w:caps w:val="0"/>
          <w:color w:val="333333"/>
          <w:spacing w:val="0"/>
          <w:sz w:val="32"/>
          <w:szCs w:val="32"/>
        </w:rPr>
        <w:t>米易生态环境局下属非独立核算单位1个。其中行政单位0个，参照公务员法管理的事业单位1个，其他事业单位0个。主要包括：攀枝花市生态环境保护综合行政执法支队米易执法大队。</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p>
      <w:pPr>
        <w:pStyle w:val="24"/>
        <w:numPr>
          <w:ilvl w:val="0"/>
          <w:numId w:val="0"/>
        </w:numPr>
        <w:spacing w:line="600" w:lineRule="exact"/>
        <w:ind w:left="640" w:left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lang w:eastAsia="zh-CN"/>
        </w:rPr>
        <w:t>一、</w:t>
      </w:r>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2022年度收、支总计</w:t>
      </w:r>
      <w:r>
        <w:rPr>
          <w:rFonts w:hint="default" w:ascii="Times New Roman" w:hAnsi="Times New Roman" w:eastAsia="仿宋_GB2312" w:cs="Times New Roman"/>
          <w:sz w:val="32"/>
          <w:szCs w:val="32"/>
          <w:lang w:val="en-US" w:eastAsia="zh-CN"/>
        </w:rPr>
        <w:t>160.44</w:t>
      </w:r>
      <w:r>
        <w:rPr>
          <w:rFonts w:hint="default" w:ascii="Times New Roman" w:hAnsi="Times New Roman" w:eastAsia="仿宋_GB2312" w:cs="Times New Roman"/>
          <w:sz w:val="32"/>
          <w:szCs w:val="32"/>
        </w:rPr>
        <w:t>万元。与2021年相比，收、支总计各减少</w:t>
      </w:r>
      <w:r>
        <w:rPr>
          <w:rFonts w:hint="default" w:ascii="Times New Roman" w:hAnsi="Times New Roman" w:eastAsia="仿宋_GB2312" w:cs="Times New Roman"/>
          <w:sz w:val="32"/>
          <w:szCs w:val="32"/>
          <w:lang w:val="en-US" w:eastAsia="zh-CN"/>
        </w:rPr>
        <w:t>38.98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19.55</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公用经费收、支减少</w:t>
      </w:r>
      <w:r>
        <w:rPr>
          <w:rFonts w:hint="default" w:ascii="Times New Roman" w:hAnsi="Times New Roman" w:eastAsia="仿宋_GB2312" w:cs="Times New Roman"/>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368935</wp:posOffset>
            </wp:positionH>
            <wp:positionV relativeFrom="paragraph">
              <wp:posOffset>175260</wp:posOffset>
            </wp:positionV>
            <wp:extent cx="4671060" cy="2610485"/>
            <wp:effectExtent l="4445" t="4445" r="10795" b="1397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1"/>
        <w:rPr>
          <w:rStyle w:val="26"/>
          <w:rFonts w:hint="eastAsia" w:ascii="黑体" w:hAnsi="黑体" w:eastAsia="黑体" w:cs="黑体"/>
          <w:b w:val="0"/>
        </w:rPr>
      </w:pPr>
      <w:bookmarkStart w:id="20" w:name="_Toc15377206"/>
      <w:bookmarkStart w:id="21" w:name="_Toc15396604"/>
      <w:r>
        <w:rPr>
          <w:rFonts w:hint="eastAsia" w:ascii="黑体" w:hAnsi="黑体" w:eastAsia="黑体" w:cs="黑体"/>
          <w:sz w:val="32"/>
          <w:szCs w:val="32"/>
          <w:lang w:eastAsia="zh-CN"/>
        </w:rPr>
        <w:t>二、</w:t>
      </w:r>
      <w:r>
        <w:rPr>
          <w:rFonts w:hint="eastAsia" w:ascii="黑体" w:hAnsi="黑体" w:eastAsia="黑体" w:cs="黑体"/>
          <w:sz w:val="32"/>
          <w:szCs w:val="32"/>
        </w:rPr>
        <w:t>收</w:t>
      </w:r>
      <w:r>
        <w:rPr>
          <w:rStyle w:val="26"/>
          <w:rFonts w:hint="eastAsia" w:ascii="黑体" w:hAnsi="黑体" w:eastAsia="黑体" w:cs="黑体"/>
          <w:b w:val="0"/>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2022年本年收入合计</w:t>
      </w:r>
      <w:r>
        <w:rPr>
          <w:rFonts w:hint="default" w:ascii="Times New Roman" w:hAnsi="Times New Roman" w:eastAsia="仿宋_GB2312" w:cs="Times New Roman"/>
          <w:sz w:val="32"/>
          <w:szCs w:val="32"/>
          <w:lang w:val="en-US" w:eastAsia="zh-CN"/>
        </w:rPr>
        <w:t>153.61</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153.61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pStyle w:val="2"/>
        <w:rPr>
          <w:rFonts w:hint="default"/>
        </w:rPr>
      </w:pPr>
      <w:r>
        <w:rPr>
          <w:rFonts w:hint="eastAsia" w:eastAsia="仿宋"/>
          <w:lang w:eastAsia="zh-CN"/>
        </w:rPr>
        <w:drawing>
          <wp:anchor distT="0" distB="0" distL="114300" distR="114300" simplePos="0" relativeHeight="251665408" behindDoc="0" locked="0" layoutInCell="1" allowOverlap="1">
            <wp:simplePos x="0" y="0"/>
            <wp:positionH relativeFrom="column">
              <wp:posOffset>375920</wp:posOffset>
            </wp:positionH>
            <wp:positionV relativeFrom="paragraph">
              <wp:posOffset>40005</wp:posOffset>
            </wp:positionV>
            <wp:extent cx="4823460" cy="2261870"/>
            <wp:effectExtent l="4445" t="4445" r="10795" b="1968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outlineLvl w:val="1"/>
        <w:rPr>
          <w:rFonts w:ascii="仿宋" w:hAnsi="仿宋" w:eastAsia="仿宋"/>
          <w:sz w:val="32"/>
          <w:szCs w:val="32"/>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spacing w:line="600" w:lineRule="exact"/>
        <w:ind w:firstLine="960" w:firstLineChars="300"/>
        <w:rPr>
          <w:rFonts w:ascii="仿宋" w:hAnsi="仿宋" w:eastAsia="仿宋"/>
          <w:sz w:val="32"/>
          <w:szCs w:val="32"/>
        </w:rPr>
      </w:pPr>
      <w:r>
        <w:rPr>
          <w:rFonts w:hint="eastAsia" w:ascii="仿宋" w:hAnsi="仿宋" w:eastAsia="仿宋"/>
          <w:sz w:val="32"/>
          <w:szCs w:val="32"/>
        </w:rPr>
        <w:t>（图2：收入决算结构图</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pStyle w:val="24"/>
        <w:pageBreakBefore w:val="0"/>
        <w:numPr>
          <w:ilvl w:val="0"/>
          <w:numId w:val="0"/>
        </w:numPr>
        <w:kinsoku/>
        <w:wordWrap/>
        <w:overflowPunct/>
        <w:topLinePunct w:val="0"/>
        <w:bidi w:val="0"/>
        <w:spacing w:line="560" w:lineRule="exact"/>
        <w:ind w:left="640" w:leftChars="0"/>
        <w:textAlignment w:val="auto"/>
        <w:outlineLvl w:val="1"/>
        <w:rPr>
          <w:rStyle w:val="26"/>
          <w:rFonts w:hint="default" w:ascii="Times New Roman" w:hAnsi="Times New Roman" w:eastAsia="黑体" w:cs="Times New Roman"/>
          <w:b w:val="0"/>
        </w:rPr>
      </w:pPr>
      <w:bookmarkStart w:id="22" w:name="_Toc15396605"/>
      <w:bookmarkStart w:id="23" w:name="_Toc15377207"/>
      <w:r>
        <w:rPr>
          <w:rFonts w:hint="eastAsia" w:eastAsia="黑体" w:cs="Times New Roman"/>
          <w:sz w:val="32"/>
          <w:szCs w:val="32"/>
          <w:lang w:eastAsia="zh-CN"/>
        </w:rPr>
        <w:t>三、</w:t>
      </w:r>
      <w:r>
        <w:rPr>
          <w:rFonts w:hint="default" w:ascii="Times New Roman" w:hAnsi="Times New Roman" w:eastAsia="黑体" w:cs="Times New Roman"/>
          <w:sz w:val="32"/>
          <w:szCs w:val="32"/>
        </w:rPr>
        <w:t>支</w:t>
      </w:r>
      <w:r>
        <w:rPr>
          <w:rStyle w:val="26"/>
          <w:rFonts w:hint="default" w:ascii="Times New Roman" w:hAnsi="Times New Roman" w:eastAsia="黑体" w:cs="Times New Roman"/>
          <w:b w:val="0"/>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pct10" w:color="auto" w:fill="FFFFFF"/>
          <w:lang w:eastAsia="zh-CN"/>
        </w:rPr>
        <w:drawing>
          <wp:anchor distT="0" distB="0" distL="114300" distR="114300" simplePos="0" relativeHeight="251660288" behindDoc="0" locked="0" layoutInCell="1" allowOverlap="1">
            <wp:simplePos x="0" y="0"/>
            <wp:positionH relativeFrom="column">
              <wp:posOffset>110490</wp:posOffset>
            </wp:positionH>
            <wp:positionV relativeFrom="paragraph">
              <wp:posOffset>922655</wp:posOffset>
            </wp:positionV>
            <wp:extent cx="4928235" cy="2142490"/>
            <wp:effectExtent l="4445" t="4445" r="20320" b="571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eastAsia="仿宋_GB2312" w:cs="Times New Roman"/>
          <w:sz w:val="32"/>
          <w:szCs w:val="32"/>
        </w:rPr>
        <w:t>2022年本年支出合计</w:t>
      </w:r>
      <w:r>
        <w:rPr>
          <w:rFonts w:hint="default" w:ascii="Times New Roman" w:hAnsi="Times New Roman" w:eastAsia="仿宋_GB2312" w:cs="Times New Roman"/>
          <w:sz w:val="32"/>
          <w:szCs w:val="32"/>
          <w:lang w:val="en-US" w:eastAsia="zh-CN"/>
        </w:rPr>
        <w:t>160.44</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160.44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（图3：支出决算结构图</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spacing w:line="600" w:lineRule="exact"/>
        <w:ind w:firstLine="640" w:firstLineChars="200"/>
        <w:outlineLvl w:val="1"/>
        <w:rPr>
          <w:rStyle w:val="26"/>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2022年财政拨款收、支总计</w:t>
      </w:r>
      <w:r>
        <w:rPr>
          <w:rFonts w:hint="default" w:ascii="Times New Roman" w:hAnsi="Times New Roman" w:eastAsia="仿宋_GB2312" w:cs="Times New Roman"/>
          <w:sz w:val="32"/>
          <w:szCs w:val="32"/>
          <w:lang w:val="en-US" w:eastAsia="zh-CN"/>
        </w:rPr>
        <w:t>160.44</w:t>
      </w:r>
      <w:r>
        <w:rPr>
          <w:rFonts w:hint="default" w:ascii="Times New Roman" w:hAnsi="Times New Roman" w:eastAsia="仿宋_GB2312" w:cs="Times New Roman"/>
          <w:sz w:val="32"/>
          <w:szCs w:val="32"/>
        </w:rPr>
        <w:t>万元。与2021年相比，财政拨款收、支总计各减少</w:t>
      </w:r>
      <w:r>
        <w:rPr>
          <w:rFonts w:hint="default" w:ascii="Times New Roman" w:hAnsi="Times New Roman" w:eastAsia="仿宋_GB2312" w:cs="Times New Roman"/>
          <w:sz w:val="32"/>
          <w:szCs w:val="32"/>
          <w:lang w:val="en-US" w:eastAsia="zh-CN"/>
        </w:rPr>
        <w:t>38.98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19.55</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人员变动经费收、支减少。</w:t>
      </w:r>
    </w:p>
    <w:p>
      <w:pPr>
        <w:pStyle w:val="2"/>
        <w:rPr>
          <w:rFonts w:hint="default" w:ascii="Times New Roman" w:hAnsi="Times New Roman" w:eastAsia="仿宋_GB2312" w:cs="Times New Roman"/>
          <w:sz w:val="32"/>
          <w:szCs w:val="32"/>
          <w:lang w:eastAsia="zh-CN"/>
        </w:rPr>
      </w:pPr>
      <w:r>
        <w:rPr>
          <w:rFonts w:hint="eastAsia" w:ascii="仿宋" w:hAnsi="仿宋" w:eastAsia="仿宋"/>
          <w:b/>
          <w:sz w:val="32"/>
          <w:szCs w:val="32"/>
          <w:lang w:eastAsia="zh-CN"/>
        </w:rPr>
        <w:drawing>
          <wp:anchor distT="0" distB="0" distL="114300" distR="114300" simplePos="0" relativeHeight="251661312" behindDoc="0" locked="0" layoutInCell="1" allowOverlap="1">
            <wp:simplePos x="0" y="0"/>
            <wp:positionH relativeFrom="column">
              <wp:posOffset>316230</wp:posOffset>
            </wp:positionH>
            <wp:positionV relativeFrom="paragraph">
              <wp:posOffset>198755</wp:posOffset>
            </wp:positionV>
            <wp:extent cx="4603750" cy="2486660"/>
            <wp:effectExtent l="4445" t="4445" r="20955" b="2349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hint="default" w:ascii="Times New Roman" w:hAnsi="Times New Roman" w:eastAsia="仿宋_GB2312" w:cs="Times New Roman"/>
          <w:b/>
          <w:sz w:val="32"/>
          <w:szCs w:val="32"/>
        </w:rPr>
      </w:pPr>
      <w:bookmarkStart w:id="28" w:name="_Toc15377210"/>
      <w:r>
        <w:rPr>
          <w:rFonts w:hint="default" w:ascii="Times New Roman" w:hAnsi="Times New Roman" w:eastAsia="仿宋_GB2312" w:cs="Times New Roman"/>
          <w:b/>
          <w:sz w:val="32"/>
          <w:szCs w:val="32"/>
        </w:rPr>
        <w:t>（一）一般公共预算财政拨款支出决算总体情况</w:t>
      </w:r>
      <w:bookmarkEnd w:id="28"/>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160.44</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%。与2021年相比，一般公共预算财政拨款支出减少</w:t>
      </w:r>
      <w:r>
        <w:rPr>
          <w:rFonts w:hint="default" w:ascii="Times New Roman" w:hAnsi="Times New Roman" w:eastAsia="仿宋_GB2312" w:cs="Times New Roman"/>
          <w:sz w:val="32"/>
          <w:szCs w:val="32"/>
          <w:lang w:val="en-US" w:eastAsia="zh-CN"/>
        </w:rPr>
        <w:t>38.98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19.55</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公用经费支出减少。</w:t>
      </w:r>
    </w:p>
    <w:p>
      <w:pPr>
        <w:pStyle w:val="2"/>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377825</wp:posOffset>
            </wp:positionH>
            <wp:positionV relativeFrom="paragraph">
              <wp:posOffset>86360</wp:posOffset>
            </wp:positionV>
            <wp:extent cx="4451350" cy="2181225"/>
            <wp:effectExtent l="4445" t="4445" r="20955" b="50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r>
        <w:rPr>
          <w:rFonts w:hint="eastAsia" w:ascii="仿宋" w:hAnsi="仿宋" w:eastAsia="仿宋"/>
          <w:sz w:val="32"/>
          <w:szCs w:val="32"/>
          <w:lang w:eastAsia="zh-CN"/>
        </w:rPr>
        <w:t>单位：万元</w:t>
      </w:r>
      <w:r>
        <w:rPr>
          <w:rFonts w:hint="eastAsia" w:ascii="仿宋" w:hAnsi="仿宋" w:eastAsia="仿宋"/>
          <w:sz w:val="32"/>
          <w:szCs w:val="32"/>
        </w:rPr>
        <w:t>）</w:t>
      </w:r>
    </w:p>
    <w:p>
      <w:pPr>
        <w:spacing w:line="600" w:lineRule="exact"/>
        <w:ind w:firstLine="643" w:firstLineChars="200"/>
        <w:outlineLvl w:val="2"/>
        <w:rPr>
          <w:rFonts w:hint="default" w:ascii="Times New Roman" w:hAnsi="Times New Roman" w:eastAsia="仿宋_GB2312" w:cs="Times New Roman"/>
          <w:b/>
          <w:sz w:val="32"/>
          <w:szCs w:val="32"/>
        </w:rPr>
      </w:pPr>
      <w:bookmarkStart w:id="29" w:name="_Toc15377211"/>
      <w:r>
        <w:rPr>
          <w:rFonts w:hint="default" w:ascii="Times New Roman" w:hAnsi="Times New Roman" w:eastAsia="仿宋_GB2312" w:cs="Times New Roman"/>
          <w:b/>
          <w:sz w:val="32"/>
          <w:szCs w:val="32"/>
        </w:rPr>
        <w:t>（二）一般公共预算财政拨款支出决算结构情况</w:t>
      </w:r>
      <w:bookmarkEnd w:id="29"/>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160.44</w:t>
      </w:r>
      <w:r>
        <w:rPr>
          <w:rFonts w:hint="default" w:ascii="Times New Roman" w:hAnsi="Times New Roman" w:eastAsia="仿宋_GB2312" w:cs="Times New Roman"/>
          <w:sz w:val="32"/>
          <w:szCs w:val="32"/>
        </w:rPr>
        <w:t>万元，主要用于以下方面</w:t>
      </w:r>
      <w:bookmarkStart w:id="30" w:name="OLE_LINK1"/>
      <w:r>
        <w:rPr>
          <w:rFonts w:hint="eastAsia" w:eastAsia="仿宋_GB2312" w:cs="Times New Roman"/>
          <w:sz w:val="32"/>
          <w:szCs w:val="32"/>
          <w:lang w:eastAsia="zh-CN"/>
        </w:rPr>
        <w:t>：</w:t>
      </w:r>
      <w:r>
        <w:rPr>
          <w:rFonts w:hint="default" w:ascii="Times New Roman" w:hAnsi="Times New Roman" w:eastAsia="仿宋_GB2312" w:cs="Times New Roman"/>
          <w:b/>
          <w:sz w:val="32"/>
          <w:szCs w:val="32"/>
        </w:rPr>
        <w:t>社会保障和就业</w:t>
      </w:r>
      <w:bookmarkEnd w:id="30"/>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13.04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8.13</w:t>
      </w:r>
      <w:r>
        <w:rPr>
          <w:rFonts w:hint="default" w:ascii="Times New Roman" w:hAnsi="Times New Roman" w:eastAsia="仿宋_GB2312" w:cs="Times New Roman"/>
          <w:sz w:val="32"/>
          <w:szCs w:val="32"/>
        </w:rPr>
        <w:t>%；</w:t>
      </w:r>
      <w:bookmarkStart w:id="31" w:name="OLE_LINK2"/>
      <w:r>
        <w:rPr>
          <w:rFonts w:hint="default" w:ascii="Times New Roman" w:hAnsi="Times New Roman" w:eastAsia="仿宋_GB2312" w:cs="Times New Roman"/>
          <w:b/>
          <w:bCs/>
          <w:sz w:val="32"/>
          <w:szCs w:val="32"/>
          <w:lang w:eastAsia="zh-CN"/>
        </w:rPr>
        <w:t>节能环保</w:t>
      </w:r>
      <w:bookmarkEnd w:id="31"/>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129.87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80.95</w:t>
      </w:r>
      <w:r>
        <w:rPr>
          <w:rFonts w:hint="default" w:ascii="Times New Roman" w:hAnsi="Times New Roman" w:eastAsia="仿宋_GB2312" w:cs="Times New Roman"/>
          <w:sz w:val="32"/>
          <w:szCs w:val="32"/>
        </w:rPr>
        <w:t>%；</w:t>
      </w:r>
      <w:bookmarkStart w:id="32" w:name="OLE_LINK3"/>
      <w:r>
        <w:rPr>
          <w:rFonts w:hint="default" w:ascii="Times New Roman" w:hAnsi="Times New Roman" w:eastAsia="仿宋_GB2312" w:cs="Times New Roman"/>
          <w:b/>
          <w:bCs/>
          <w:sz w:val="32"/>
          <w:szCs w:val="32"/>
        </w:rPr>
        <w:t>住房保障</w:t>
      </w:r>
      <w:bookmarkEnd w:id="32"/>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17.53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10.92</w:t>
      </w:r>
      <w:r>
        <w:rPr>
          <w:rFonts w:hint="default" w:ascii="Times New Roman" w:hAnsi="Times New Roman" w:eastAsia="仿宋_GB2312" w:cs="Times New Roman"/>
          <w:sz w:val="32"/>
          <w:szCs w:val="32"/>
        </w:rPr>
        <w:t>%。</w:t>
      </w:r>
    </w:p>
    <w:p>
      <w:pPr>
        <w:spacing w:line="600" w:lineRule="exact"/>
        <w:ind w:firstLine="640"/>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434975</wp:posOffset>
            </wp:positionH>
            <wp:positionV relativeFrom="paragraph">
              <wp:posOffset>5715</wp:posOffset>
            </wp:positionV>
            <wp:extent cx="4613275" cy="2324735"/>
            <wp:effectExtent l="4445" t="5080" r="11430" b="1333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sz w:val="32"/>
          <w:szCs w:val="32"/>
        </w:rPr>
        <w:t>（图6：一般公共预算财政拨款支出决算结构</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spacing w:line="600" w:lineRule="exact"/>
        <w:ind w:firstLine="643" w:firstLineChars="200"/>
        <w:outlineLvl w:val="2"/>
        <w:rPr>
          <w:rFonts w:hint="default" w:ascii="Times New Roman" w:hAnsi="Times New Roman" w:eastAsia="仿宋_GB2312" w:cs="Times New Roman"/>
          <w:b/>
          <w:sz w:val="32"/>
          <w:szCs w:val="32"/>
        </w:rPr>
      </w:pPr>
      <w:bookmarkStart w:id="33" w:name="_Toc15377212"/>
      <w:r>
        <w:rPr>
          <w:rFonts w:hint="default" w:ascii="Times New Roman" w:hAnsi="Times New Roman" w:eastAsia="仿宋_GB2312" w:cs="Times New Roman"/>
          <w:b/>
          <w:sz w:val="32"/>
          <w:szCs w:val="32"/>
        </w:rPr>
        <w:t>（三）一般公共预算财政拨款支出决算具体情况</w:t>
      </w:r>
      <w:bookmarkEnd w:id="33"/>
    </w:p>
    <w:p>
      <w:pPr>
        <w:spacing w:line="600" w:lineRule="exact"/>
        <w:ind w:firstLine="643" w:firstLineChars="200"/>
        <w:outlineLvl w:val="2"/>
        <w:rPr>
          <w:rFonts w:hint="default" w:ascii="Times New Roman" w:hAnsi="Times New Roman" w:eastAsia="仿宋_GB2312" w:cs="Times New Roman"/>
          <w:sz w:val="32"/>
          <w:szCs w:val="32"/>
        </w:rPr>
      </w:pPr>
      <w:bookmarkStart w:id="34" w:name="_Toc15377213"/>
      <w:bookmarkStart w:id="35" w:name="_Toc15378460"/>
      <w:bookmarkStart w:id="36" w:name="_Toc15377444"/>
      <w:r>
        <w:rPr>
          <w:rFonts w:hint="default" w:ascii="Times New Roman" w:hAnsi="Times New Roman" w:eastAsia="仿宋_GB2312" w:cs="Times New Roman"/>
          <w:b/>
          <w:sz w:val="32"/>
          <w:szCs w:val="32"/>
        </w:rPr>
        <w:t>2022年一般公共预算支出决算数为</w:t>
      </w:r>
      <w:r>
        <w:rPr>
          <w:rFonts w:hint="default" w:ascii="Times New Roman" w:hAnsi="Times New Roman" w:eastAsia="仿宋_GB2312" w:cs="Times New Roman"/>
          <w:b/>
          <w:sz w:val="32"/>
          <w:szCs w:val="32"/>
          <w:lang w:val="en-US" w:eastAsia="zh-CN"/>
        </w:rPr>
        <w:t>160.44万元</w:t>
      </w:r>
      <w:r>
        <w:rPr>
          <w:rFonts w:hint="default" w:ascii="Times New Roman" w:hAnsi="Times New Roman" w:eastAsia="仿宋_GB2312" w:cs="Times New Roman"/>
          <w:sz w:val="32"/>
          <w:szCs w:val="32"/>
        </w:rPr>
        <w:t>，</w:t>
      </w:r>
      <w:r>
        <w:rPr>
          <w:rStyle w:val="15"/>
          <w:rFonts w:hint="default" w:ascii="Times New Roman" w:hAnsi="Times New Roman" w:eastAsia="仿宋_GB2312" w:cs="Times New Roman"/>
          <w:bCs/>
          <w:sz w:val="32"/>
          <w:szCs w:val="32"/>
        </w:rPr>
        <w:t>完成预算</w:t>
      </w:r>
      <w:r>
        <w:rPr>
          <w:rStyle w:val="15"/>
          <w:rFonts w:hint="default" w:ascii="Times New Roman" w:hAnsi="Times New Roman" w:eastAsia="仿宋_GB2312" w:cs="Times New Roman"/>
          <w:bCs/>
          <w:sz w:val="32"/>
          <w:szCs w:val="32"/>
          <w:lang w:val="en-US" w:eastAsia="zh-CN"/>
        </w:rPr>
        <w:t>100</w:t>
      </w:r>
      <w:r>
        <w:rPr>
          <w:rStyle w:val="15"/>
          <w:rFonts w:hint="default" w:ascii="Times New Roman" w:hAnsi="Times New Roman" w:eastAsia="仿宋_GB2312" w:cs="Times New Roman"/>
          <w:bCs/>
          <w:sz w:val="32"/>
          <w:szCs w:val="32"/>
        </w:rPr>
        <w:t>%。其中：</w:t>
      </w:r>
      <w:bookmarkEnd w:id="34"/>
      <w:bookmarkEnd w:id="35"/>
      <w:bookmarkEnd w:id="36"/>
    </w:p>
    <w:p>
      <w:pPr>
        <w:spacing w:line="600" w:lineRule="exact"/>
        <w:ind w:firstLine="643" w:firstLineChars="200"/>
        <w:rPr>
          <w:rStyle w:val="15"/>
          <w:rFonts w:hint="default" w:ascii="Times New Roman" w:hAnsi="Times New Roman" w:eastAsia="仿宋_GB2312" w:cs="Times New Roman"/>
          <w:b w:val="0"/>
          <w:bCs/>
          <w:sz w:val="32"/>
          <w:szCs w:val="32"/>
        </w:rPr>
      </w:pPr>
      <w:r>
        <w:rPr>
          <w:rStyle w:val="15"/>
          <w:rFonts w:hint="default" w:ascii="Times New Roman" w:hAnsi="Times New Roman" w:eastAsia="仿宋_GB2312" w:cs="Times New Roman"/>
          <w:bCs/>
          <w:sz w:val="32"/>
          <w:szCs w:val="32"/>
          <w:lang w:val="en-US" w:eastAsia="zh-CN"/>
        </w:rPr>
        <w:t>1</w:t>
      </w:r>
      <w:r>
        <w:rPr>
          <w:rStyle w:val="15"/>
          <w:rFonts w:hint="default" w:ascii="Times New Roman" w:hAnsi="Times New Roman" w:eastAsia="仿宋_GB2312" w:cs="Times New Roman"/>
          <w:bCs/>
          <w:sz w:val="32"/>
          <w:szCs w:val="32"/>
        </w:rPr>
        <w:t>.社会保障和就业</w:t>
      </w:r>
      <w:r>
        <w:rPr>
          <w:rStyle w:val="15"/>
          <w:rFonts w:hint="default" w:ascii="Times New Roman" w:hAnsi="Times New Roman" w:eastAsia="仿宋_GB2312" w:cs="Times New Roman"/>
          <w:bCs/>
          <w:sz w:val="32"/>
          <w:szCs w:val="32"/>
          <w:lang w:eastAsia="zh-CN"/>
        </w:rPr>
        <w:t>支出</w:t>
      </w:r>
      <w:r>
        <w:rPr>
          <w:rStyle w:val="15"/>
          <w:rFonts w:hint="default" w:ascii="Times New Roman" w:hAnsi="Times New Roman" w:eastAsia="仿宋_GB2312" w:cs="Times New Roman"/>
          <w:bCs/>
          <w:sz w:val="32"/>
          <w:szCs w:val="32"/>
        </w:rPr>
        <w:t>（类）行政事业单位养老</w:t>
      </w:r>
      <w:r>
        <w:rPr>
          <w:rStyle w:val="15"/>
          <w:rFonts w:hint="default" w:ascii="Times New Roman" w:hAnsi="Times New Roman" w:eastAsia="仿宋_GB2312" w:cs="Times New Roman"/>
          <w:bCs/>
          <w:sz w:val="32"/>
          <w:szCs w:val="32"/>
          <w:lang w:eastAsia="zh-CN"/>
        </w:rPr>
        <w:t>支出</w:t>
      </w:r>
      <w:r>
        <w:rPr>
          <w:rStyle w:val="15"/>
          <w:rFonts w:hint="default" w:ascii="Times New Roman" w:hAnsi="Times New Roman" w:eastAsia="仿宋_GB2312" w:cs="Times New Roman"/>
          <w:bCs/>
          <w:sz w:val="32"/>
          <w:szCs w:val="32"/>
        </w:rPr>
        <w:t>（款）机关事业单位基本养老保险缴费</w:t>
      </w:r>
      <w:r>
        <w:rPr>
          <w:rStyle w:val="15"/>
          <w:rFonts w:hint="default" w:ascii="Times New Roman" w:hAnsi="Times New Roman" w:eastAsia="仿宋_GB2312" w:cs="Times New Roman"/>
          <w:bCs/>
          <w:sz w:val="32"/>
          <w:szCs w:val="32"/>
          <w:lang w:eastAsia="zh-CN"/>
        </w:rPr>
        <w:t>支出</w:t>
      </w:r>
      <w:r>
        <w:rPr>
          <w:rStyle w:val="15"/>
          <w:rFonts w:hint="default" w:ascii="Times New Roman" w:hAnsi="Times New Roman" w:eastAsia="仿宋_GB2312" w:cs="Times New Roman"/>
          <w:bCs/>
          <w:sz w:val="32"/>
          <w:szCs w:val="32"/>
        </w:rPr>
        <w:t>（项）:</w:t>
      </w:r>
      <w:r>
        <w:rPr>
          <w:rStyle w:val="15"/>
          <w:rFonts w:hint="default" w:ascii="Times New Roman" w:hAnsi="Times New Roman" w:eastAsia="仿宋_GB2312" w:cs="Times New Roman"/>
          <w:b w:val="0"/>
          <w:bCs/>
          <w:sz w:val="32"/>
          <w:szCs w:val="32"/>
        </w:rPr>
        <w:t xml:space="preserve"> 支出决算为</w:t>
      </w:r>
      <w:r>
        <w:rPr>
          <w:rStyle w:val="15"/>
          <w:rFonts w:hint="default" w:ascii="Times New Roman" w:hAnsi="Times New Roman" w:eastAsia="仿宋_GB2312" w:cs="Times New Roman"/>
          <w:b w:val="0"/>
          <w:bCs/>
          <w:sz w:val="32"/>
          <w:szCs w:val="32"/>
          <w:lang w:val="en-US" w:eastAsia="zh-CN"/>
        </w:rPr>
        <w:t>13.04</w:t>
      </w:r>
      <w:r>
        <w:rPr>
          <w:rStyle w:val="15"/>
          <w:rFonts w:hint="default" w:ascii="Times New Roman" w:hAnsi="Times New Roman" w:eastAsia="仿宋_GB2312" w:cs="Times New Roman"/>
          <w:b w:val="0"/>
          <w:bCs/>
          <w:sz w:val="32"/>
          <w:szCs w:val="32"/>
        </w:rPr>
        <w:t>万元，完成预算</w:t>
      </w:r>
      <w:r>
        <w:rPr>
          <w:rStyle w:val="15"/>
          <w:rFonts w:hint="default" w:ascii="Times New Roman" w:hAnsi="Times New Roman" w:eastAsia="仿宋_GB2312" w:cs="Times New Roman"/>
          <w:b w:val="0"/>
          <w:bCs/>
          <w:sz w:val="32"/>
          <w:szCs w:val="32"/>
          <w:lang w:val="en-US" w:eastAsia="zh-CN"/>
        </w:rPr>
        <w:t>100</w:t>
      </w:r>
      <w:r>
        <w:rPr>
          <w:rStyle w:val="15"/>
          <w:rFonts w:hint="default" w:ascii="Times New Roman" w:hAnsi="Times New Roman" w:eastAsia="仿宋_GB2312" w:cs="Times New Roman"/>
          <w:b w:val="0"/>
          <w:bCs/>
          <w:sz w:val="32"/>
          <w:szCs w:val="32"/>
        </w:rPr>
        <w:t>%。</w:t>
      </w:r>
    </w:p>
    <w:p>
      <w:pPr>
        <w:spacing w:line="600" w:lineRule="exact"/>
        <w:ind w:firstLine="643" w:firstLineChars="200"/>
        <w:rPr>
          <w:rFonts w:hint="default" w:ascii="Times New Roman" w:hAnsi="Times New Roman" w:eastAsia="仿宋_GB2312" w:cs="Times New Roman"/>
          <w:b/>
          <w:sz w:val="32"/>
          <w:szCs w:val="32"/>
        </w:rPr>
      </w:pPr>
      <w:r>
        <w:rPr>
          <w:rStyle w:val="15"/>
          <w:rFonts w:hint="default" w:ascii="Times New Roman" w:hAnsi="Times New Roman" w:eastAsia="仿宋_GB2312" w:cs="Times New Roman"/>
          <w:bCs/>
          <w:sz w:val="32"/>
          <w:szCs w:val="32"/>
          <w:lang w:val="en-US" w:eastAsia="zh-CN"/>
        </w:rPr>
        <w:t>2</w:t>
      </w:r>
      <w:r>
        <w:rPr>
          <w:rStyle w:val="15"/>
          <w:rFonts w:hint="default" w:ascii="Times New Roman" w:hAnsi="Times New Roman" w:eastAsia="仿宋_GB2312" w:cs="Times New Roman"/>
          <w:bCs/>
          <w:sz w:val="32"/>
          <w:szCs w:val="32"/>
        </w:rPr>
        <w:t>.节能环保</w:t>
      </w:r>
      <w:r>
        <w:rPr>
          <w:rStyle w:val="15"/>
          <w:rFonts w:hint="default" w:ascii="Times New Roman" w:hAnsi="Times New Roman" w:eastAsia="仿宋_GB2312" w:cs="Times New Roman"/>
          <w:bCs/>
          <w:sz w:val="32"/>
          <w:szCs w:val="32"/>
          <w:lang w:val="en-US" w:eastAsia="zh-CN"/>
        </w:rPr>
        <w:t>支出</w:t>
      </w:r>
      <w:r>
        <w:rPr>
          <w:rStyle w:val="15"/>
          <w:rFonts w:hint="default" w:ascii="Times New Roman" w:hAnsi="Times New Roman" w:eastAsia="仿宋_GB2312" w:cs="Times New Roman"/>
          <w:bCs/>
          <w:sz w:val="32"/>
          <w:szCs w:val="32"/>
        </w:rPr>
        <w:t>（类）环境保护管理事务（款）行政运行（项）:</w:t>
      </w:r>
      <w:r>
        <w:rPr>
          <w:rStyle w:val="15"/>
          <w:rFonts w:hint="default" w:ascii="Times New Roman" w:hAnsi="Times New Roman" w:eastAsia="仿宋_GB2312" w:cs="Times New Roman"/>
          <w:b w:val="0"/>
          <w:bCs/>
          <w:sz w:val="32"/>
          <w:szCs w:val="32"/>
        </w:rPr>
        <w:t xml:space="preserve"> 支出决算为</w:t>
      </w:r>
      <w:r>
        <w:rPr>
          <w:rStyle w:val="15"/>
          <w:rFonts w:hint="default" w:ascii="Times New Roman" w:hAnsi="Times New Roman" w:eastAsia="仿宋_GB2312" w:cs="Times New Roman"/>
          <w:b w:val="0"/>
          <w:bCs/>
          <w:sz w:val="32"/>
          <w:szCs w:val="32"/>
          <w:lang w:val="en-US" w:eastAsia="zh-CN"/>
        </w:rPr>
        <w:t>123.04</w:t>
      </w:r>
      <w:r>
        <w:rPr>
          <w:rStyle w:val="15"/>
          <w:rFonts w:hint="default" w:ascii="Times New Roman" w:hAnsi="Times New Roman" w:eastAsia="仿宋_GB2312" w:cs="Times New Roman"/>
          <w:b w:val="0"/>
          <w:bCs/>
          <w:sz w:val="32"/>
          <w:szCs w:val="32"/>
        </w:rPr>
        <w:t>万元，完成预算</w:t>
      </w:r>
      <w:r>
        <w:rPr>
          <w:rStyle w:val="15"/>
          <w:rFonts w:hint="default" w:ascii="Times New Roman" w:hAnsi="Times New Roman" w:eastAsia="仿宋_GB2312" w:cs="Times New Roman"/>
          <w:b w:val="0"/>
          <w:bCs/>
          <w:sz w:val="32"/>
          <w:szCs w:val="32"/>
          <w:lang w:val="en-US" w:eastAsia="zh-CN"/>
        </w:rPr>
        <w:t>100</w:t>
      </w:r>
      <w:r>
        <w:rPr>
          <w:rStyle w:val="15"/>
          <w:rFonts w:hint="default" w:ascii="Times New Roman" w:hAnsi="Times New Roman" w:eastAsia="仿宋_GB2312" w:cs="Times New Roman"/>
          <w:b w:val="0"/>
          <w:bCs/>
          <w:sz w:val="32"/>
          <w:szCs w:val="32"/>
        </w:rPr>
        <w:t>%。</w:t>
      </w:r>
    </w:p>
    <w:p>
      <w:pPr>
        <w:spacing w:line="600" w:lineRule="exact"/>
        <w:ind w:firstLine="643" w:firstLineChars="200"/>
        <w:rPr>
          <w:rFonts w:hint="default" w:ascii="Times New Roman" w:hAnsi="Times New Roman" w:eastAsia="仿宋_GB2312" w:cs="Times New Roman"/>
          <w:b/>
          <w:sz w:val="32"/>
          <w:szCs w:val="32"/>
        </w:rPr>
      </w:pPr>
      <w:r>
        <w:rPr>
          <w:rStyle w:val="15"/>
          <w:rFonts w:hint="default" w:ascii="Times New Roman" w:hAnsi="Times New Roman" w:eastAsia="仿宋_GB2312" w:cs="Times New Roman"/>
          <w:bCs/>
          <w:sz w:val="32"/>
          <w:szCs w:val="32"/>
          <w:lang w:val="en-US" w:eastAsia="zh-CN"/>
        </w:rPr>
        <w:t>3</w:t>
      </w:r>
      <w:r>
        <w:rPr>
          <w:rStyle w:val="15"/>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住房保障支出</w:t>
      </w:r>
      <w:r>
        <w:rPr>
          <w:rStyle w:val="15"/>
          <w:rFonts w:hint="default" w:ascii="Times New Roman" w:hAnsi="Times New Roman" w:eastAsia="仿宋_GB2312" w:cs="Times New Roman"/>
          <w:bCs/>
          <w:sz w:val="32"/>
          <w:szCs w:val="32"/>
        </w:rPr>
        <w:t>（类）住房改革支出（款）住房公积金（项）:</w:t>
      </w:r>
      <w:r>
        <w:rPr>
          <w:rStyle w:val="15"/>
          <w:rFonts w:hint="default" w:ascii="Times New Roman" w:hAnsi="Times New Roman" w:eastAsia="仿宋_GB2312" w:cs="Times New Roman"/>
          <w:b w:val="0"/>
          <w:bCs/>
          <w:sz w:val="32"/>
          <w:szCs w:val="32"/>
        </w:rPr>
        <w:t>支出决算为</w:t>
      </w:r>
      <w:r>
        <w:rPr>
          <w:rStyle w:val="15"/>
          <w:rFonts w:hint="default" w:ascii="Times New Roman" w:hAnsi="Times New Roman" w:eastAsia="仿宋_GB2312" w:cs="Times New Roman"/>
          <w:b w:val="0"/>
          <w:bCs/>
          <w:sz w:val="32"/>
          <w:szCs w:val="32"/>
          <w:lang w:val="en-US" w:eastAsia="zh-CN"/>
        </w:rPr>
        <w:t>17.53</w:t>
      </w:r>
      <w:r>
        <w:rPr>
          <w:rStyle w:val="15"/>
          <w:rFonts w:hint="default" w:ascii="Times New Roman" w:hAnsi="Times New Roman" w:eastAsia="仿宋_GB2312" w:cs="Times New Roman"/>
          <w:b w:val="0"/>
          <w:bCs/>
          <w:sz w:val="32"/>
          <w:szCs w:val="32"/>
        </w:rPr>
        <w:t>万元，完成预算</w:t>
      </w:r>
      <w:r>
        <w:rPr>
          <w:rStyle w:val="15"/>
          <w:rFonts w:hint="default" w:ascii="Times New Roman" w:hAnsi="Times New Roman" w:eastAsia="仿宋_GB2312" w:cs="Times New Roman"/>
          <w:b w:val="0"/>
          <w:bCs/>
          <w:sz w:val="32"/>
          <w:szCs w:val="32"/>
          <w:lang w:val="en-US" w:eastAsia="zh-CN"/>
        </w:rPr>
        <w:t>100</w:t>
      </w:r>
      <w:r>
        <w:rPr>
          <w:rStyle w:val="15"/>
          <w:rFonts w:hint="default" w:ascii="Times New Roman" w:hAnsi="Times New Roman" w:eastAsia="仿宋_GB2312" w:cs="Times New Roman"/>
          <w:b w:val="0"/>
          <w:bCs/>
          <w:sz w:val="32"/>
          <w:szCs w:val="32"/>
        </w:rPr>
        <w:t>%。</w:t>
      </w:r>
    </w:p>
    <w:p>
      <w:pPr>
        <w:tabs>
          <w:tab w:val="right" w:pos="8306"/>
        </w:tabs>
        <w:spacing w:line="600" w:lineRule="exact"/>
        <w:ind w:firstLine="640"/>
        <w:outlineLvl w:val="1"/>
        <w:rPr>
          <w:rStyle w:val="26"/>
        </w:rPr>
      </w:pPr>
      <w:bookmarkStart w:id="37" w:name="_Toc15396608"/>
      <w:bookmarkStart w:id="3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7"/>
      <w:bookmarkEnd w:id="38"/>
      <w:r>
        <w:rPr>
          <w:rStyle w:val="26"/>
          <w:rFonts w:ascii="黑体" w:hAnsi="黑体" w:eastAsia="黑体"/>
          <w:b w:val="0"/>
        </w:rPr>
        <w:tab/>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w:t>
      </w:r>
      <w:r>
        <w:rPr>
          <w:rFonts w:hint="default" w:ascii="Times New Roman" w:hAnsi="Times New Roman" w:eastAsia="仿宋_GB2312" w:cs="Times New Roman"/>
          <w:sz w:val="32"/>
          <w:szCs w:val="32"/>
          <w:lang w:val="en-US" w:eastAsia="zh-CN"/>
        </w:rPr>
        <w:t>160.44</w:t>
      </w:r>
      <w:r>
        <w:rPr>
          <w:rFonts w:hint="default" w:ascii="Times New Roman" w:hAnsi="Times New Roman" w:eastAsia="仿宋_GB2312" w:cs="Times New Roman"/>
          <w:sz w:val="32"/>
          <w:szCs w:val="32"/>
        </w:rPr>
        <w:t>万元，其中：</w:t>
      </w:r>
    </w:p>
    <w:p>
      <w:pPr>
        <w:spacing w:line="600" w:lineRule="exact"/>
        <w:ind w:firstLine="645"/>
        <w:rPr>
          <w:rFonts w:ascii="仿宋" w:hAnsi="仿宋" w:eastAsia="仿宋"/>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144.24</w:t>
      </w:r>
      <w:r>
        <w:rPr>
          <w:rFonts w:hint="default" w:ascii="Times New Roman" w:hAnsi="Times New Roman" w:eastAsia="仿宋_GB2312" w:cs="Times New Roman"/>
          <w:sz w:val="32"/>
          <w:szCs w:val="32"/>
        </w:rPr>
        <w:t>万元，主要包括：基本工资、津贴补贴、奖金、机关事业单位基本养老保险缴费、职工基本医疗保险缴费</w:t>
      </w:r>
      <w:r>
        <w:rPr>
          <w:rFonts w:hint="default" w:ascii="Times New Roman" w:hAnsi="Times New Roman" w:eastAsia="仿宋_GB2312" w:cs="Times New Roman"/>
          <w:sz w:val="32"/>
          <w:szCs w:val="32"/>
          <w:lang w:eastAsia="zh-CN"/>
        </w:rPr>
        <w:t>、公务员医疗补助缴费、</w:t>
      </w:r>
      <w:r>
        <w:rPr>
          <w:rFonts w:hint="default" w:ascii="Times New Roman" w:hAnsi="Times New Roman" w:eastAsia="仿宋_GB2312" w:cs="Times New Roman"/>
          <w:sz w:val="32"/>
          <w:szCs w:val="32"/>
        </w:rPr>
        <w:t>其他社会保障缴费、住房公积金、其他对个人和家庭的补助支出等。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default" w:ascii="Times New Roman" w:hAnsi="Times New Roman" w:eastAsia="仿宋_GB2312" w:cs="Times New Roman"/>
          <w:sz w:val="32"/>
          <w:szCs w:val="32"/>
          <w:lang w:val="en-US" w:eastAsia="zh-CN"/>
        </w:rPr>
        <w:t>16.20</w:t>
      </w:r>
      <w:r>
        <w:rPr>
          <w:rFonts w:hint="default" w:ascii="Times New Roman" w:hAnsi="Times New Roman" w:eastAsia="仿宋_GB2312" w:cs="Times New Roman"/>
          <w:sz w:val="32"/>
          <w:szCs w:val="32"/>
        </w:rPr>
        <w:t>万元，主要包括：办公费、邮电费、差旅费、公务接待费、其他交通费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其他商品和服务支出等。</w:t>
      </w:r>
    </w:p>
    <w:p>
      <w:pPr>
        <w:spacing w:line="600" w:lineRule="exact"/>
        <w:ind w:firstLine="640"/>
        <w:outlineLvl w:val="1"/>
        <w:rPr>
          <w:rStyle w:val="26"/>
          <w:rFonts w:ascii="黑体" w:hAnsi="黑体" w:eastAsia="黑体"/>
          <w:b w:val="0"/>
        </w:rPr>
      </w:pPr>
      <w:bookmarkStart w:id="39" w:name="_Toc15377215"/>
      <w:bookmarkStart w:id="40" w:name="_Toc15396609"/>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9"/>
      <w:bookmarkEnd w:id="40"/>
    </w:p>
    <w:p>
      <w:pPr>
        <w:spacing w:line="600" w:lineRule="exact"/>
        <w:ind w:firstLine="640"/>
        <w:outlineLvl w:val="2"/>
        <w:rPr>
          <w:rFonts w:hint="default" w:ascii="Times New Roman" w:hAnsi="Times New Roman" w:eastAsia="仿宋_GB2312" w:cs="Times New Roman"/>
          <w:b/>
          <w:sz w:val="32"/>
          <w:szCs w:val="32"/>
        </w:rPr>
      </w:pPr>
      <w:bookmarkStart w:id="41" w:name="_Toc15377216"/>
      <w:r>
        <w:rPr>
          <w:rFonts w:hint="default" w:ascii="Times New Roman" w:hAnsi="Times New Roman" w:eastAsia="仿宋_GB2312" w:cs="Times New Roman"/>
          <w:b/>
          <w:sz w:val="32"/>
          <w:szCs w:val="32"/>
        </w:rPr>
        <w:t>（一）“三公”经费财政拨款支出决算总体情况说明</w:t>
      </w:r>
      <w:bookmarkEnd w:id="4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2022年“三公”经费财政拨款支出决算为</w:t>
      </w:r>
      <w:r>
        <w:rPr>
          <w:rFonts w:hint="default" w:ascii="Times New Roman" w:hAnsi="Times New Roman" w:eastAsia="仿宋_GB2312" w:cs="Times New Roman"/>
          <w:sz w:val="32"/>
          <w:szCs w:val="32"/>
          <w:lang w:val="en-US" w:eastAsia="zh-CN"/>
        </w:rPr>
        <w:t>1.17</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%，较上年</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0.28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31.46</w:t>
      </w:r>
      <w:r>
        <w:rPr>
          <w:rFonts w:hint="default" w:ascii="Times New Roman" w:hAnsi="Times New Roman" w:eastAsia="仿宋_GB2312" w:cs="Times New Roman"/>
          <w:sz w:val="32"/>
          <w:szCs w:val="32"/>
        </w:rPr>
        <w:t>%。决算数与预算数持平的主要原因是</w:t>
      </w:r>
      <w:r>
        <w:rPr>
          <w:rFonts w:hint="default" w:ascii="Times New Roman" w:hAnsi="Times New Roman" w:eastAsia="仿宋_GB2312" w:cs="Times New Roman"/>
          <w:sz w:val="32"/>
          <w:szCs w:val="32"/>
          <w:lang w:eastAsia="zh-CN"/>
        </w:rPr>
        <w:t>严格执行预算</w:t>
      </w:r>
      <w:r>
        <w:rPr>
          <w:rFonts w:hint="default" w:ascii="Times New Roman" w:hAnsi="Times New Roman" w:eastAsia="仿宋_GB2312" w:cs="Times New Roman"/>
          <w:sz w:val="32"/>
          <w:szCs w:val="32"/>
        </w:rPr>
        <w:t>。</w:t>
      </w:r>
    </w:p>
    <w:p>
      <w:pPr>
        <w:spacing w:line="600" w:lineRule="exact"/>
        <w:ind w:firstLine="640"/>
        <w:outlineLvl w:val="2"/>
        <w:rPr>
          <w:rFonts w:hint="default" w:ascii="Times New Roman" w:hAnsi="Times New Roman" w:eastAsia="仿宋_GB2312" w:cs="Times New Roman"/>
          <w:b/>
          <w:sz w:val="32"/>
          <w:szCs w:val="32"/>
        </w:rPr>
      </w:pPr>
      <w:bookmarkStart w:id="42" w:name="_Toc15377217"/>
      <w:r>
        <w:rPr>
          <w:rFonts w:hint="default" w:ascii="Times New Roman" w:hAnsi="Times New Roman" w:eastAsia="仿宋_GB2312" w:cs="Times New Roman"/>
          <w:b/>
          <w:sz w:val="32"/>
          <w:szCs w:val="32"/>
        </w:rPr>
        <w:t>（二）“三公”经费财政拨款支出决算具体情况说明</w:t>
      </w:r>
      <w:bookmarkEnd w:id="42"/>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val="en-US" w:eastAsia="zh-CN"/>
        </w:rPr>
        <w:t>1.17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%。具体情况如下：</w:t>
      </w:r>
    </w:p>
    <w:p>
      <w:pPr>
        <w:rPr>
          <w:rFonts w:hint="default" w:ascii="Times New Roman" w:hAnsi="Times New Roman" w:eastAsia="仿宋_GB2312" w:cs="Times New Roman"/>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389890</wp:posOffset>
            </wp:positionH>
            <wp:positionV relativeFrom="paragraph">
              <wp:posOffset>115570</wp:posOffset>
            </wp:positionV>
            <wp:extent cx="4575175" cy="2524125"/>
            <wp:effectExtent l="4445" t="4445" r="11430" b="508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（图7：“三公”经费财政拨款支出结构</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5"/>
          <w:rFonts w:hint="default" w:ascii="Times New Roman" w:hAnsi="Times New Roman" w:eastAsia="仿宋_GB2312" w:cs="Times New Roman"/>
          <w:b w:val="0"/>
          <w:bCs/>
          <w:sz w:val="32"/>
          <w:szCs w:val="32"/>
        </w:rPr>
        <w:t>完成预算</w:t>
      </w:r>
      <w:r>
        <w:rPr>
          <w:rStyle w:val="15"/>
          <w:rFonts w:hint="default" w:ascii="Times New Roman" w:hAnsi="Times New Roman" w:eastAsia="仿宋_GB2312" w:cs="Times New Roman"/>
          <w:b w:val="0"/>
          <w:bCs/>
          <w:sz w:val="32"/>
          <w:szCs w:val="32"/>
          <w:lang w:val="en-US" w:eastAsia="zh-CN"/>
        </w:rPr>
        <w:t>100</w:t>
      </w:r>
      <w:r>
        <w:rPr>
          <w:rStyle w:val="15"/>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无因公出国境记录</w:t>
      </w:r>
      <w:r>
        <w:rPr>
          <w:rFonts w:hint="default" w:ascii="Times New Roman" w:hAnsi="Times New Roman" w:eastAsia="仿宋_GB2312" w:cs="Times New Roman"/>
          <w:sz w:val="32"/>
          <w:szCs w:val="32"/>
        </w:rPr>
        <w:t>。</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5"/>
          <w:rFonts w:hint="default" w:ascii="Times New Roman" w:hAnsi="Times New Roman" w:eastAsia="仿宋_GB2312" w:cs="Times New Roman"/>
          <w:b w:val="0"/>
          <w:bCs/>
          <w:sz w:val="32"/>
          <w:szCs w:val="32"/>
        </w:rPr>
        <w:t>完成预算</w:t>
      </w:r>
      <w:r>
        <w:rPr>
          <w:rStyle w:val="15"/>
          <w:rFonts w:hint="default" w:ascii="Times New Roman" w:hAnsi="Times New Roman" w:eastAsia="仿宋_GB2312" w:cs="Times New Roman"/>
          <w:b w:val="0"/>
          <w:bCs/>
          <w:sz w:val="32"/>
          <w:szCs w:val="32"/>
          <w:lang w:val="en-US" w:eastAsia="zh-CN"/>
        </w:rPr>
        <w:t>100</w:t>
      </w:r>
      <w:r>
        <w:rPr>
          <w:rStyle w:val="15"/>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eastAsia="zh-CN"/>
        </w:rPr>
        <w:t>公务用车</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万元。截至2022年12月底，单位共有公务用车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1.17</w:t>
      </w:r>
      <w:r>
        <w:rPr>
          <w:rFonts w:hint="default" w:ascii="Times New Roman" w:hAnsi="Times New Roman" w:eastAsia="仿宋_GB2312" w:cs="Times New Roman"/>
          <w:sz w:val="32"/>
          <w:szCs w:val="32"/>
        </w:rPr>
        <w:t>万元，</w:t>
      </w:r>
      <w:r>
        <w:rPr>
          <w:rStyle w:val="15"/>
          <w:rFonts w:hint="default" w:ascii="Times New Roman" w:hAnsi="Times New Roman" w:eastAsia="仿宋_GB2312" w:cs="Times New Roman"/>
          <w:b w:val="0"/>
          <w:bCs/>
          <w:sz w:val="32"/>
          <w:szCs w:val="32"/>
        </w:rPr>
        <w:t>完成预算</w:t>
      </w:r>
      <w:r>
        <w:rPr>
          <w:rStyle w:val="15"/>
          <w:rFonts w:hint="default" w:ascii="Times New Roman" w:hAnsi="Times New Roman" w:eastAsia="仿宋_GB2312" w:cs="Times New Roman"/>
          <w:b w:val="0"/>
          <w:bCs/>
          <w:sz w:val="32"/>
          <w:szCs w:val="32"/>
          <w:lang w:val="en-US" w:eastAsia="zh-CN"/>
        </w:rPr>
        <w:t>100</w:t>
      </w:r>
      <w:r>
        <w:rPr>
          <w:rStyle w:val="15"/>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公务接待费支出决算比2021年</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0.28万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31.46</w:t>
      </w:r>
      <w:r>
        <w:rPr>
          <w:rFonts w:hint="default" w:ascii="Times New Roman" w:hAnsi="Times New Roman" w:eastAsia="仿宋_GB2312" w:cs="Times New Roman"/>
          <w:sz w:val="32"/>
          <w:szCs w:val="32"/>
        </w:rPr>
        <w:t>%。主要</w:t>
      </w:r>
      <w:r>
        <w:rPr>
          <w:rFonts w:hint="default" w:ascii="Times New Roman" w:hAnsi="Times New Roman" w:eastAsia="仿宋_GB2312" w:cs="Times New Roman"/>
          <w:color w:val="auto"/>
          <w:sz w:val="32"/>
          <w:szCs w:val="32"/>
        </w:rPr>
        <w:t>原因是</w:t>
      </w:r>
      <w:r>
        <w:rPr>
          <w:rFonts w:hint="default" w:ascii="Times New Roman" w:hAnsi="Times New Roman" w:eastAsia="仿宋_GB2312" w:cs="Times New Roman"/>
          <w:color w:val="auto"/>
          <w:sz w:val="32"/>
          <w:szCs w:val="32"/>
          <w:lang w:eastAsia="zh-CN"/>
        </w:rPr>
        <w:t>接待工作增加。</w:t>
      </w:r>
      <w:r>
        <w:rPr>
          <w:rFonts w:hint="default" w:ascii="Times New Roman" w:hAnsi="Times New Roman" w:eastAsia="仿宋_GB2312" w:cs="Times New Roman"/>
          <w:color w:val="auto"/>
          <w:sz w:val="32"/>
          <w:szCs w:val="32"/>
        </w:rPr>
        <w:t>其中：</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国内公务接待支出</w:t>
      </w:r>
      <w:r>
        <w:rPr>
          <w:rFonts w:hint="default" w:ascii="Times New Roman" w:hAnsi="Times New Roman" w:eastAsia="仿宋_GB2312" w:cs="Times New Roman"/>
          <w:color w:val="auto"/>
          <w:sz w:val="32"/>
          <w:szCs w:val="32"/>
          <w:lang w:val="en-US" w:eastAsia="zh-CN"/>
        </w:rPr>
        <w:t>1.17</w:t>
      </w:r>
      <w:r>
        <w:rPr>
          <w:rFonts w:hint="default"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eastAsia="zh-CN"/>
        </w:rPr>
        <w:t>用餐费。</w:t>
      </w:r>
      <w:r>
        <w:rPr>
          <w:rFonts w:hint="default" w:ascii="Times New Roman" w:hAnsi="Times New Roman" w:eastAsia="仿宋_GB2312" w:cs="Times New Roman"/>
          <w:color w:val="auto"/>
          <w:sz w:val="32"/>
          <w:szCs w:val="32"/>
        </w:rPr>
        <w:t>国内公务接待</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批次，</w:t>
      </w:r>
      <w:r>
        <w:rPr>
          <w:rFonts w:hint="default" w:ascii="Times New Roman" w:hAnsi="Times New Roman" w:eastAsia="仿宋_GB2312" w:cs="Times New Roman"/>
          <w:color w:val="auto"/>
          <w:sz w:val="32"/>
          <w:szCs w:val="32"/>
          <w:lang w:val="en-US" w:eastAsia="zh-CN"/>
        </w:rPr>
        <w:t>125</w:t>
      </w:r>
      <w:r>
        <w:rPr>
          <w:rFonts w:hint="default" w:ascii="Times New Roman" w:hAnsi="Times New Roman" w:eastAsia="仿宋_GB2312" w:cs="Times New Roman"/>
          <w:color w:val="auto"/>
          <w:sz w:val="32"/>
          <w:szCs w:val="32"/>
        </w:rPr>
        <w:t>人次（不包括陪同人员），共计支出</w:t>
      </w:r>
      <w:r>
        <w:rPr>
          <w:rFonts w:hint="default" w:ascii="Times New Roman" w:hAnsi="Times New Roman" w:eastAsia="仿宋_GB2312" w:cs="Times New Roman"/>
          <w:color w:val="auto"/>
          <w:sz w:val="32"/>
          <w:szCs w:val="32"/>
          <w:lang w:val="en-US" w:eastAsia="zh-CN"/>
        </w:rPr>
        <w:t>1.17</w:t>
      </w:r>
      <w:r>
        <w:rPr>
          <w:rFonts w:hint="default" w:ascii="Times New Roman" w:hAnsi="Times New Roman" w:eastAsia="仿宋_GB2312" w:cs="Times New Roman"/>
          <w:color w:val="auto"/>
          <w:sz w:val="32"/>
          <w:szCs w:val="32"/>
        </w:rPr>
        <w:t>万元，具体内容包括：</w:t>
      </w:r>
      <w:r>
        <w:rPr>
          <w:rFonts w:hint="default" w:ascii="Times New Roman" w:hAnsi="Times New Roman" w:eastAsia="仿宋_GB2312" w:cs="Times New Roman"/>
          <w:color w:val="auto"/>
          <w:sz w:val="32"/>
          <w:szCs w:val="32"/>
          <w:lang w:val="en-US" w:eastAsia="zh-CN"/>
        </w:rPr>
        <w:t>环保督察接待906元；执法人员现场考核工作指导758元；环保督察整改2811元；环保督察及千村示范县工作接待4798元；生态问题现场督导检查1000元；督察重点信访环境问题接待1000元；固体废物处置接待450元。</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未发生外事接待</w:t>
      </w:r>
      <w:r>
        <w:rPr>
          <w:rFonts w:hint="default" w:ascii="Times New Roman" w:hAnsi="Times New Roman" w:eastAsia="仿宋_GB2312" w:cs="Times New Roman"/>
          <w:sz w:val="32"/>
          <w:szCs w:val="32"/>
        </w:rPr>
        <w:t>。外事接待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spacing w:line="600" w:lineRule="exact"/>
        <w:ind w:firstLine="640"/>
        <w:outlineLvl w:val="1"/>
        <w:rPr>
          <w:rStyle w:val="26"/>
          <w:rFonts w:ascii="黑体" w:hAnsi="黑体" w:eastAsia="黑体"/>
        </w:rPr>
      </w:pPr>
      <w:bookmarkStart w:id="43" w:name="_Toc15396610"/>
      <w:bookmarkStart w:id="44"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3"/>
      <w:bookmarkEnd w:id="44"/>
    </w:p>
    <w:p>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numPr>
          <w:ilvl w:val="0"/>
          <w:numId w:val="1"/>
        </w:numPr>
        <w:spacing w:line="600" w:lineRule="exact"/>
        <w:ind w:firstLine="640"/>
        <w:outlineLvl w:val="1"/>
        <w:rPr>
          <w:rStyle w:val="26"/>
          <w:rFonts w:ascii="黑体" w:hAnsi="黑体" w:eastAsia="黑体"/>
          <w:b w:val="0"/>
        </w:rPr>
      </w:pPr>
      <w:bookmarkStart w:id="45" w:name="_Toc15377219"/>
      <w:bookmarkStart w:id="46" w:name="_Toc15396611"/>
      <w:r>
        <w:rPr>
          <w:rStyle w:val="26"/>
          <w:rFonts w:hint="eastAsia" w:ascii="黑体" w:hAnsi="黑体" w:eastAsia="黑体"/>
          <w:b w:val="0"/>
        </w:rPr>
        <w:t>国有资本经营预算支出决算情况说明</w:t>
      </w:r>
      <w:bookmarkEnd w:id="45"/>
      <w:bookmarkEnd w:id="46"/>
    </w:p>
    <w:p>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numPr>
          <w:ilvl w:val="0"/>
          <w:numId w:val="1"/>
        </w:numPr>
        <w:spacing w:line="600" w:lineRule="exact"/>
        <w:ind w:firstLine="640"/>
        <w:outlineLvl w:val="1"/>
        <w:rPr>
          <w:rStyle w:val="26"/>
          <w:rFonts w:ascii="黑体" w:hAnsi="黑体" w:eastAsia="黑体"/>
          <w:b w:val="0"/>
        </w:rPr>
      </w:pPr>
      <w:bookmarkStart w:id="47" w:name="_Toc15396612"/>
      <w:bookmarkStart w:id="48" w:name="_Toc15377221"/>
      <w:r>
        <w:rPr>
          <w:rStyle w:val="26"/>
          <w:rFonts w:hint="eastAsia" w:ascii="黑体" w:hAnsi="黑体" w:eastAsia="黑体"/>
          <w:b w:val="0"/>
        </w:rPr>
        <w:t>其他重要事项的情况说明</w:t>
      </w:r>
      <w:bookmarkEnd w:id="47"/>
      <w:bookmarkEnd w:id="48"/>
    </w:p>
    <w:p>
      <w:pPr>
        <w:spacing w:line="600" w:lineRule="exact"/>
        <w:ind w:firstLine="643" w:firstLineChars="200"/>
        <w:outlineLvl w:val="2"/>
        <w:rPr>
          <w:rFonts w:ascii="仿宋" w:hAnsi="仿宋" w:eastAsia="仿宋"/>
          <w:sz w:val="32"/>
          <w:szCs w:val="32"/>
        </w:rPr>
      </w:pPr>
      <w:bookmarkStart w:id="49" w:name="_Toc15377222"/>
      <w:r>
        <w:rPr>
          <w:rFonts w:hint="eastAsia" w:ascii="仿宋" w:hAnsi="仿宋" w:eastAsia="仿宋"/>
          <w:b/>
          <w:sz w:val="32"/>
          <w:szCs w:val="32"/>
        </w:rPr>
        <w:t>（一）机关运行经费支出情况</w:t>
      </w:r>
      <w:bookmarkEnd w:id="49"/>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2022年，米易生态环境局以及下属攀枝花市生态环境保护综合行政执法支队米易执法大队机关运行经费支出</w:t>
      </w:r>
      <w:r>
        <w:rPr>
          <w:rFonts w:hint="default" w:ascii="Times New Roman" w:hAnsi="Times New Roman" w:eastAsia="仿宋_GB2312" w:cs="Times New Roman"/>
          <w:sz w:val="32"/>
          <w:szCs w:val="32"/>
          <w:lang w:val="en-US" w:eastAsia="zh-CN"/>
        </w:rPr>
        <w:t>16.20</w:t>
      </w:r>
      <w:r>
        <w:rPr>
          <w:rFonts w:hint="default" w:ascii="Times New Roman" w:hAnsi="Times New Roman" w:eastAsia="仿宋_GB2312" w:cs="Times New Roman"/>
          <w:sz w:val="32"/>
          <w:szCs w:val="32"/>
        </w:rPr>
        <w:t>万元，比2021年减少</w:t>
      </w:r>
      <w:r>
        <w:rPr>
          <w:rFonts w:hint="default" w:ascii="Times New Roman" w:hAnsi="Times New Roman" w:eastAsia="仿宋_GB2312" w:cs="Times New Roman"/>
          <w:sz w:val="32"/>
          <w:szCs w:val="32"/>
          <w:lang w:val="en-US" w:eastAsia="zh-CN"/>
        </w:rPr>
        <w:t>11.61</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41.75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eastAsia="zh-CN"/>
        </w:rPr>
        <w:t>增收节支，厉行节约。</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3"/>
      <w:r>
        <w:rPr>
          <w:rFonts w:hint="eastAsia" w:ascii="仿宋" w:hAnsi="仿宋" w:eastAsia="仿宋"/>
          <w:b/>
          <w:sz w:val="32"/>
          <w:szCs w:val="32"/>
        </w:rPr>
        <w:t>（二）政府采购支出情况</w:t>
      </w:r>
      <w:bookmarkEnd w:id="50"/>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b/>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米易生态环境局</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4"/>
      <w:r>
        <w:rPr>
          <w:rFonts w:hint="eastAsia" w:ascii="仿宋" w:hAnsi="仿宋" w:eastAsia="仿宋"/>
          <w:b/>
          <w:sz w:val="32"/>
          <w:szCs w:val="32"/>
        </w:rPr>
        <w:t>（三）国有资产占有使用情况</w:t>
      </w:r>
      <w:bookmarkEnd w:id="51"/>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w:t>
      </w:r>
      <w:r>
        <w:rPr>
          <w:rFonts w:hint="default" w:ascii="Times New Roman" w:hAnsi="Times New Roman" w:eastAsia="仿宋_GB2312" w:cs="Times New Roman"/>
          <w:sz w:val="32"/>
          <w:szCs w:val="32"/>
          <w:lang w:eastAsia="zh-CN"/>
        </w:rPr>
        <w:t>米易生态环境局</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辆，其他用车主要是用于</w:t>
      </w:r>
      <w:r>
        <w:rPr>
          <w:rFonts w:hint="default" w:ascii="Times New Roman" w:hAnsi="Times New Roman" w:eastAsia="仿宋_GB2312" w:cs="Times New Roman"/>
          <w:sz w:val="32"/>
          <w:szCs w:val="32"/>
          <w:lang w:eastAsia="zh-CN"/>
        </w:rPr>
        <w:t>环境执法执勤</w:t>
      </w:r>
      <w:r>
        <w:rPr>
          <w:rFonts w:hint="default" w:ascii="Times New Roman" w:hAnsi="Times New Roman" w:eastAsia="仿宋_GB2312" w:cs="Times New Roman"/>
          <w:sz w:val="32"/>
          <w:szCs w:val="32"/>
        </w:rPr>
        <w:t>。单价100万元以上专用设备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根据预算绩效管理要求，本单位在2022年度预算编制阶段，组织对基本养老保险（行政）项目等</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个项目开展了预算事前绩效评估，对</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个项目开展绩效监控，组织对</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2"/>
        </w:numPr>
        <w:spacing w:line="600" w:lineRule="exact"/>
        <w:ind w:firstLine="660" w:firstLineChars="150"/>
        <w:jc w:val="center"/>
        <w:outlineLvl w:val="0"/>
        <w:rPr>
          <w:rStyle w:val="25"/>
          <w:rFonts w:ascii="黑体" w:hAnsi="黑体" w:eastAsia="黑体"/>
          <w:b w:val="0"/>
        </w:rPr>
      </w:pPr>
      <w:bookmarkStart w:id="52" w:name="_Toc15396613"/>
      <w:bookmarkStart w:id="53" w:name="_Toc15377225"/>
      <w:r>
        <w:rPr>
          <w:rFonts w:hint="eastAsia" w:ascii="黑体" w:hAnsi="黑体" w:eastAsia="黑体"/>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社会保障和就业（类）行政事业单位养老</w:t>
      </w:r>
      <w:r>
        <w:rPr>
          <w:rFonts w:hint="eastAsia" w:ascii="仿宋_GB2312" w:eastAsia="仿宋_GB2312"/>
          <w:sz w:val="32"/>
          <w:szCs w:val="32"/>
          <w:lang w:eastAsia="zh-CN"/>
        </w:rPr>
        <w:t>支出</w:t>
      </w:r>
      <w:r>
        <w:rPr>
          <w:rFonts w:hint="eastAsia" w:ascii="仿宋_GB2312" w:eastAsia="仿宋_GB2312"/>
          <w:sz w:val="32"/>
          <w:szCs w:val="32"/>
        </w:rPr>
        <w:t>（款）（项）机关事业单位基本养老保险缴费</w:t>
      </w:r>
      <w:r>
        <w:rPr>
          <w:rFonts w:hint="eastAsia" w:ascii="仿宋_GB2312" w:eastAsia="仿宋_GB2312"/>
          <w:sz w:val="32"/>
          <w:szCs w:val="32"/>
          <w:lang w:eastAsia="zh-CN"/>
        </w:rPr>
        <w:t>支出</w:t>
      </w:r>
      <w:r>
        <w:rPr>
          <w:rFonts w:hint="eastAsia" w:ascii="仿宋_GB2312" w:eastAsia="仿宋_GB2312"/>
          <w:sz w:val="32"/>
          <w:szCs w:val="32"/>
        </w:rPr>
        <w:t>：</w:t>
      </w:r>
      <w:r>
        <w:rPr>
          <w:rFonts w:eastAsia="仿宋_GB2312"/>
          <w:sz w:val="32"/>
          <w:szCs w:val="32"/>
        </w:rPr>
        <w:t>指单位含下属部门用于基本养老保险缴费，职业年金缴费支出。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节能环保（类）</w:t>
      </w:r>
      <w:r>
        <w:rPr>
          <w:rFonts w:hint="eastAsia" w:ascii="仿宋_GB2312" w:eastAsia="仿宋_GB2312"/>
          <w:sz w:val="32"/>
          <w:szCs w:val="32"/>
          <w:lang w:val="en-US" w:eastAsia="zh-CN"/>
        </w:rPr>
        <w:t>环境保护管理事务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（项）：指</w:t>
      </w:r>
      <w:r>
        <w:rPr>
          <w:rFonts w:hint="eastAsia" w:ascii="仿宋_GB2312" w:eastAsia="仿宋_GB2312"/>
          <w:sz w:val="32"/>
          <w:szCs w:val="32"/>
          <w:lang w:eastAsia="zh-CN"/>
        </w:rPr>
        <w:t>反映</w:t>
      </w:r>
      <w:r>
        <w:rPr>
          <w:rFonts w:hint="eastAsia" w:ascii="仿宋_GB2312" w:eastAsia="仿宋_GB2312"/>
          <w:sz w:val="32"/>
          <w:szCs w:val="32"/>
          <w:lang w:val="en-US" w:eastAsia="zh-CN"/>
        </w:rPr>
        <w:t>政府节能环保支出</w:t>
      </w:r>
      <w:r>
        <w:rPr>
          <w:rFonts w:hint="eastAsia" w:ascii="仿宋_GB2312" w:eastAsia="仿宋_GB2312"/>
          <w:sz w:val="32"/>
          <w:szCs w:val="32"/>
        </w:rPr>
        <w:t>。</w:t>
      </w:r>
    </w:p>
    <w:p>
      <w:pPr>
        <w:widowControl/>
        <w:shd w:val="clear" w:color="auto" w:fill="FFFFFF"/>
        <w:spacing w:line="560" w:lineRule="exact"/>
        <w:ind w:firstLine="640" w:firstLineChars="200"/>
        <w:jc w:val="left"/>
        <w:rPr>
          <w:rFonts w:ascii="仿宋" w:hAnsi="仿宋" w:eastAsia="仿宋"/>
          <w:b/>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住房保障（类）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eastAsia="仿宋_GB2312"/>
          <w:color w:val="333333"/>
          <w:kern w:val="0"/>
          <w:sz w:val="32"/>
          <w:szCs w:val="32"/>
          <w:shd w:val="clear" w:color="auto" w:fill="FFFFFF"/>
        </w:rPr>
        <w:t>指单位含下属部门用于在职人员住房公积金缴存。</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rPr>
          <w:rFonts w:ascii="仿宋_GB2312" w:eastAsia="仿宋_GB2312"/>
          <w:color w:val="auto"/>
          <w:sz w:val="32"/>
          <w:szCs w:val="32"/>
        </w:rPr>
      </w:pPr>
    </w:p>
    <w:p>
      <w:pPr>
        <w:pStyle w:val="23"/>
        <w:spacing w:line="560" w:lineRule="exact"/>
        <w:ind w:firstLine="640" w:firstLineChars="200"/>
        <w:rPr>
          <w:rFonts w:ascii="仿宋_GB2312" w:eastAsia="仿宋_GB2312" w:cs="黑体"/>
          <w:color w:val="auto"/>
          <w:sz w:val="32"/>
          <w:szCs w:val="32"/>
        </w:rPr>
      </w:pPr>
    </w:p>
    <w:p>
      <w:pPr>
        <w:pStyle w:val="23"/>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sz w:val="32"/>
          <w:szCs w:val="32"/>
        </w:rPr>
      </w:pPr>
    </w:p>
    <w:p>
      <w:pPr>
        <w:spacing w:line="600" w:lineRule="exact"/>
        <w:jc w:val="center"/>
        <w:outlineLvl w:val="0"/>
        <w:rPr>
          <w:rStyle w:val="25"/>
          <w:rFonts w:ascii="黑体" w:hAnsi="黑体" w:eastAsia="黑体"/>
          <w:b w:val="0"/>
        </w:rPr>
      </w:pPr>
      <w:bookmarkStart w:id="54" w:name="_Toc15396614"/>
      <w:bookmarkStart w:id="55" w:name="_Toc15377226"/>
      <w:r>
        <w:rPr>
          <w:rFonts w:hint="eastAsia" w:ascii="黑体" w:hAnsi="黑体" w:eastAsia="黑体"/>
          <w:sz w:val="44"/>
          <w:szCs w:val="44"/>
        </w:rPr>
        <w:t>第</w:t>
      </w:r>
      <w:r>
        <w:rPr>
          <w:rStyle w:val="25"/>
          <w:rFonts w:hint="eastAsia" w:ascii="黑体" w:hAnsi="黑体" w:eastAsia="黑体"/>
          <w:b w:val="0"/>
        </w:rPr>
        <w:t>四部分 附件</w:t>
      </w:r>
      <w:bookmarkEnd w:id="54"/>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default" w:ascii="Times New Roman" w:hAnsi="Times New Roman" w:eastAsia="仿宋_GB2312" w:cs="Times New Roman"/>
          <w:kern w:val="0"/>
          <w:sz w:val="32"/>
          <w:szCs w:val="32"/>
        </w:rPr>
      </w:pPr>
      <w:bookmarkStart w:id="56" w:name="_Toc15396618"/>
      <w:r>
        <w:rPr>
          <w:rFonts w:hint="default" w:ascii="Times New Roman" w:hAnsi="Times New Roman" w:eastAsia="仿宋_GB2312" w:cs="Times New Roman"/>
          <w:kern w:val="0"/>
          <w:sz w:val="32"/>
          <w:szCs w:val="32"/>
        </w:rPr>
        <w:t>部门预算项目支出绩效自评表（2022年度）见附件</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部门预算项目支出绩效自评表</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rPr>
          <w:rFonts w:hAnsi="Calibri" w:cs="仿宋"/>
          <w:sz w:val="32"/>
          <w:szCs w:val="32"/>
        </w:rPr>
      </w:pPr>
      <w:r>
        <w:rPr>
          <w:rFonts w:hAnsi="Calibri" w:cs="仿宋"/>
          <w:sz w:val="32"/>
          <w:szCs w:val="32"/>
        </w:rPr>
        <w:br w:type="page"/>
      </w: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5"/>
      <w:bookmarkEnd w:id="56"/>
      <w:bookmarkStart w:id="57"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7"/>
    </w:p>
    <w:p>
      <w:pPr>
        <w:pStyle w:val="4"/>
        <w:rPr>
          <w:rFonts w:ascii="仿宋" w:hAnsi="仿宋" w:eastAsia="仿宋"/>
        </w:rPr>
      </w:pPr>
      <w:bookmarkStart w:id="58" w:name="_Toc15396620"/>
      <w:r>
        <w:rPr>
          <w:rFonts w:hint="eastAsia" w:ascii="仿宋" w:hAnsi="仿宋" w:eastAsia="仿宋"/>
          <w:b w:val="0"/>
        </w:rPr>
        <w:t>二、收</w:t>
      </w:r>
      <w:r>
        <w:rPr>
          <w:rStyle w:val="26"/>
          <w:rFonts w:hint="eastAsia" w:ascii="仿宋" w:hAnsi="仿宋" w:eastAsia="仿宋"/>
          <w:b w:val="0"/>
          <w:bCs w:val="0"/>
        </w:rPr>
        <w:t>入决算表</w:t>
      </w:r>
      <w:bookmarkEnd w:id="58"/>
    </w:p>
    <w:p>
      <w:pPr>
        <w:pStyle w:val="4"/>
        <w:rPr>
          <w:rFonts w:ascii="仿宋" w:hAnsi="仿宋" w:eastAsia="仿宋"/>
        </w:rPr>
      </w:pPr>
      <w:bookmarkStart w:id="59"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9"/>
    </w:p>
    <w:p>
      <w:pPr>
        <w:pStyle w:val="4"/>
        <w:rPr>
          <w:rFonts w:ascii="仿宋" w:hAnsi="仿宋" w:eastAsia="仿宋"/>
          <w:b w:val="0"/>
        </w:rPr>
      </w:pPr>
      <w:bookmarkStart w:id="60"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0"/>
    </w:p>
    <w:p>
      <w:pPr>
        <w:pStyle w:val="4"/>
        <w:rPr>
          <w:rStyle w:val="26"/>
          <w:rFonts w:ascii="仿宋" w:hAnsi="仿宋" w:eastAsia="仿宋"/>
          <w:b w:val="0"/>
          <w:bCs w:val="0"/>
        </w:rPr>
      </w:pPr>
      <w:bookmarkStart w:id="61"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1"/>
      <w:bookmarkStart w:id="62"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2"/>
    </w:p>
    <w:p>
      <w:pPr>
        <w:pStyle w:val="4"/>
        <w:rPr>
          <w:rFonts w:ascii="仿宋" w:hAnsi="仿宋" w:eastAsia="仿宋"/>
        </w:rPr>
      </w:pPr>
      <w:bookmarkStart w:id="63"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3"/>
    </w:p>
    <w:p>
      <w:pPr>
        <w:pStyle w:val="4"/>
        <w:rPr>
          <w:rFonts w:ascii="仿宋" w:hAnsi="仿宋" w:eastAsia="仿宋"/>
        </w:rPr>
      </w:pPr>
      <w:bookmarkStart w:id="64"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4"/>
    </w:p>
    <w:p>
      <w:pPr>
        <w:pStyle w:val="4"/>
        <w:rPr>
          <w:rFonts w:ascii="仿宋" w:hAnsi="仿宋" w:eastAsia="仿宋"/>
        </w:rPr>
      </w:pPr>
      <w:bookmarkStart w:id="65"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5"/>
    </w:p>
    <w:p>
      <w:pPr>
        <w:pStyle w:val="4"/>
        <w:rPr>
          <w:rFonts w:ascii="仿宋" w:hAnsi="仿宋" w:eastAsia="仿宋"/>
        </w:rPr>
      </w:pPr>
      <w:bookmarkStart w:id="66" w:name="_Toc15396628"/>
      <w:r>
        <w:rPr>
          <w:rStyle w:val="26"/>
          <w:rFonts w:hint="eastAsia" w:ascii="仿宋" w:hAnsi="仿宋" w:eastAsia="仿宋"/>
          <w:b w:val="0"/>
          <w:bCs w:val="0"/>
        </w:rPr>
        <w:t>十、</w:t>
      </w:r>
      <w:bookmarkEnd w:id="66"/>
      <w:r>
        <w:rPr>
          <w:rFonts w:hint="eastAsia" w:ascii="仿宋" w:hAnsi="仿宋" w:eastAsia="仿宋"/>
          <w:b w:val="0"/>
        </w:rPr>
        <w:t>政</w:t>
      </w:r>
      <w:r>
        <w:rPr>
          <w:rStyle w:val="26"/>
          <w:rFonts w:hint="eastAsia" w:ascii="仿宋" w:hAnsi="仿宋" w:eastAsia="仿宋"/>
          <w:b w:val="0"/>
          <w:bCs w:val="0"/>
        </w:rPr>
        <w:t>府性基金预算财政拨款收入支出决算表</w:t>
      </w:r>
    </w:p>
    <w:p>
      <w:pPr>
        <w:pStyle w:val="4"/>
        <w:rPr>
          <w:rFonts w:ascii="仿宋" w:hAnsi="仿宋" w:eastAsia="仿宋"/>
        </w:rPr>
      </w:pPr>
      <w:bookmarkStart w:id="67" w:name="_Toc15396629"/>
      <w:r>
        <w:rPr>
          <w:rStyle w:val="26"/>
          <w:rFonts w:hint="eastAsia" w:ascii="仿宋" w:hAnsi="仿宋" w:eastAsia="仿宋"/>
          <w:b w:val="0"/>
          <w:bCs w:val="0"/>
        </w:rPr>
        <w:t>十一、</w:t>
      </w:r>
      <w:bookmarkEnd w:id="67"/>
      <w:r>
        <w:rPr>
          <w:rFonts w:hint="eastAsia" w:ascii="仿宋" w:hAnsi="仿宋" w:eastAsia="仿宋"/>
          <w:b w:val="0"/>
        </w:rPr>
        <w:t>国</w:t>
      </w:r>
      <w:r>
        <w:rPr>
          <w:rStyle w:val="26"/>
          <w:rFonts w:hint="eastAsia" w:ascii="仿宋" w:hAnsi="仿宋" w:eastAsia="仿宋"/>
          <w:b w:val="0"/>
          <w:bCs w:val="0"/>
        </w:rPr>
        <w:t>有资本经营预算财政拨款收入支出决算表</w:t>
      </w:r>
    </w:p>
    <w:p>
      <w:pPr>
        <w:pStyle w:val="4"/>
        <w:rPr>
          <w:rFonts w:ascii="仿宋" w:hAnsi="仿宋" w:eastAsia="仿宋"/>
        </w:rPr>
      </w:pPr>
      <w:bookmarkStart w:id="68" w:name="_Toc15396630"/>
      <w:r>
        <w:rPr>
          <w:rStyle w:val="26"/>
          <w:rFonts w:hint="eastAsia" w:ascii="仿宋" w:hAnsi="仿宋" w:eastAsia="仿宋"/>
          <w:b w:val="0"/>
          <w:bCs w:val="0"/>
        </w:rPr>
        <w:t>十二、</w:t>
      </w:r>
      <w:bookmarkEnd w:id="68"/>
      <w:r>
        <w:rPr>
          <w:rStyle w:val="26"/>
          <w:rFonts w:hint="eastAsia" w:ascii="仿宋" w:hAnsi="仿宋" w:eastAsia="仿宋"/>
          <w:b w:val="0"/>
          <w:bCs w:val="0"/>
        </w:rPr>
        <w:t>国有资本经营预算财政拨款支出决算表</w:t>
      </w:r>
    </w:p>
    <w:p>
      <w:pPr>
        <w:pStyle w:val="4"/>
        <w:rPr>
          <w:rFonts w:eastAsia="仿宋"/>
        </w:rPr>
      </w:pPr>
      <w:bookmarkStart w:id="69" w:name="_Toc15396631"/>
      <w:r>
        <w:rPr>
          <w:rStyle w:val="26"/>
          <w:rFonts w:hint="eastAsia" w:ascii="仿宋" w:hAnsi="仿宋" w:eastAsia="仿宋"/>
          <w:b w:val="0"/>
          <w:bCs w:val="0"/>
        </w:rPr>
        <w:t>十三、</w:t>
      </w:r>
      <w:bookmarkEnd w:id="69"/>
      <w:r>
        <w:rPr>
          <w:rStyle w:val="26"/>
          <w:rFonts w:hint="eastAsia" w:ascii="仿宋" w:hAnsi="仿宋" w:eastAsia="仿宋"/>
          <w:b w:val="0"/>
          <w:bCs w:val="0"/>
        </w:rPr>
        <w:t>财政拨款“三公”经费支出决算表</w:t>
      </w:r>
    </w:p>
    <w:sectPr>
      <w:footerReference r:id="rId10" w:type="first"/>
      <w:footerReference r:id="rId9"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posOffset>5117465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2.95pt;margin-top:0pt;height:144pt;width:144pt;mso-position-horizontal-relative:margin;mso-wrap-style:none;z-index:251662336;mso-width-relative:page;mso-height-relative:page;" filled="f" stroked="f" coordsize="21600,21600" o:gfxdata="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eZdv1QAAAAkBAAAPAAAAAAAAAAEAIAAAACIAAABkcnMvZG93bnJldi54bWxQ&#10;SwECFAAUAAAACACHTuJAYa2EcjMCAABjBAAADgAAAAAAAAABACAAAAAkAQAAZHJzL2Uyb0RvYy54&#10;bWxQSwUGAAAAAAYABgBZAQAAy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YjBmYTNhZjkxNzhiNDIyNWQ2NmQ3M2JjYWMwN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E73AF"/>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229B"/>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037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83010"/>
    <w:rsid w:val="01A72517"/>
    <w:rsid w:val="01AD5116"/>
    <w:rsid w:val="038025DB"/>
    <w:rsid w:val="053A62B5"/>
    <w:rsid w:val="09972461"/>
    <w:rsid w:val="09EB4898"/>
    <w:rsid w:val="0A2032A3"/>
    <w:rsid w:val="0B043FF8"/>
    <w:rsid w:val="0B8A37D8"/>
    <w:rsid w:val="0D2F5C31"/>
    <w:rsid w:val="0E08514E"/>
    <w:rsid w:val="10C055FF"/>
    <w:rsid w:val="118107EC"/>
    <w:rsid w:val="11BB6E44"/>
    <w:rsid w:val="11C12194"/>
    <w:rsid w:val="11DD6519"/>
    <w:rsid w:val="13CB2F63"/>
    <w:rsid w:val="15324167"/>
    <w:rsid w:val="16BB723D"/>
    <w:rsid w:val="18015F3F"/>
    <w:rsid w:val="18212B68"/>
    <w:rsid w:val="18C02894"/>
    <w:rsid w:val="19567ABC"/>
    <w:rsid w:val="199E22D4"/>
    <w:rsid w:val="1B915352"/>
    <w:rsid w:val="1BE8440E"/>
    <w:rsid w:val="1D155CEE"/>
    <w:rsid w:val="20F57F95"/>
    <w:rsid w:val="21AE4BD5"/>
    <w:rsid w:val="221E2B11"/>
    <w:rsid w:val="240371BF"/>
    <w:rsid w:val="25711CC6"/>
    <w:rsid w:val="25C741E6"/>
    <w:rsid w:val="27842671"/>
    <w:rsid w:val="27C34F6E"/>
    <w:rsid w:val="29F73804"/>
    <w:rsid w:val="29FD04D3"/>
    <w:rsid w:val="2ABE7A3E"/>
    <w:rsid w:val="2C332538"/>
    <w:rsid w:val="2C495249"/>
    <w:rsid w:val="2C920AA2"/>
    <w:rsid w:val="2CA234A8"/>
    <w:rsid w:val="2CD87B7A"/>
    <w:rsid w:val="2D11631C"/>
    <w:rsid w:val="2EF35391"/>
    <w:rsid w:val="2EFA178C"/>
    <w:rsid w:val="30B46D73"/>
    <w:rsid w:val="3199104B"/>
    <w:rsid w:val="319F7F4E"/>
    <w:rsid w:val="32163C89"/>
    <w:rsid w:val="32834A68"/>
    <w:rsid w:val="33357D9F"/>
    <w:rsid w:val="3434684C"/>
    <w:rsid w:val="345F71DB"/>
    <w:rsid w:val="36FA6593"/>
    <w:rsid w:val="383D272C"/>
    <w:rsid w:val="38B81761"/>
    <w:rsid w:val="39AE70AB"/>
    <w:rsid w:val="3B9A194F"/>
    <w:rsid w:val="3BB23D29"/>
    <w:rsid w:val="3C0C0783"/>
    <w:rsid w:val="3C96154E"/>
    <w:rsid w:val="3D7E1FF5"/>
    <w:rsid w:val="3F9F3A96"/>
    <w:rsid w:val="46490C20"/>
    <w:rsid w:val="48BF60AB"/>
    <w:rsid w:val="493C27E9"/>
    <w:rsid w:val="496F39ED"/>
    <w:rsid w:val="49FF41D3"/>
    <w:rsid w:val="4B646512"/>
    <w:rsid w:val="4BE068DB"/>
    <w:rsid w:val="4BF6002B"/>
    <w:rsid w:val="4BFF3AA8"/>
    <w:rsid w:val="4D286F50"/>
    <w:rsid w:val="4E9E03EE"/>
    <w:rsid w:val="4ECE2238"/>
    <w:rsid w:val="51B90DBB"/>
    <w:rsid w:val="51DB4B86"/>
    <w:rsid w:val="51FE4BFA"/>
    <w:rsid w:val="52355DA2"/>
    <w:rsid w:val="529B72AF"/>
    <w:rsid w:val="55333C3E"/>
    <w:rsid w:val="56D54068"/>
    <w:rsid w:val="57DA7C2C"/>
    <w:rsid w:val="580F37BB"/>
    <w:rsid w:val="5C7A1678"/>
    <w:rsid w:val="5D8C26BF"/>
    <w:rsid w:val="62040764"/>
    <w:rsid w:val="64CA39A1"/>
    <w:rsid w:val="665314D3"/>
    <w:rsid w:val="684921C0"/>
    <w:rsid w:val="69630ADE"/>
    <w:rsid w:val="6C4A05C8"/>
    <w:rsid w:val="6D3B1A89"/>
    <w:rsid w:val="6EB82651"/>
    <w:rsid w:val="704B7020"/>
    <w:rsid w:val="70974410"/>
    <w:rsid w:val="71BF4EC2"/>
    <w:rsid w:val="72734D90"/>
    <w:rsid w:val="7412278C"/>
    <w:rsid w:val="74D5302F"/>
    <w:rsid w:val="77C412B3"/>
    <w:rsid w:val="78F56C35"/>
    <w:rsid w:val="79E7B28D"/>
    <w:rsid w:val="7AB1773E"/>
    <w:rsid w:val="7E84738C"/>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6889613920609"/>
          <c:y val="0.0535149598637801"/>
          <c:w val="0.896873300706906"/>
          <c:h val="0.771199221600584"/>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Sheet1!$A$2:$A$5</c15:sqref>
                  </c15:fullRef>
                </c:ext>
              </c:extLst>
              <c:f>Sheet1!$A$2</c:f>
              <c:numCache>
                <c:formatCode>General</c:formatCode>
                <c:ptCount val="1"/>
              </c:numCache>
            </c:numRef>
          </c:cat>
          <c:val>
            <c:numRef>
              <c:extLst>
                <c:ext xmlns:c15="http://schemas.microsoft.com/office/drawing/2012/chart" uri="{02D57815-91ED-43cb-92C2-25804820EDAC}">
                  <c15:fullRef>
                    <c15:sqref>Sheet1!$B$2:$B$5</c15:sqref>
                  </c15:fullRef>
                </c:ext>
              </c:extLst>
              <c:f>Sheet1!$B$2</c:f>
              <c:numCache>
                <c:formatCode>General</c:formatCode>
                <c:ptCount val="1"/>
                <c:pt idx="0">
                  <c:v>199.42</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numRef>
              <c:extLst>
                <c:ext xmlns:c15="http://schemas.microsoft.com/office/drawing/2012/chart" uri="{02D57815-91ED-43cb-92C2-25804820EDAC}">
                  <c15:fullRef>
                    <c15:sqref>Sheet1!$A$2:$A$5</c15:sqref>
                  </c15:fullRef>
                </c:ext>
              </c:extLst>
              <c:f>Sheet1!$A$2</c:f>
              <c:numCache>
                <c:formatCode>General</c:formatCode>
                <c:ptCount val="1"/>
              </c:numCache>
            </c:numRef>
          </c:cat>
          <c:val>
            <c:numRef>
              <c:extLst>
                <c:ext xmlns:c15="http://schemas.microsoft.com/office/drawing/2012/chart" uri="{02D57815-91ED-43cb-92C2-25804820EDAC}">
                  <c15:fullRef>
                    <c15:sqref>Sheet1!$C$2:$C$5</c15:sqref>
                  </c15:fullRef>
                </c:ext>
              </c:extLst>
              <c:f>Sheet1!$C$2</c:f>
              <c:numCache>
                <c:formatCode>General</c:formatCode>
                <c:ptCount val="1"/>
                <c:pt idx="0">
                  <c:v>160.44</c:v>
                </c:pt>
              </c:numCache>
            </c:numRef>
          </c:val>
        </c:ser>
        <c:dLbls>
          <c:showLegendKey val="0"/>
          <c:showVal val="0"/>
          <c:showCatName val="0"/>
          <c:showSerName val="0"/>
          <c:showPercent val="0"/>
          <c:showBubbleSize val="0"/>
        </c:dLbls>
        <c:gapWidth val="219"/>
        <c:overlap val="-27"/>
        <c:axId val="787505991"/>
        <c:axId val="8680934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numRef>
                    <c:extLst>
                      <c:ext uri="{02D57815-91ED-43cb-92C2-25804820EDAC}">
                        <c15:fullRef>
                          <c15:sqref>Sheet1!$A$2:$A$5</c15:sqref>
                        </c15:fullRef>
                        <c15:formulaRef>
                          <c15:sqref>Sheet1!$A$2</c15:sqref>
                        </c15:formulaRef>
                      </c:ext>
                    </c:extLst>
                    <c:numCache>
                      <c:formatCode>General</c:formatCode>
                      <c:ptCount val="1"/>
                    </c:numCache>
                  </c:numRef>
                </c:cat>
                <c:val>
                  <c:numRef>
                    <c:extLst>
                      <c:ext uri="{02D57815-91ED-43cb-92C2-25804820EDAC}">
                        <c15:fullRef>
                          <c15:sqref>Sheet1!$D$2:$D$5</c15:sqref>
                        </c15:fullRef>
                        <c15:formulaRef>
                          <c15:sqref>Sheet1!$D$2</c15:sqref>
                        </c15:formulaRef>
                      </c:ext>
                    </c:extLst>
                    <c:numCache>
                      <c:formatCode>General</c:formatCode>
                      <c:ptCount val="1"/>
                      <c:pt idx="0">
                        <c:v>2</c:v>
                      </c:pt>
                    </c:numCache>
                  </c:numRef>
                </c:val>
              </c15:ser>
            </c15:filteredBarSeries>
          </c:ext>
        </c:extLst>
      </c:barChart>
      <c:catAx>
        <c:axId val="7875059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093472"/>
        <c:crosses val="autoZero"/>
        <c:auto val="1"/>
        <c:lblAlgn val="ctr"/>
        <c:lblOffset val="100"/>
        <c:noMultiLvlLbl val="0"/>
      </c:catAx>
      <c:valAx>
        <c:axId val="86809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5059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本年收入合计</c:v>
                </c:pt>
              </c:strCache>
            </c:strRef>
          </c:tx>
          <c:spPr/>
          <c:explosion val="0"/>
          <c:dPt>
            <c:idx val="0"/>
            <c:bubble3D val="0"/>
            <c:spPr>
              <a:solidFill>
                <a:schemeClr val="accent1"/>
              </a:solidFill>
              <a:ln w="19050">
                <a:solidFill>
                  <a:schemeClr val="lt1"/>
                </a:solidFill>
              </a:ln>
              <a:effectLst/>
            </c:spPr>
          </c:dPt>
          <c:dLbls>
            <c:delete val="1"/>
          </c:dLbls>
          <c:cat>
            <c:strRef>
              <c:extLst>
                <c:ext xmlns:c15="http://schemas.microsoft.com/office/drawing/2012/chart" uri="{02D57815-91ED-43cb-92C2-25804820EDAC}">
                  <c15:fullRef>
                    <c15:sqref>Sheet1!$A$2:$A$5</c15:sqref>
                  </c15:fullRef>
                </c:ext>
              </c:extLst>
              <c:f>Sheet1!$A$2</c:f>
              <c:strCache>
                <c:ptCount val="1"/>
                <c:pt idx="0">
                  <c:v>财政拨款收入</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153.61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Lbls>
            <c:delete val="1"/>
          </c:dLbls>
          <c:cat>
            <c:strRef>
              <c:extLst>
                <c:ext xmlns:c15="http://schemas.microsoft.com/office/drawing/2012/chart" uri="{02D57815-91ED-43cb-92C2-25804820EDAC}">
                  <c15:fullRef>
                    <c15:sqref>Sheet1!$A$2:$A$5</c15:sqref>
                  </c15:fullRef>
                </c:ext>
              </c:extLst>
              <c:f>Sheet1!$A$2</c:f>
              <c:strCache>
                <c:ptCount val="1"/>
                <c:pt idx="0">
                  <c:v>基本支出</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160.44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Sheet1!$A$2:$A$5</c15:sqref>
                  </c15:fullRef>
                </c:ext>
              </c:extLst>
              <c:f>Sheet1!$A$2</c:f>
              <c:numCache>
                <c:formatCode>General</c:formatCode>
                <c:ptCount val="1"/>
              </c:numCache>
            </c:numRef>
          </c:cat>
          <c:val>
            <c:numRef>
              <c:extLst>
                <c:ext xmlns:c15="http://schemas.microsoft.com/office/drawing/2012/chart" uri="{02D57815-91ED-43cb-92C2-25804820EDAC}">
                  <c15:fullRef>
                    <c15:sqref>Sheet1!$B$2:$B$5</c15:sqref>
                  </c15:fullRef>
                </c:ext>
              </c:extLst>
              <c:f>Sheet1!$B$2</c:f>
              <c:numCache>
                <c:formatCode>General</c:formatCode>
                <c:ptCount val="1"/>
                <c:pt idx="0">
                  <c:v>199.42</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numRef>
              <c:extLst>
                <c:ext xmlns:c15="http://schemas.microsoft.com/office/drawing/2012/chart" uri="{02D57815-91ED-43cb-92C2-25804820EDAC}">
                  <c15:fullRef>
                    <c15:sqref>Sheet1!$A$2:$A$5</c15:sqref>
                  </c15:fullRef>
                </c:ext>
              </c:extLst>
              <c:f>Sheet1!$A$2</c:f>
              <c:numCache>
                <c:formatCode>General</c:formatCode>
                <c:ptCount val="1"/>
              </c:numCache>
            </c:numRef>
          </c:cat>
          <c:val>
            <c:numRef>
              <c:extLst>
                <c:ext xmlns:c15="http://schemas.microsoft.com/office/drawing/2012/chart" uri="{02D57815-91ED-43cb-92C2-25804820EDAC}">
                  <c15:fullRef>
                    <c15:sqref>Sheet1!$C$2:$C$5</c15:sqref>
                  </c15:fullRef>
                </c:ext>
              </c:extLst>
              <c:f>Sheet1!$C$2</c:f>
              <c:numCache>
                <c:formatCode>General</c:formatCode>
                <c:ptCount val="1"/>
                <c:pt idx="0">
                  <c:v>160.44</c:v>
                </c:pt>
              </c:numCache>
            </c:numRef>
          </c:val>
        </c:ser>
        <c:dLbls>
          <c:showLegendKey val="0"/>
          <c:showVal val="0"/>
          <c:showCatName val="0"/>
          <c:showSerName val="0"/>
          <c:showPercent val="0"/>
          <c:showBubbleSize val="0"/>
        </c:dLbls>
        <c:gapWidth val="219"/>
        <c:overlap val="-27"/>
        <c:axId val="431421790"/>
        <c:axId val="304651187"/>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numRef>
                    <c:extLst>
                      <c:ext uri="{02D57815-91ED-43cb-92C2-25804820EDAC}">
                        <c15:fullRef>
                          <c15:sqref>Sheet1!$A$2:$A$5</c15:sqref>
                        </c15:fullRef>
                        <c15:formulaRef>
                          <c15:sqref>Sheet1!$A$2</c15:sqref>
                        </c15:formulaRef>
                      </c:ext>
                    </c:extLst>
                    <c:numCache>
                      <c:formatCode>General</c:formatCode>
                      <c:ptCount val="1"/>
                    </c:numCache>
                  </c:numRef>
                </c:cat>
                <c:val>
                  <c:numRef>
                    <c:extLst>
                      <c:ext uri="{02D57815-91ED-43cb-92C2-25804820EDAC}">
                        <c15:fullRef>
                          <c15:sqref>Sheet1!$D$2:$D$5</c15:sqref>
                        </c15:fullRef>
                        <c15:formulaRef>
                          <c15:sqref>Sheet1!$D$2</c15:sqref>
                        </c15:formulaRef>
                      </c:ext>
                    </c:extLst>
                    <c:numCache>
                      <c:formatCode>General</c:formatCode>
                      <c:ptCount val="1"/>
                      <c:pt idx="0">
                        <c:v>2</c:v>
                      </c:pt>
                    </c:numCache>
                  </c:numRef>
                </c:val>
              </c15:ser>
            </c15:filteredBarSeries>
          </c:ext>
        </c:extLst>
      </c:barChart>
      <c:catAx>
        <c:axId val="4314217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4651187"/>
        <c:crosses val="autoZero"/>
        <c:auto val="1"/>
        <c:lblAlgn val="ctr"/>
        <c:lblOffset val="100"/>
        <c:noMultiLvlLbl val="0"/>
      </c:catAx>
      <c:valAx>
        <c:axId val="3046511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4217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Sheet1!$A$2:$A$5</c15:sqref>
                  </c15:fullRef>
                </c:ext>
              </c:extLst>
              <c:f>Sheet1!$A$2</c:f>
              <c:numCache>
                <c:formatCode>General</c:formatCode>
                <c:ptCount val="1"/>
              </c:numCache>
            </c:numRef>
          </c:cat>
          <c:val>
            <c:numRef>
              <c:extLst>
                <c:ext xmlns:c15="http://schemas.microsoft.com/office/drawing/2012/chart" uri="{02D57815-91ED-43cb-92C2-25804820EDAC}">
                  <c15:fullRef>
                    <c15:sqref>Sheet1!$B$2:$B$5</c15:sqref>
                  </c15:fullRef>
                </c:ext>
              </c:extLst>
              <c:f>Sheet1!$B$2</c:f>
              <c:numCache>
                <c:formatCode>General</c:formatCode>
                <c:ptCount val="1"/>
                <c:pt idx="0">
                  <c:v>199.42</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numRef>
              <c:extLst>
                <c:ext xmlns:c15="http://schemas.microsoft.com/office/drawing/2012/chart" uri="{02D57815-91ED-43cb-92C2-25804820EDAC}">
                  <c15:fullRef>
                    <c15:sqref>Sheet1!$A$2:$A$5</c15:sqref>
                  </c15:fullRef>
                </c:ext>
              </c:extLst>
              <c:f>Sheet1!$A$2</c:f>
              <c:numCache>
                <c:formatCode>General</c:formatCode>
                <c:ptCount val="1"/>
              </c:numCache>
            </c:numRef>
          </c:cat>
          <c:val>
            <c:numRef>
              <c:extLst>
                <c:ext xmlns:c15="http://schemas.microsoft.com/office/drawing/2012/chart" uri="{02D57815-91ED-43cb-92C2-25804820EDAC}">
                  <c15:fullRef>
                    <c15:sqref>Sheet1!$C$2:$C$5</c15:sqref>
                  </c15:fullRef>
                </c:ext>
              </c:extLst>
              <c:f>Sheet1!$C$2</c:f>
              <c:numCache>
                <c:formatCode>General</c:formatCode>
                <c:ptCount val="1"/>
                <c:pt idx="0">
                  <c:v>160.44</c:v>
                </c:pt>
              </c:numCache>
            </c:numRef>
          </c:val>
        </c:ser>
        <c:dLbls>
          <c:showLegendKey val="0"/>
          <c:showVal val="0"/>
          <c:showCatName val="0"/>
          <c:showSerName val="0"/>
          <c:showPercent val="0"/>
          <c:showBubbleSize val="0"/>
        </c:dLbls>
        <c:gapWidth val="219"/>
        <c:overlap val="-27"/>
        <c:axId val="99835937"/>
        <c:axId val="31598195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numRef>
                    <c:extLst>
                      <c:ext uri="{02D57815-91ED-43cb-92C2-25804820EDAC}">
                        <c15:fullRef>
                          <c15:sqref>Sheet1!$A$2:$A$5</c15:sqref>
                        </c15:fullRef>
                        <c15:formulaRef>
                          <c15:sqref>Sheet1!$A$2</c15:sqref>
                        </c15:formulaRef>
                      </c:ext>
                    </c:extLst>
                    <c:numCache>
                      <c:formatCode>General</c:formatCode>
                      <c:ptCount val="1"/>
                    </c:numCache>
                  </c:numRef>
                </c:cat>
                <c:val>
                  <c:numRef>
                    <c:extLst>
                      <c:ext uri="{02D57815-91ED-43cb-92C2-25804820EDAC}">
                        <c15:fullRef>
                          <c15:sqref>Sheet1!$D$2:$D$5</c15:sqref>
                        </c15:fullRef>
                        <c15:formulaRef>
                          <c15:sqref>Sheet1!$D$2</c15:sqref>
                        </c15:formulaRef>
                      </c:ext>
                    </c:extLst>
                    <c:numCache>
                      <c:formatCode>General</c:formatCode>
                      <c:ptCount val="1"/>
                      <c:pt idx="0">
                        <c:v>2</c:v>
                      </c:pt>
                    </c:numCache>
                  </c:numRef>
                </c:val>
              </c15:ser>
            </c15:filteredBarSeries>
          </c:ext>
        </c:extLst>
      </c:barChart>
      <c:catAx>
        <c:axId val="998359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5981952"/>
        <c:crosses val="autoZero"/>
        <c:auto val="1"/>
        <c:lblAlgn val="ctr"/>
        <c:lblOffset val="100"/>
        <c:noMultiLvlLbl val="0"/>
      </c:catAx>
      <c:valAx>
        <c:axId val="31598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359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extLst>
                <c:ext xmlns:c15="http://schemas.microsoft.com/office/drawing/2012/chart" uri="{02D57815-91ED-43cb-92C2-25804820EDAC}">
                  <c15:fullRef>
                    <c15:sqref>Sheet1!$A$2:$A$5</c15:sqref>
                  </c15:fullRef>
                </c:ext>
              </c:extLst>
              <c:f>Sheet1!$A$2:$A$4</c:f>
              <c:strCache>
                <c:ptCount val="3"/>
                <c:pt idx="0">
                  <c:v>社会保障和就业</c:v>
                </c:pt>
                <c:pt idx="1">
                  <c:v>节能环保</c:v>
                </c:pt>
                <c:pt idx="2">
                  <c:v>住房保障</c:v>
                </c:pt>
              </c:strCache>
            </c:strRef>
          </c:cat>
          <c:val>
            <c:numRef>
              <c:extLst>
                <c:ext xmlns:c15="http://schemas.microsoft.com/office/drawing/2012/chart" uri="{02D57815-91ED-43cb-92C2-25804820EDAC}">
                  <c15:fullRef>
                    <c15:sqref>Sheet1!$B$2:$B$5</c15:sqref>
                  </c15:fullRef>
                </c:ext>
              </c:extLst>
              <c:f>Sheet1!$B$2:$B$4</c:f>
              <c:numCache>
                <c:formatCode>General</c:formatCode>
                <c:ptCount val="3"/>
                <c:pt idx="0">
                  <c:v>13.04</c:v>
                </c:pt>
                <c:pt idx="1">
                  <c:v>129.87</c:v>
                </c:pt>
                <c:pt idx="2">
                  <c:v>17.53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Lbls>
            <c:delete val="1"/>
          </c:dLbls>
          <c:cat>
            <c:strRef>
              <c:extLst>
                <c:ext xmlns:c15="http://schemas.microsoft.com/office/drawing/2012/chart" uri="{02D57815-91ED-43cb-92C2-25804820EDAC}">
                  <c15:fullRef>
                    <c15:sqref>Sheet1!$A$2:$A$5</c15:sqref>
                  </c15:fullRef>
                </c:ext>
              </c:extLst>
              <c:f>Sheet1!$A$2</c:f>
              <c:strCache>
                <c:ptCount val="1"/>
                <c:pt idx="0">
                  <c:v>公务接待费</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1.17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5934</Words>
  <Characters>6298</Characters>
  <Lines>41</Lines>
  <Paragraphs>11</Paragraphs>
  <TotalTime>0</TotalTime>
  <ScaleCrop>false</ScaleCrop>
  <LinksUpToDate>false</LinksUpToDate>
  <CharactersWithSpaces>6318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晨光</cp:lastModifiedBy>
  <cp:lastPrinted>2023-07-31T02:35:00Z</cp:lastPrinted>
  <dcterms:modified xsi:type="dcterms:W3CDTF">2023-09-11T02:11:55Z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4FB6D09A6E36465A8BE40C057D147E2A_13</vt:lpwstr>
  </property>
</Properties>
</file>