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hint="eastAsia" w:ascii="方正小标宋_GBK" w:hAnsi="方正小标宋_GBK" w:eastAsia="方正小标宋_GBK" w:cs="方正小标宋_GBK"/>
          <w:sz w:val="72"/>
          <w:szCs w:val="72"/>
        </w:rPr>
      </w:pPr>
      <w:bookmarkStart w:id="1" w:name="_Toc15396597"/>
      <w:bookmarkStart w:id="2" w:name="_Toc15377425"/>
      <w:bookmarkStart w:id="3" w:name="_Toc15396475"/>
      <w:bookmarkStart w:id="4" w:name="_Toc15377193"/>
      <w:bookmarkStart w:id="5" w:name="_Toc15378441"/>
      <w:r>
        <w:rPr>
          <w:rFonts w:hint="eastAsia" w:ascii="方正小标宋_GBK" w:hAnsi="方正小标宋_GBK" w:eastAsia="方正小标宋_GBK" w:cs="方正小标宋_GBK"/>
          <w:sz w:val="72"/>
          <w:szCs w:val="72"/>
        </w:rPr>
        <w:t>2022年度</w:t>
      </w:r>
      <w:bookmarkEnd w:id="1"/>
      <w:bookmarkEnd w:id="2"/>
      <w:bookmarkEnd w:id="3"/>
      <w:bookmarkEnd w:id="4"/>
      <w:bookmarkEnd w:id="5"/>
    </w:p>
    <w:p>
      <w:pPr>
        <w:adjustRightInd w:val="0"/>
        <w:snapToGrid w:val="0"/>
        <w:spacing w:line="360" w:lineRule="auto"/>
        <w:jc w:val="center"/>
        <w:outlineLvl w:val="0"/>
        <w:rPr>
          <w:rFonts w:hint="eastAsia" w:ascii="方正小标宋_GBK" w:hAnsi="方正小标宋_GBK" w:eastAsia="方正小标宋_GBK" w:cs="方正小标宋_GBK"/>
          <w:sz w:val="72"/>
          <w:szCs w:val="72"/>
        </w:rPr>
      </w:pPr>
      <w:bookmarkStart w:id="6" w:name="_Toc15378442"/>
      <w:bookmarkStart w:id="7" w:name="_Toc15396598"/>
      <w:bookmarkStart w:id="8" w:name="_Toc15377426"/>
      <w:bookmarkStart w:id="9" w:name="_Toc15396476"/>
      <w:bookmarkStart w:id="10" w:name="_Toc15377194"/>
      <w:r>
        <w:rPr>
          <w:rFonts w:hint="eastAsia" w:ascii="方正小标宋_GBK" w:hAnsi="方正小标宋_GBK" w:eastAsia="方正小标宋_GBK" w:cs="方正小标宋_GBK"/>
          <w:sz w:val="72"/>
          <w:szCs w:val="72"/>
        </w:rPr>
        <w:t>攀枝花市</w:t>
      </w:r>
      <w:bookmarkEnd w:id="0"/>
      <w:bookmarkStart w:id="11" w:name="_Toc15306268"/>
      <w:r>
        <w:rPr>
          <w:rFonts w:hint="eastAsia" w:ascii="方正小标宋_GBK" w:hAnsi="方正小标宋_GBK" w:eastAsia="方正小标宋_GBK" w:cs="方正小标宋_GBK"/>
          <w:sz w:val="72"/>
          <w:szCs w:val="72"/>
          <w:lang w:eastAsia="zh-CN"/>
        </w:rPr>
        <w:t>仁和生态环境监测站</w:t>
      </w:r>
      <w:r>
        <w:rPr>
          <w:rFonts w:hint="eastAsia" w:ascii="方正小标宋_GBK" w:hAnsi="方正小标宋_GBK" w:eastAsia="方正小标宋_GBK" w:cs="方正小标宋_GBK"/>
          <w:sz w:val="72"/>
          <w:szCs w:val="72"/>
        </w:rPr>
        <w:t>单位决算</w:t>
      </w:r>
      <w:bookmarkEnd w:id="6"/>
      <w:bookmarkEnd w:id="7"/>
      <w:bookmarkEnd w:id="8"/>
      <w:bookmarkEnd w:id="9"/>
      <w:bookmarkEnd w:id="10"/>
      <w:bookmarkEnd w:id="11"/>
    </w:p>
    <w:p>
      <w:pPr>
        <w:widowControl/>
        <w:jc w:val="center"/>
        <w:rPr>
          <w:rFonts w:hint="eastAsia" w:ascii="黑体" w:hAnsi="黑体" w:eastAsia="黑体"/>
          <w:sz w:val="48"/>
          <w:szCs w:val="48"/>
        </w:rPr>
        <w:sectPr>
          <w:headerReference r:id="rId3" w:type="default"/>
          <w:footerReference r:id="rId5" w:type="default"/>
          <w:headerReference r:id="rId4" w:type="even"/>
          <w:footerReference r:id="rId6" w:type="even"/>
          <w:pgSz w:w="11906" w:h="16838"/>
          <w:pgMar w:top="1440" w:right="1800" w:bottom="1440" w:left="1800" w:header="851" w:footer="992" w:gutter="0"/>
          <w:pgNumType w:fmt="numberInDash" w:start="1"/>
          <w:cols w:space="425" w:num="1"/>
          <w:titlePg/>
          <w:docGrid w:type="lines" w:linePitch="312" w:charSpace="0"/>
        </w:sectPr>
      </w:pPr>
    </w:p>
    <w:p>
      <w:pPr>
        <w:widowControl/>
        <w:jc w:val="center"/>
        <w:rPr>
          <w:rFonts w:ascii="黑体" w:hAnsi="黑体" w:eastAsia="黑体"/>
          <w:sz w:val="48"/>
          <w:szCs w:val="48"/>
        </w:rPr>
      </w:pP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0"/>
        <w:rPr>
          <w:rFonts w:hint="default" w:ascii="Times New Roman" w:hAnsi="Times New Roman" w:cs="Times New Roman"/>
        </w:rPr>
      </w:pPr>
      <w:bookmarkStart w:id="67" w:name="_GoBack"/>
      <w:r>
        <w:rPr>
          <w:rFonts w:hint="default" w:ascii="Times New Roman" w:hAnsi="Times New Roman" w:cs="Times New Roman"/>
        </w:rPr>
        <w:t>公开时间：2023年</w:t>
      </w:r>
      <w:r>
        <w:rPr>
          <w:rFonts w:hint="default" w:ascii="Times New Roman" w:hAnsi="Times New Roman" w:cs="Times New Roman"/>
          <w:lang w:val="en-US" w:eastAsia="zh-CN"/>
        </w:rPr>
        <w:t>9</w:t>
      </w:r>
      <w:r>
        <w:rPr>
          <w:rFonts w:hint="default" w:ascii="Times New Roman" w:hAnsi="Times New Roman" w:cs="Times New Roman"/>
        </w:rPr>
        <w:t>月</w:t>
      </w:r>
      <w:r>
        <w:rPr>
          <w:rFonts w:hint="default" w:ascii="Times New Roman" w:hAnsi="Times New Roman" w:cs="Times New Roman"/>
          <w:lang w:val="en-US" w:eastAsia="zh-CN"/>
        </w:rPr>
        <w:t>12</w:t>
      </w:r>
      <w:r>
        <w:rPr>
          <w:rFonts w:hint="default" w:ascii="Times New Roman" w:hAnsi="Times New Roman" w:cs="Times New Roman"/>
        </w:rPr>
        <w:t>日</w:t>
      </w:r>
    </w:p>
    <w:bookmarkEnd w:id="67"/>
    <w:p/>
    <w:p>
      <w:pPr>
        <w:pStyle w:val="10"/>
        <w:adjustRightInd w:val="0"/>
        <w:snapToGrid w:val="0"/>
        <w:spacing w:before="0" w:line="440" w:lineRule="exact"/>
        <w:jc w:val="left"/>
        <w:rPr>
          <w:rFonts w:hint="eastAsia" w:eastAsia="仿宋" w:cstheme="minorBidi"/>
          <w:sz w:val="24"/>
          <w:szCs w:val="24"/>
          <w:lang w:val="en-US" w:eastAsia="zh-CN"/>
        </w:rPr>
      </w:pPr>
      <w:r>
        <w:rPr>
          <w:rFonts w:hint="eastAsia"/>
          <w:sz w:val="24"/>
        </w:rPr>
        <w:t>第一部分</w:t>
      </w:r>
      <w:r>
        <w:rPr>
          <w:sz w:val="24"/>
        </w:rPr>
        <w:t xml:space="preserve"> </w:t>
      </w:r>
      <w:r>
        <w:rPr>
          <w:rFonts w:hint="eastAsia"/>
          <w:sz w:val="24"/>
        </w:rPr>
        <w:t>单位概况</w:t>
      </w:r>
      <w:r>
        <w:rPr>
          <w:rFonts w:cstheme="minorBidi"/>
          <w:sz w:val="24"/>
          <w:szCs w:val="24"/>
        </w:rPr>
        <w:tab/>
      </w:r>
      <w:r>
        <w:rPr>
          <w:rFonts w:hint="eastAsia" w:cstheme="minorBidi"/>
          <w:sz w:val="24"/>
          <w:szCs w:val="24"/>
          <w:lang w:val="en-US" w:eastAsia="zh-CN"/>
        </w:rPr>
        <w:t>1</w:t>
      </w:r>
    </w:p>
    <w:p>
      <w:pPr>
        <w:pStyle w:val="11"/>
        <w:adjustRightInd w:val="0"/>
        <w:snapToGrid w:val="0"/>
        <w:spacing w:line="440" w:lineRule="exact"/>
        <w:jc w:val="left"/>
        <w:rPr>
          <w:rFonts w:hint="eastAsia" w:eastAsia="宋体"/>
          <w:sz w:val="24"/>
          <w:lang w:val="en-US" w:eastAsia="zh-CN"/>
        </w:rPr>
      </w:pPr>
      <w:r>
        <w:rPr>
          <w:rFonts w:hint="eastAsia"/>
          <w:sz w:val="24"/>
        </w:rPr>
        <w:t>一、主要职责</w:t>
      </w:r>
      <w:r>
        <w:rPr>
          <w:rFonts w:cstheme="minorBidi"/>
          <w:sz w:val="24"/>
        </w:rPr>
        <w:tab/>
      </w:r>
      <w:r>
        <w:rPr>
          <w:rFonts w:hint="eastAsia" w:cstheme="minorBidi"/>
          <w:sz w:val="24"/>
          <w:lang w:val="en-US" w:eastAsia="zh-CN"/>
        </w:rPr>
        <w:t>1</w:t>
      </w:r>
    </w:p>
    <w:p>
      <w:pPr>
        <w:pStyle w:val="11"/>
        <w:adjustRightInd w:val="0"/>
        <w:snapToGrid w:val="0"/>
        <w:spacing w:line="440" w:lineRule="exact"/>
        <w:jc w:val="left"/>
        <w:rPr>
          <w:rFonts w:hint="default" w:eastAsia="宋体"/>
          <w:lang w:val="en-US" w:eastAsia="zh-CN"/>
        </w:rPr>
      </w:pPr>
      <w:r>
        <w:rPr>
          <w:rFonts w:hint="eastAsia"/>
          <w:sz w:val="24"/>
        </w:rPr>
        <w:t>二、机构设置</w:t>
      </w:r>
      <w:r>
        <w:rPr>
          <w:rFonts w:hint="eastAsia"/>
          <w:sz w:val="24"/>
          <w:lang w:val="en-US" w:eastAsia="zh-CN"/>
        </w:rPr>
        <w:t>...........................................................................................................1</w:t>
      </w:r>
    </w:p>
    <w:p>
      <w:pPr>
        <w:pStyle w:val="10"/>
        <w:adjustRightInd w:val="0"/>
        <w:snapToGrid w:val="0"/>
        <w:spacing w:before="0" w:line="440" w:lineRule="exact"/>
        <w:jc w:val="left"/>
        <w:rPr>
          <w:rFonts w:hint="default" w:eastAsia="仿宋"/>
          <w:sz w:val="24"/>
          <w:szCs w:val="24"/>
          <w:lang w:val="en-US" w:eastAsia="zh-CN"/>
        </w:rPr>
      </w:pPr>
      <w:r>
        <w:rPr>
          <w:rFonts w:hint="eastAsia"/>
          <w:sz w:val="24"/>
        </w:rPr>
        <w:t>第二部分 2022年度单位决算情况说明</w:t>
      </w:r>
      <w:r>
        <w:rPr>
          <w:rFonts w:hint="eastAsia"/>
          <w:sz w:val="24"/>
          <w:lang w:val="en-US" w:eastAsia="zh-CN"/>
        </w:rPr>
        <w:t>..................................2</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一、收入支出决算总体情况说明</w:t>
      </w:r>
      <w:r>
        <w:rPr>
          <w:rFonts w:hint="eastAsia"/>
          <w:sz w:val="24"/>
          <w:lang w:val="en-US" w:eastAsia="zh-CN"/>
        </w:rPr>
        <w:t>.........................................................................2</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二、收入决算情况说明</w:t>
      </w:r>
      <w:r>
        <w:rPr>
          <w:rFonts w:hint="eastAsia"/>
          <w:sz w:val="24"/>
          <w:lang w:val="en-US" w:eastAsia="zh-CN"/>
        </w:rPr>
        <w:t>.........................................................................................2</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三、支出决算情况说明</w:t>
      </w:r>
      <w:r>
        <w:rPr>
          <w:rFonts w:hint="eastAsia"/>
          <w:sz w:val="24"/>
          <w:lang w:val="en-US" w:eastAsia="zh-CN"/>
        </w:rPr>
        <w:t>.........................................................................................3</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四、财政拨款收入支出决算总体情况说明</w:t>
      </w:r>
      <w:r>
        <w:rPr>
          <w:rFonts w:hint="eastAsia"/>
          <w:sz w:val="24"/>
          <w:lang w:val="en-US" w:eastAsia="zh-CN"/>
        </w:rPr>
        <w:t>.........................................................3</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五、一般公共预算财政拨款支出决算情况说明</w:t>
      </w:r>
      <w:r>
        <w:rPr>
          <w:rFonts w:hint="eastAsia"/>
          <w:sz w:val="24"/>
          <w:lang w:val="en-US" w:eastAsia="zh-CN"/>
        </w:rPr>
        <w:t>.................................................4</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六、一般公共预算财政拨款基本支出决算情况说明</w:t>
      </w:r>
      <w:r>
        <w:rPr>
          <w:rFonts w:hint="eastAsia"/>
          <w:sz w:val="24"/>
          <w:lang w:val="en-US" w:eastAsia="zh-CN"/>
        </w:rPr>
        <w:t>..........................................6</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七、财政拨款“三公”经费支出决算情况说明</w:t>
      </w:r>
      <w:r>
        <w:rPr>
          <w:rFonts w:hint="eastAsia"/>
          <w:sz w:val="24"/>
          <w:lang w:val="en-US" w:eastAsia="zh-CN"/>
        </w:rPr>
        <w:t>..................................................6</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八、政府性基金预算支出决算情况说明</w:t>
      </w:r>
      <w:r>
        <w:rPr>
          <w:rFonts w:hint="eastAsia"/>
          <w:sz w:val="24"/>
          <w:lang w:val="en-US" w:eastAsia="zh-CN"/>
        </w:rPr>
        <w:t>..............................................................7</w:t>
      </w:r>
    </w:p>
    <w:p>
      <w:pPr>
        <w:pStyle w:val="11"/>
        <w:adjustRightInd w:val="0"/>
        <w:snapToGrid w:val="0"/>
        <w:spacing w:line="440" w:lineRule="exact"/>
        <w:jc w:val="left"/>
        <w:rPr>
          <w:rFonts w:hint="default" w:eastAsia="宋体"/>
          <w:sz w:val="24"/>
          <w:lang w:val="en-US" w:eastAsia="zh-CN"/>
        </w:rPr>
      </w:pPr>
      <w:r>
        <w:rPr>
          <w:rFonts w:hint="eastAsia"/>
          <w:sz w:val="24"/>
        </w:rPr>
        <w:t>九、国有资本经营预算支出决算情况说明</w:t>
      </w:r>
      <w:r>
        <w:rPr>
          <w:rFonts w:hint="eastAsia"/>
          <w:sz w:val="24"/>
          <w:lang w:val="en-US" w:eastAsia="zh-CN"/>
        </w:rPr>
        <w:t>..........................................................8</w:t>
      </w:r>
    </w:p>
    <w:p>
      <w:pPr>
        <w:pStyle w:val="11"/>
        <w:adjustRightInd w:val="0"/>
        <w:snapToGrid w:val="0"/>
        <w:spacing w:line="440" w:lineRule="exact"/>
        <w:jc w:val="left"/>
        <w:rPr>
          <w:rFonts w:hint="default" w:eastAsia="宋体"/>
          <w:sz w:val="24"/>
          <w:lang w:val="en-US" w:eastAsia="zh-CN"/>
        </w:rPr>
      </w:pPr>
      <w:r>
        <w:rPr>
          <w:rFonts w:hint="eastAsia"/>
          <w:sz w:val="24"/>
        </w:rPr>
        <w:t>十、其他重要事项的情况说明</w:t>
      </w:r>
      <w:r>
        <w:rPr>
          <w:rFonts w:hint="eastAsia"/>
          <w:sz w:val="24"/>
          <w:lang w:val="en-US" w:eastAsia="zh-CN"/>
        </w:rPr>
        <w:t>..............................................................................8</w:t>
      </w:r>
    </w:p>
    <w:p>
      <w:pPr>
        <w:pStyle w:val="10"/>
        <w:adjustRightInd w:val="0"/>
        <w:snapToGrid w:val="0"/>
        <w:spacing w:before="0" w:line="440" w:lineRule="exact"/>
        <w:jc w:val="left"/>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rPr>
          <w:rFonts w:hint="eastAsia"/>
          <w:sz w:val="24"/>
          <w:lang w:val="en-US" w:eastAsia="zh-CN"/>
        </w:rPr>
        <w:t>..................................................9</w:t>
      </w:r>
    </w:p>
    <w:p>
      <w:pPr>
        <w:pStyle w:val="10"/>
        <w:adjustRightInd w:val="0"/>
        <w:snapToGrid w:val="0"/>
        <w:spacing w:before="0" w:line="440" w:lineRule="exact"/>
        <w:jc w:val="left"/>
        <w:rPr>
          <w:rFonts w:hint="default" w:eastAsia="仿宋" w:cstheme="minorBidi"/>
          <w:sz w:val="24"/>
          <w:szCs w:val="24"/>
          <w:lang w:val="en-US" w:eastAsia="zh-CN"/>
        </w:rPr>
      </w:pPr>
      <w:r>
        <w:rPr>
          <w:rFonts w:hint="eastAsia"/>
          <w:sz w:val="24"/>
        </w:rPr>
        <w:t>第四部分</w:t>
      </w:r>
      <w:r>
        <w:rPr>
          <w:sz w:val="24"/>
        </w:rPr>
        <w:t xml:space="preserve"> </w:t>
      </w:r>
      <w:r>
        <w:rPr>
          <w:rFonts w:hint="eastAsia"/>
          <w:sz w:val="24"/>
        </w:rPr>
        <w:t>附件</w:t>
      </w:r>
      <w:r>
        <w:rPr>
          <w:rFonts w:hint="eastAsia"/>
          <w:sz w:val="24"/>
          <w:lang w:val="en-US" w:eastAsia="zh-CN"/>
        </w:rPr>
        <w:t>......................................................11</w:t>
      </w:r>
    </w:p>
    <w:p>
      <w:pPr>
        <w:pStyle w:val="10"/>
        <w:adjustRightInd w:val="0"/>
        <w:snapToGrid w:val="0"/>
        <w:spacing w:before="0" w:line="440" w:lineRule="exact"/>
        <w:jc w:val="left"/>
        <w:rPr>
          <w:rFonts w:hint="default" w:eastAsia="仿宋" w:cstheme="minorBidi"/>
          <w:sz w:val="24"/>
          <w:szCs w:val="24"/>
          <w:lang w:val="en-US" w:eastAsia="zh-CN"/>
        </w:rPr>
      </w:pPr>
      <w:r>
        <w:rPr>
          <w:rFonts w:hint="eastAsia"/>
          <w:sz w:val="24"/>
        </w:rPr>
        <w:t>第五部分</w:t>
      </w:r>
      <w:r>
        <w:rPr>
          <w:sz w:val="24"/>
        </w:rPr>
        <w:t xml:space="preserve"> </w:t>
      </w:r>
      <w:r>
        <w:rPr>
          <w:rFonts w:hint="eastAsia"/>
          <w:sz w:val="24"/>
        </w:rPr>
        <w:t>附表</w:t>
      </w:r>
      <w:r>
        <w:rPr>
          <w:rFonts w:hint="eastAsia"/>
          <w:sz w:val="24"/>
          <w:lang w:val="en-US" w:eastAsia="zh-CN"/>
        </w:rPr>
        <w:t>......................................................12</w:t>
      </w:r>
    </w:p>
    <w:p>
      <w:pPr>
        <w:pStyle w:val="11"/>
        <w:adjustRightInd w:val="0"/>
        <w:snapToGrid w:val="0"/>
        <w:spacing w:line="440" w:lineRule="exact"/>
        <w:jc w:val="left"/>
        <w:rPr>
          <w:rFonts w:hint="default" w:eastAsia="宋体"/>
          <w:sz w:val="24"/>
          <w:lang w:val="en-US" w:eastAsia="zh-CN"/>
        </w:rPr>
      </w:pPr>
      <w:r>
        <w:rPr>
          <w:rFonts w:hint="eastAsia"/>
          <w:sz w:val="24"/>
        </w:rPr>
        <w:t>一、收入支出决算总表</w:t>
      </w:r>
      <w:r>
        <w:rPr>
          <w:rFonts w:hint="eastAsia"/>
          <w:sz w:val="24"/>
          <w:lang w:val="en-US" w:eastAsia="zh-CN"/>
        </w:rPr>
        <w:t>.......................................................................................12</w:t>
      </w:r>
    </w:p>
    <w:p>
      <w:pPr>
        <w:pStyle w:val="11"/>
        <w:adjustRightInd w:val="0"/>
        <w:snapToGrid w:val="0"/>
        <w:spacing w:line="440" w:lineRule="exact"/>
        <w:jc w:val="left"/>
        <w:rPr>
          <w:rFonts w:hint="default" w:eastAsia="宋体"/>
          <w:sz w:val="24"/>
          <w:lang w:val="en-US" w:eastAsia="zh-CN"/>
        </w:rPr>
      </w:pPr>
      <w:r>
        <w:rPr>
          <w:rFonts w:hint="eastAsia"/>
          <w:sz w:val="24"/>
        </w:rPr>
        <w:t>二、收入决算表</w:t>
      </w:r>
      <w:r>
        <w:rPr>
          <w:rFonts w:hint="eastAsia"/>
          <w:sz w:val="24"/>
          <w:lang w:val="en-US" w:eastAsia="zh-CN"/>
        </w:rPr>
        <w:t>...................................................................................................12</w:t>
      </w:r>
    </w:p>
    <w:p>
      <w:pPr>
        <w:pStyle w:val="11"/>
        <w:adjustRightInd w:val="0"/>
        <w:snapToGrid w:val="0"/>
        <w:spacing w:line="440" w:lineRule="exact"/>
        <w:jc w:val="left"/>
        <w:rPr>
          <w:rFonts w:hint="default" w:eastAsia="宋体"/>
          <w:sz w:val="24"/>
          <w:lang w:val="en-US" w:eastAsia="zh-CN"/>
        </w:rPr>
      </w:pPr>
      <w:r>
        <w:rPr>
          <w:rFonts w:hint="eastAsia"/>
          <w:sz w:val="24"/>
        </w:rPr>
        <w:t>三、支出决算表</w:t>
      </w:r>
      <w:r>
        <w:rPr>
          <w:rFonts w:hint="eastAsia"/>
          <w:sz w:val="24"/>
          <w:lang w:val="en-US" w:eastAsia="zh-CN"/>
        </w:rPr>
        <w:t>....................................................................................................12</w:t>
      </w:r>
    </w:p>
    <w:p>
      <w:pPr>
        <w:pStyle w:val="11"/>
        <w:adjustRightInd w:val="0"/>
        <w:snapToGrid w:val="0"/>
        <w:spacing w:line="440" w:lineRule="exact"/>
        <w:jc w:val="left"/>
        <w:rPr>
          <w:rFonts w:hint="default" w:eastAsia="宋体"/>
          <w:sz w:val="24"/>
          <w:lang w:val="en-US" w:eastAsia="zh-CN"/>
        </w:rPr>
      </w:pPr>
      <w:r>
        <w:rPr>
          <w:rFonts w:hint="eastAsia"/>
          <w:sz w:val="24"/>
        </w:rPr>
        <w:t>四、财政拨款收入支出决算总表</w:t>
      </w:r>
      <w:r>
        <w:rPr>
          <w:rFonts w:hint="eastAsia"/>
          <w:sz w:val="24"/>
          <w:lang w:val="en-US" w:eastAsia="zh-CN"/>
        </w:rPr>
        <w:t>........................................................................12</w:t>
      </w:r>
    </w:p>
    <w:p>
      <w:pPr>
        <w:pStyle w:val="11"/>
        <w:adjustRightInd w:val="0"/>
        <w:snapToGrid w:val="0"/>
        <w:spacing w:line="440" w:lineRule="exact"/>
        <w:jc w:val="left"/>
        <w:rPr>
          <w:rFonts w:hint="default" w:eastAsia="宋体"/>
          <w:sz w:val="24"/>
          <w:lang w:val="en-US" w:eastAsia="zh-CN"/>
        </w:rPr>
      </w:pPr>
      <w:r>
        <w:rPr>
          <w:rFonts w:hint="eastAsia"/>
          <w:sz w:val="24"/>
        </w:rPr>
        <w:t>五、财政拨款支出决算明细表</w:t>
      </w:r>
      <w:r>
        <w:rPr>
          <w:rFonts w:hint="eastAsia"/>
          <w:sz w:val="24"/>
          <w:lang w:val="en-US" w:eastAsia="zh-CN"/>
        </w:rPr>
        <w:t>............................................................................12</w:t>
      </w:r>
    </w:p>
    <w:p>
      <w:pPr>
        <w:pStyle w:val="11"/>
        <w:adjustRightInd w:val="0"/>
        <w:snapToGrid w:val="0"/>
        <w:spacing w:line="440" w:lineRule="exact"/>
        <w:jc w:val="left"/>
        <w:rPr>
          <w:rFonts w:hint="default" w:eastAsia="宋体"/>
          <w:sz w:val="24"/>
          <w:lang w:val="en-US" w:eastAsia="zh-CN"/>
        </w:rPr>
      </w:pPr>
      <w:r>
        <w:rPr>
          <w:rFonts w:hint="eastAsia"/>
          <w:sz w:val="24"/>
        </w:rPr>
        <w:t>六、一般公共预算财政拨款支出决算表</w:t>
      </w:r>
      <w:r>
        <w:rPr>
          <w:rFonts w:hint="eastAsia"/>
          <w:sz w:val="24"/>
          <w:lang w:val="en-US" w:eastAsia="zh-CN"/>
        </w:rPr>
        <w:t>............................................................12</w:t>
      </w:r>
    </w:p>
    <w:p>
      <w:pPr>
        <w:pStyle w:val="11"/>
        <w:adjustRightInd w:val="0"/>
        <w:snapToGrid w:val="0"/>
        <w:spacing w:line="440" w:lineRule="exact"/>
        <w:jc w:val="left"/>
        <w:rPr>
          <w:rFonts w:hint="default" w:eastAsia="宋体"/>
          <w:sz w:val="24"/>
          <w:lang w:val="en-US" w:eastAsia="zh-CN"/>
        </w:rPr>
      </w:pPr>
      <w:r>
        <w:rPr>
          <w:rFonts w:hint="eastAsia"/>
          <w:sz w:val="24"/>
        </w:rPr>
        <w:t>七、一般公共预算财政拨款支出决算明细表</w:t>
      </w:r>
      <w:r>
        <w:rPr>
          <w:rFonts w:hint="eastAsia"/>
          <w:sz w:val="24"/>
          <w:lang w:val="en-US" w:eastAsia="zh-CN"/>
        </w:rPr>
        <w:t>....................................................12</w:t>
      </w:r>
    </w:p>
    <w:p>
      <w:pPr>
        <w:pStyle w:val="11"/>
        <w:adjustRightInd w:val="0"/>
        <w:snapToGrid w:val="0"/>
        <w:spacing w:line="440" w:lineRule="exact"/>
        <w:jc w:val="left"/>
        <w:rPr>
          <w:rFonts w:hint="default" w:eastAsia="宋体"/>
          <w:sz w:val="24"/>
          <w:lang w:val="en-US" w:eastAsia="zh-CN"/>
        </w:rPr>
      </w:pPr>
      <w:r>
        <w:rPr>
          <w:rFonts w:hint="eastAsia"/>
          <w:sz w:val="24"/>
        </w:rPr>
        <w:t>八、一般公共预算财政拨款基本支出决算明细表</w:t>
      </w:r>
      <w:r>
        <w:rPr>
          <w:rFonts w:hint="eastAsia"/>
          <w:sz w:val="24"/>
          <w:lang w:val="en-US" w:eastAsia="zh-CN"/>
        </w:rPr>
        <w:t>............................................12</w:t>
      </w:r>
    </w:p>
    <w:p>
      <w:pPr>
        <w:pStyle w:val="11"/>
        <w:adjustRightInd w:val="0"/>
        <w:snapToGrid w:val="0"/>
        <w:spacing w:line="440" w:lineRule="exact"/>
        <w:jc w:val="left"/>
        <w:rPr>
          <w:rFonts w:hint="default" w:eastAsia="宋体"/>
          <w:sz w:val="24"/>
          <w:lang w:val="en-US" w:eastAsia="zh-CN"/>
        </w:rPr>
      </w:pPr>
      <w:r>
        <w:rPr>
          <w:rFonts w:hint="eastAsia"/>
          <w:sz w:val="24"/>
        </w:rPr>
        <w:t>九、一般公共预算财政拨款项目支出决算表</w:t>
      </w:r>
      <w:r>
        <w:rPr>
          <w:rFonts w:hint="eastAsia"/>
          <w:sz w:val="24"/>
          <w:lang w:val="en-US" w:eastAsia="zh-CN"/>
        </w:rPr>
        <w:t>.....................................................12</w:t>
      </w:r>
    </w:p>
    <w:p>
      <w:pPr>
        <w:pStyle w:val="11"/>
        <w:adjustRightInd w:val="0"/>
        <w:snapToGrid w:val="0"/>
        <w:spacing w:line="440" w:lineRule="exact"/>
        <w:jc w:val="left"/>
        <w:rPr>
          <w:rFonts w:hint="eastAsia"/>
          <w:sz w:val="24"/>
        </w:rPr>
        <w:sectPr>
          <w:footerReference r:id="rId8" w:type="first"/>
          <w:footerReference r:id="rId7" w:type="default"/>
          <w:pgSz w:w="11906" w:h="16838"/>
          <w:pgMar w:top="1440" w:right="1800" w:bottom="1440" w:left="1800" w:header="851" w:footer="992" w:gutter="0"/>
          <w:pgNumType w:fmt="numberInDash" w:start="1"/>
          <w:cols w:space="425" w:num="1"/>
          <w:docGrid w:type="lines" w:linePitch="312" w:charSpace="0"/>
        </w:sectPr>
      </w:pPr>
    </w:p>
    <w:p>
      <w:pPr>
        <w:pStyle w:val="11"/>
        <w:adjustRightInd w:val="0"/>
        <w:snapToGrid w:val="0"/>
        <w:spacing w:line="440" w:lineRule="exact"/>
        <w:jc w:val="left"/>
        <w:rPr>
          <w:rFonts w:hint="default" w:eastAsia="宋体"/>
          <w:sz w:val="24"/>
          <w:lang w:val="en-US" w:eastAsia="zh-CN"/>
        </w:rPr>
      </w:pPr>
      <w:r>
        <w:rPr>
          <w:rFonts w:hint="eastAsia"/>
          <w:sz w:val="24"/>
        </w:rPr>
        <w:t>十、政府性基金预算财政拨款收入支出决算表</w:t>
      </w:r>
      <w:r>
        <w:rPr>
          <w:rFonts w:hint="eastAsia"/>
          <w:sz w:val="24"/>
          <w:lang w:val="en-US" w:eastAsia="zh-CN"/>
        </w:rPr>
        <w:t>..............................................12</w:t>
      </w:r>
    </w:p>
    <w:p>
      <w:pPr>
        <w:pStyle w:val="11"/>
        <w:adjustRightInd w:val="0"/>
        <w:snapToGrid w:val="0"/>
        <w:spacing w:line="440" w:lineRule="exact"/>
        <w:jc w:val="left"/>
        <w:rPr>
          <w:rFonts w:hint="default" w:eastAsia="宋体"/>
          <w:sz w:val="24"/>
          <w:lang w:val="en-US" w:eastAsia="zh-CN"/>
        </w:rPr>
      </w:pPr>
      <w:r>
        <w:rPr>
          <w:rFonts w:hint="eastAsia"/>
          <w:sz w:val="24"/>
        </w:rPr>
        <w:t>十一、国有资本经营预算财政拨款收入支出决算表</w:t>
      </w:r>
      <w:r>
        <w:rPr>
          <w:rFonts w:hint="eastAsia"/>
          <w:sz w:val="24"/>
          <w:lang w:val="en-US" w:eastAsia="zh-CN"/>
        </w:rPr>
        <w:t>......................................12</w:t>
      </w:r>
    </w:p>
    <w:p>
      <w:pPr>
        <w:pStyle w:val="11"/>
        <w:adjustRightInd w:val="0"/>
        <w:snapToGrid w:val="0"/>
        <w:spacing w:line="440" w:lineRule="exact"/>
        <w:jc w:val="left"/>
        <w:rPr>
          <w:rFonts w:hint="default" w:eastAsia="宋体"/>
          <w:sz w:val="24"/>
          <w:lang w:val="en-US" w:eastAsia="zh-CN"/>
        </w:rPr>
      </w:pPr>
      <w:r>
        <w:rPr>
          <w:rFonts w:hint="eastAsia"/>
          <w:sz w:val="24"/>
        </w:rPr>
        <w:t>十二、国有资本经营预算财政拨款支出决算表</w:t>
      </w:r>
      <w:r>
        <w:rPr>
          <w:rFonts w:hint="eastAsia"/>
          <w:sz w:val="24"/>
          <w:lang w:val="en-US" w:eastAsia="zh-CN"/>
        </w:rPr>
        <w:t>..............................................12</w:t>
      </w:r>
    </w:p>
    <w:p>
      <w:pPr>
        <w:pStyle w:val="11"/>
        <w:adjustRightInd w:val="0"/>
        <w:snapToGrid w:val="0"/>
        <w:spacing w:line="440" w:lineRule="exact"/>
        <w:ind w:left="0" w:leftChars="0" w:firstLine="480" w:firstLineChars="200"/>
        <w:jc w:val="left"/>
        <w:rPr>
          <w:rFonts w:hint="default" w:eastAsia="宋体"/>
          <w:sz w:val="24"/>
          <w:lang w:val="en-US" w:eastAsia="zh-CN"/>
        </w:rPr>
      </w:pPr>
      <w:r>
        <w:rPr>
          <w:rFonts w:hint="eastAsia"/>
          <w:sz w:val="24"/>
        </w:rPr>
        <w:t>十三、财政拨款“三公”经费支出决算表</w:t>
      </w:r>
      <w:bookmarkStart w:id="12" w:name="_Toc15377196"/>
      <w:bookmarkStart w:id="13" w:name="_Toc15396599"/>
      <w:r>
        <w:rPr>
          <w:rFonts w:hint="eastAsia"/>
          <w:sz w:val="24"/>
          <w:lang w:val="en-US" w:eastAsia="zh-CN"/>
        </w:rPr>
        <w:t>.....................................................12</w:t>
      </w:r>
    </w:p>
    <w:p>
      <w:pPr>
        <w:pStyle w:val="11"/>
        <w:bidi w:val="0"/>
        <w:jc w:val="left"/>
        <w:rPr>
          <w:rFonts w:hint="default"/>
          <w:lang w:val="en-US" w:eastAsia="zh-CN"/>
        </w:rPr>
        <w:sectPr>
          <w:footerReference r:id="rId9" w:type="default"/>
          <w:pgSz w:w="11906" w:h="16838"/>
          <w:pgMar w:top="1440" w:right="1800" w:bottom="1440" w:left="1800" w:header="851" w:footer="992" w:gutter="0"/>
          <w:pgNumType w:fmt="numberInDash" w:start="1"/>
          <w:cols w:space="425" w:num="1"/>
          <w:docGrid w:type="lines" w:linePitch="312" w:charSpace="0"/>
        </w:sectPr>
      </w:pPr>
    </w:p>
    <w:p>
      <w:pPr>
        <w:pStyle w:val="3"/>
        <w:jc w:val="center"/>
        <w:rPr>
          <w:rStyle w:val="24"/>
          <w:rFonts w:ascii="黑体" w:hAnsi="黑体" w:eastAsia="黑体"/>
          <w:b/>
          <w:bCs w:val="0"/>
        </w:rPr>
      </w:pPr>
      <w:r>
        <w:rPr>
          <w:rFonts w:hint="eastAsia" w:ascii="黑体" w:hAnsi="黑体" w:eastAsia="黑体"/>
          <w:b w:val="0"/>
        </w:rPr>
        <w:t>第一部分 单位</w:t>
      </w:r>
      <w:r>
        <w:rPr>
          <w:rStyle w:val="24"/>
          <w:rFonts w:hint="eastAsia" w:ascii="黑体" w:hAnsi="黑体" w:eastAsia="黑体"/>
          <w:b w:val="0"/>
          <w:bCs w:val="0"/>
        </w:rPr>
        <w:t>概况</w:t>
      </w:r>
      <w:bookmarkEnd w:id="12"/>
      <w:bookmarkEnd w:id="13"/>
    </w:p>
    <w:p>
      <w:pPr>
        <w:widowControl/>
        <w:jc w:val="left"/>
        <w:rPr>
          <w:rFonts w:ascii="黑体" w:eastAsia="黑体"/>
          <w:sz w:val="32"/>
          <w:szCs w:val="32"/>
        </w:rPr>
      </w:pPr>
    </w:p>
    <w:p>
      <w:pPr>
        <w:pStyle w:val="4"/>
        <w:numPr>
          <w:ilvl w:val="0"/>
          <w:numId w:val="0"/>
        </w:numPr>
        <w:ind w:firstLine="640" w:firstLineChars="200"/>
        <w:rPr>
          <w:rStyle w:val="25"/>
          <w:rFonts w:ascii="黑体" w:hAnsi="黑体" w:eastAsia="黑体"/>
          <w:b w:val="0"/>
          <w:bCs w:val="0"/>
        </w:rPr>
      </w:pPr>
      <w:bookmarkStart w:id="14" w:name="_Toc15396600"/>
      <w:bookmarkStart w:id="15" w:name="_Toc15377197"/>
      <w:r>
        <w:rPr>
          <w:rStyle w:val="25"/>
          <w:rFonts w:hint="eastAsia" w:ascii="黑体" w:hAnsi="黑体" w:eastAsia="黑体"/>
          <w:b w:val="0"/>
          <w:bCs w:val="0"/>
          <w:lang w:eastAsia="zh-CN"/>
        </w:rPr>
        <w:t>一、</w:t>
      </w:r>
      <w:r>
        <w:rPr>
          <w:rStyle w:val="25"/>
          <w:rFonts w:hint="eastAsia" w:ascii="黑体" w:hAnsi="黑体" w:eastAsia="黑体"/>
          <w:b w:val="0"/>
          <w:bCs w:val="0"/>
        </w:rPr>
        <w:t>主要职责</w:t>
      </w:r>
    </w:p>
    <w:p>
      <w:pPr>
        <w:pStyle w:val="2"/>
        <w:keepNext w:val="0"/>
        <w:keepLines w:val="0"/>
        <w:pageBreakBefore w:val="0"/>
        <w:widowControl w:val="0"/>
        <w:kinsoku/>
        <w:wordWrap/>
        <w:overflowPunct/>
        <w:topLinePunct w:val="0"/>
        <w:autoSpaceDE/>
        <w:autoSpaceDN/>
        <w:bidi w:val="0"/>
        <w:adjustRightInd w:val="0"/>
        <w:snapToGrid w:val="0"/>
        <w:spacing w:beforeLines="0" w:line="560" w:lineRule="exact"/>
        <w:ind w:firstLine="672" w:firstLineChars="21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负责辖区范围内的执法监测、监督性监测和突发生态环境事件应急监测等工作。</w:t>
      </w:r>
    </w:p>
    <w:p>
      <w:pPr>
        <w:pStyle w:val="4"/>
        <w:numPr>
          <w:ilvl w:val="0"/>
          <w:numId w:val="0"/>
        </w:numPr>
        <w:ind w:leftChars="0" w:firstLine="640" w:firstLineChars="200"/>
        <w:rPr>
          <w:rFonts w:hint="eastAsia" w:ascii="黑体" w:hAnsi="黑体" w:eastAsia="黑体"/>
          <w:b w:val="0"/>
        </w:rPr>
      </w:pPr>
      <w:r>
        <w:rPr>
          <w:rFonts w:hint="eastAsia" w:ascii="黑体" w:hAnsi="黑体" w:eastAsia="黑体"/>
          <w:b w:val="0"/>
          <w:lang w:eastAsia="zh-CN"/>
        </w:rPr>
        <w:t>二、</w:t>
      </w:r>
      <w:r>
        <w:rPr>
          <w:rFonts w:hint="eastAsia" w:ascii="黑体" w:hAnsi="黑体" w:eastAsia="黑体"/>
          <w:b w:val="0"/>
        </w:rPr>
        <w:t>机构设置</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仁和生态环境监测站为市生态环境局所属公益一类事业单位，具体工作接受市生态环境局</w:t>
      </w:r>
      <w:r>
        <w:rPr>
          <w:rFonts w:hint="default" w:ascii="Times New Roman" w:hAnsi="Times New Roman" w:eastAsia="仿宋_GB2312" w:cs="Times New Roman"/>
          <w:sz w:val="32"/>
          <w:szCs w:val="32"/>
          <w:lang w:val="en-US" w:eastAsia="zh-CN"/>
        </w:rPr>
        <w:t>派驻县</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区</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的生态环境局领导。核定事业</w:t>
      </w:r>
      <w:r>
        <w:rPr>
          <w:rFonts w:hint="eastAsia" w:eastAsia="仿宋_GB2312" w:cs="Times New Roman"/>
          <w:sz w:val="32"/>
          <w:szCs w:val="32"/>
          <w:lang w:val="en-US" w:eastAsia="zh-CN"/>
        </w:rPr>
        <w:t>编制职数</w:t>
      </w:r>
      <w:r>
        <w:rPr>
          <w:rFonts w:hint="default" w:ascii="Times New Roman" w:hAnsi="Times New Roman" w:eastAsia="仿宋_GB2312" w:cs="Times New Roman"/>
          <w:sz w:val="32"/>
          <w:szCs w:val="32"/>
          <w:lang w:val="en-US" w:eastAsia="zh-CN"/>
        </w:rPr>
        <w:t>16名，党政领导职数3名。</w:t>
      </w:r>
    </w:p>
    <w:bookmarkEnd w:id="14"/>
    <w:bookmarkEnd w:id="15"/>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4"/>
          <w:rFonts w:ascii="黑体" w:hAnsi="黑体" w:eastAsia="黑体"/>
          <w:b w:val="0"/>
          <w:bCs/>
        </w:rPr>
      </w:pPr>
      <w:bookmarkStart w:id="16" w:name="_Toc15377204"/>
      <w:bookmarkStart w:id="17" w:name="_Toc15396602"/>
      <w:r>
        <w:rPr>
          <w:rFonts w:hint="eastAsia" w:ascii="黑体" w:hAnsi="黑体" w:eastAsia="黑体"/>
          <w:b w:val="0"/>
        </w:rPr>
        <w:t>第二部分 2022年度</w:t>
      </w:r>
      <w:r>
        <w:rPr>
          <w:rStyle w:val="24"/>
          <w:rFonts w:hint="eastAsia" w:ascii="黑体" w:hAnsi="黑体" w:eastAsia="黑体"/>
          <w:b w:val="0"/>
          <w:bCs/>
        </w:rPr>
        <w:t>单位决算情况说明</w:t>
      </w:r>
      <w:bookmarkEnd w:id="16"/>
      <w:bookmarkEnd w:id="17"/>
    </w:p>
    <w:p/>
    <w:p>
      <w:pPr>
        <w:pStyle w:val="23"/>
        <w:numPr>
          <w:ilvl w:val="0"/>
          <w:numId w:val="0"/>
        </w:numPr>
        <w:spacing w:line="600" w:lineRule="exact"/>
        <w:ind w:left="640" w:leftChars="0"/>
        <w:outlineLvl w:val="1"/>
        <w:rPr>
          <w:rStyle w:val="25"/>
          <w:rFonts w:ascii="黑体" w:hAnsi="黑体" w:eastAsia="黑体"/>
          <w:b w:val="0"/>
        </w:rPr>
      </w:pPr>
      <w:bookmarkStart w:id="18" w:name="_Toc15377205"/>
      <w:bookmarkStart w:id="19" w:name="_Toc15396603"/>
      <w:r>
        <w:rPr>
          <w:rFonts w:hint="eastAsia" w:ascii="黑体" w:hAnsi="黑体" w:eastAsia="黑体"/>
          <w:sz w:val="32"/>
          <w:szCs w:val="32"/>
          <w:lang w:eastAsia="zh-CN"/>
        </w:rPr>
        <w:t>一、</w:t>
      </w:r>
      <w:r>
        <w:rPr>
          <w:rFonts w:hint="eastAsia" w:ascii="黑体" w:hAnsi="黑体" w:eastAsia="黑体"/>
          <w:sz w:val="32"/>
          <w:szCs w:val="32"/>
        </w:rPr>
        <w:t>收</w:t>
      </w:r>
      <w:r>
        <w:rPr>
          <w:rStyle w:val="25"/>
          <w:rFonts w:hint="eastAsia" w:ascii="黑体" w:hAnsi="黑体" w:eastAsia="黑体"/>
          <w:b w:val="0"/>
        </w:rPr>
        <w:t>入支出决算总体情况说明</w:t>
      </w:r>
      <w:bookmarkEnd w:id="18"/>
      <w:bookmarkEnd w:id="1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2022年度收、支总计</w:t>
      </w:r>
      <w:r>
        <w:rPr>
          <w:rFonts w:hint="default" w:ascii="Times New Roman" w:hAnsi="Times New Roman" w:eastAsia="仿宋_GB2312" w:cs="Times New Roman"/>
          <w:sz w:val="32"/>
          <w:szCs w:val="32"/>
          <w:lang w:val="en-US" w:eastAsia="zh-CN"/>
        </w:rPr>
        <w:t>297.94</w:t>
      </w:r>
      <w:r>
        <w:rPr>
          <w:rFonts w:hint="default" w:ascii="Times New Roman" w:hAnsi="Times New Roman" w:eastAsia="仿宋_GB2312" w:cs="Times New Roman"/>
          <w:sz w:val="32"/>
          <w:szCs w:val="32"/>
        </w:rPr>
        <w:t>万元。与2021年相比，收、支总计各</w:t>
      </w:r>
      <w:r>
        <w:rPr>
          <w:rFonts w:hint="default" w:ascii="Times New Roman" w:hAnsi="Times New Roman" w:eastAsia="仿宋_GB2312" w:cs="Times New Roman"/>
          <w:sz w:val="32"/>
          <w:szCs w:val="32"/>
          <w:lang w:eastAsia="zh-CN"/>
        </w:rPr>
        <w:t>减少</w:t>
      </w:r>
      <w:r>
        <w:rPr>
          <w:rFonts w:hint="default" w:ascii="Times New Roman" w:hAnsi="Times New Roman" w:eastAsia="仿宋_GB2312" w:cs="Times New Roman"/>
          <w:sz w:val="32"/>
          <w:szCs w:val="32"/>
          <w:lang w:val="en-US" w:eastAsia="zh-CN"/>
        </w:rPr>
        <w:t>16.58</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下降</w:t>
      </w:r>
      <w:r>
        <w:rPr>
          <w:rFonts w:hint="default" w:ascii="Times New Roman" w:hAnsi="Times New Roman" w:eastAsia="仿宋_GB2312" w:cs="Times New Roman"/>
          <w:sz w:val="32"/>
          <w:szCs w:val="32"/>
          <w:lang w:val="en-US" w:eastAsia="zh-CN"/>
        </w:rPr>
        <w:t>5.27</w:t>
      </w:r>
      <w:r>
        <w:rPr>
          <w:rFonts w:hint="default" w:ascii="Times New Roman" w:hAnsi="Times New Roman" w:eastAsia="仿宋_GB2312" w:cs="Times New Roman"/>
          <w:sz w:val="32"/>
          <w:szCs w:val="32"/>
        </w:rPr>
        <w:t>%。主要变动原因是</w:t>
      </w:r>
      <w:r>
        <w:rPr>
          <w:rFonts w:hint="default" w:ascii="Times New Roman" w:hAnsi="Times New Roman" w:eastAsia="仿宋_GB2312" w:cs="Times New Roman"/>
          <w:sz w:val="32"/>
          <w:szCs w:val="32"/>
          <w:lang w:eastAsia="zh-CN"/>
        </w:rPr>
        <w:t>仁和区级项目资金减少</w:t>
      </w:r>
      <w:r>
        <w:rPr>
          <w:rFonts w:hint="default" w:ascii="Times New Roman" w:hAnsi="Times New Roman" w:eastAsia="仿宋_GB2312" w:cs="Times New Roman"/>
          <w:sz w:val="32"/>
          <w:szCs w:val="32"/>
        </w:rPr>
        <w:t>。</w:t>
      </w:r>
    </w:p>
    <w:p>
      <w:pPr>
        <w:pStyle w:val="2"/>
      </w:pPr>
      <w:r>
        <w:rPr>
          <w:rFonts w:hint="eastAsia" w:eastAsia="仿宋_GB2312"/>
          <w:lang w:eastAsia="zh-CN"/>
        </w:rPr>
        <w:drawing>
          <wp:anchor distT="0" distB="0" distL="114300" distR="114300" simplePos="0" relativeHeight="251659264" behindDoc="0" locked="0" layoutInCell="1" allowOverlap="1">
            <wp:simplePos x="0" y="0"/>
            <wp:positionH relativeFrom="column">
              <wp:posOffset>452120</wp:posOffset>
            </wp:positionH>
            <wp:positionV relativeFrom="paragraph">
              <wp:posOffset>6350</wp:posOffset>
            </wp:positionV>
            <wp:extent cx="4480560" cy="2792095"/>
            <wp:effectExtent l="4445" t="5080" r="10795" b="22225"/>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pStyle w:val="2"/>
        <w:rPr>
          <w:rFonts w:hint="eastAsia" w:eastAsia="仿宋_GB2312"/>
          <w:lang w:eastAsia="zh-CN"/>
        </w:rPr>
      </w:pPr>
    </w:p>
    <w:p>
      <w:pPr>
        <w:pStyle w:val="23"/>
        <w:numPr>
          <w:ilvl w:val="0"/>
          <w:numId w:val="1"/>
        </w:numPr>
        <w:spacing w:line="600" w:lineRule="exact"/>
        <w:ind w:left="640" w:leftChars="0"/>
        <w:outlineLvl w:val="1"/>
        <w:rPr>
          <w:rStyle w:val="25"/>
          <w:rFonts w:hint="eastAsia" w:ascii="黑体" w:hAnsi="黑体" w:eastAsia="黑体"/>
          <w:b w:val="0"/>
        </w:rPr>
      </w:pPr>
      <w:bookmarkStart w:id="20" w:name="_Toc15396604"/>
      <w:bookmarkStart w:id="21" w:name="_Toc15377206"/>
      <w:r>
        <w:rPr>
          <w:rFonts w:hint="eastAsia" w:ascii="黑体" w:hAnsi="黑体" w:eastAsia="黑体"/>
          <w:sz w:val="32"/>
          <w:szCs w:val="32"/>
        </w:rPr>
        <w:t>收</w:t>
      </w:r>
      <w:r>
        <w:rPr>
          <w:rStyle w:val="25"/>
          <w:rFonts w:hint="eastAsia" w:ascii="黑体" w:hAnsi="黑体" w:eastAsia="黑体"/>
          <w:b w:val="0"/>
        </w:rPr>
        <w:t>入决算情况说明</w:t>
      </w:r>
      <w:bookmarkEnd w:id="20"/>
      <w:bookmarkEnd w:id="21"/>
    </w:p>
    <w:p>
      <w:pPr>
        <w:pStyle w:val="23"/>
        <w:widowControl w:val="0"/>
        <w:numPr>
          <w:ilvl w:val="0"/>
          <w:numId w:val="0"/>
        </w:numPr>
        <w:spacing w:line="600" w:lineRule="exact"/>
        <w:jc w:val="both"/>
        <w:outlineLvl w:val="1"/>
        <w:rPr>
          <w:rStyle w:val="25"/>
          <w:rFonts w:hint="eastAsia" w:ascii="黑体" w:hAnsi="黑体" w:eastAsia="黑体"/>
          <w:b w:val="0"/>
        </w:rPr>
      </w:pPr>
    </w:p>
    <w:p>
      <w:pPr>
        <w:pStyle w:val="23"/>
        <w:widowControl w:val="0"/>
        <w:numPr>
          <w:ilvl w:val="0"/>
          <w:numId w:val="0"/>
        </w:numPr>
        <w:spacing w:line="600" w:lineRule="exact"/>
        <w:jc w:val="both"/>
        <w:outlineLvl w:val="1"/>
        <w:rPr>
          <w:rStyle w:val="25"/>
          <w:rFonts w:hint="eastAsia" w:ascii="黑体" w:hAnsi="黑体" w:eastAsia="黑体"/>
          <w:b w:val="0"/>
        </w:rPr>
      </w:pPr>
    </w:p>
    <w:p>
      <w:pPr>
        <w:pStyle w:val="23"/>
        <w:widowControl w:val="0"/>
        <w:numPr>
          <w:ilvl w:val="0"/>
          <w:numId w:val="0"/>
        </w:numPr>
        <w:spacing w:line="600" w:lineRule="exact"/>
        <w:jc w:val="both"/>
        <w:outlineLvl w:val="1"/>
        <w:rPr>
          <w:rStyle w:val="25"/>
          <w:rFonts w:hint="eastAsia" w:ascii="黑体" w:hAnsi="黑体" w:eastAsia="黑体"/>
          <w:b w:val="0"/>
        </w:rPr>
      </w:pPr>
    </w:p>
    <w:p>
      <w:pPr>
        <w:pStyle w:val="23"/>
        <w:widowControl w:val="0"/>
        <w:numPr>
          <w:ilvl w:val="0"/>
          <w:numId w:val="0"/>
        </w:numPr>
        <w:spacing w:line="600" w:lineRule="exact"/>
        <w:jc w:val="both"/>
        <w:outlineLvl w:val="1"/>
        <w:rPr>
          <w:rStyle w:val="25"/>
          <w:rFonts w:hint="eastAsia" w:ascii="黑体" w:hAnsi="黑体" w:eastAsia="黑体"/>
          <w:b w:val="0"/>
        </w:rPr>
      </w:pPr>
    </w:p>
    <w:p>
      <w:pPr>
        <w:spacing w:line="60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r>
        <w:rPr>
          <w:rFonts w:hint="eastAsia" w:ascii="仿宋" w:hAnsi="仿宋" w:eastAsia="仿宋"/>
          <w:sz w:val="32"/>
          <w:szCs w:val="32"/>
          <w:lang w:val="en-US" w:eastAsia="zh-CN"/>
        </w:rPr>
        <w:t>(柱状图)</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outlineLvl w:val="1"/>
        <w:rPr>
          <w:rStyle w:val="25"/>
          <w:rFonts w:hint="eastAsia" w:ascii="黑体" w:hAnsi="黑体" w:eastAsia="黑体"/>
          <w:b w:val="0"/>
        </w:rPr>
      </w:pPr>
      <w:r>
        <w:rPr>
          <w:rFonts w:hint="eastAsia" w:eastAsia="黑体" w:cs="Times New Roman"/>
          <w:sz w:val="32"/>
          <w:szCs w:val="32"/>
          <w:lang w:eastAsia="zh-CN"/>
        </w:rPr>
        <w:t>二、</w:t>
      </w:r>
      <w:r>
        <w:rPr>
          <w:rFonts w:hint="default" w:ascii="Times New Roman" w:hAnsi="Times New Roman" w:eastAsia="黑体" w:cs="Times New Roman"/>
          <w:sz w:val="32"/>
          <w:szCs w:val="32"/>
        </w:rPr>
        <w:t>收</w:t>
      </w:r>
      <w:r>
        <w:rPr>
          <w:rStyle w:val="25"/>
          <w:rFonts w:hint="default" w:ascii="Times New Roman" w:hAnsi="Times New Roman" w:eastAsia="黑体" w:cs="Times New Roman"/>
          <w:b w:val="0"/>
        </w:rPr>
        <w:t>入决算情况说明</w:t>
      </w:r>
    </w:p>
    <w:p>
      <w:pPr>
        <w:spacing w:line="600" w:lineRule="exact"/>
        <w:ind w:firstLine="640" w:firstLineChars="200"/>
        <w:outlineLvl w:val="1"/>
        <w:rPr>
          <w:rFonts w:hint="eastAsia" w:ascii="仿宋" w:hAnsi="仿宋" w:eastAsia="仿宋"/>
          <w:sz w:val="32"/>
          <w:szCs w:val="32"/>
        </w:rPr>
      </w:pPr>
      <w:r>
        <w:rPr>
          <w:rFonts w:hint="default" w:ascii="Times New Roman" w:hAnsi="Times New Roman" w:eastAsia="仿宋_GB2312" w:cs="Times New Roman"/>
          <w:sz w:val="32"/>
          <w:szCs w:val="32"/>
        </w:rPr>
        <w:t>2022年本年收入合计</w:t>
      </w:r>
      <w:r>
        <w:rPr>
          <w:rFonts w:hint="default" w:ascii="Times New Roman" w:hAnsi="Times New Roman" w:eastAsia="仿宋_GB2312" w:cs="Times New Roman"/>
          <w:sz w:val="32"/>
          <w:szCs w:val="32"/>
          <w:lang w:val="en-US" w:eastAsia="zh-CN"/>
        </w:rPr>
        <w:t>291.87</w:t>
      </w:r>
      <w:r>
        <w:rPr>
          <w:rFonts w:hint="default" w:ascii="Times New Roman" w:hAnsi="Times New Roman" w:eastAsia="仿宋_GB2312" w:cs="Times New Roman"/>
          <w:sz w:val="32"/>
          <w:szCs w:val="32"/>
        </w:rPr>
        <w:t>万元，其中：一般公共预算财政拨款收入</w:t>
      </w:r>
      <w:r>
        <w:rPr>
          <w:rFonts w:hint="default" w:ascii="Times New Roman" w:hAnsi="Times New Roman" w:eastAsia="仿宋_GB2312" w:cs="Times New Roman"/>
          <w:sz w:val="32"/>
          <w:szCs w:val="32"/>
          <w:lang w:val="en-US" w:eastAsia="zh-CN"/>
        </w:rPr>
        <w:t>205.89</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70.54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国有资本经营预算财政拨款收入0万元，占0%；上级补助收入0万元，占0%；事业收入0万元，占0%；经营收入0万元，占0%；附属单位上缴收入0万元，占0%；</w:t>
      </w:r>
      <w:r>
        <w:rPr>
          <w:rFonts w:hint="default" w:ascii="Times New Roman" w:hAnsi="Times New Roman" w:eastAsia="仿宋_GB2312" w:cs="Times New Roman"/>
          <w:sz w:val="32"/>
          <w:szCs w:val="32"/>
        </w:rPr>
        <w:t>其他收入</w:t>
      </w:r>
      <w:r>
        <w:rPr>
          <w:rFonts w:hint="default" w:ascii="Times New Roman" w:hAnsi="Times New Roman" w:eastAsia="仿宋_GB2312" w:cs="Times New Roman"/>
          <w:sz w:val="32"/>
          <w:szCs w:val="32"/>
          <w:lang w:val="en-US" w:eastAsia="zh-CN"/>
        </w:rPr>
        <w:t>85.98</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29.46</w:t>
      </w:r>
      <w:r>
        <w:rPr>
          <w:rFonts w:hint="default" w:ascii="Times New Roman" w:hAnsi="Times New Roman" w:eastAsia="仿宋_GB2312" w:cs="Times New Roman"/>
          <w:sz w:val="32"/>
          <w:szCs w:val="32"/>
        </w:rPr>
        <w:t>%。</w:t>
      </w:r>
    </w:p>
    <w:p>
      <w:pPr>
        <w:pStyle w:val="2"/>
      </w:pPr>
    </w:p>
    <w:p>
      <w:pPr>
        <w:pStyle w:val="2"/>
      </w:pPr>
      <w:r>
        <w:rPr>
          <w:rFonts w:hint="eastAsia" w:ascii="仿宋" w:hAnsi="仿宋" w:eastAsia="仿宋"/>
          <w:sz w:val="32"/>
          <w:szCs w:val="32"/>
          <w:lang w:eastAsia="zh-CN"/>
        </w:rPr>
        <w:drawing>
          <wp:anchor distT="0" distB="0" distL="114300" distR="114300" simplePos="0" relativeHeight="251660288" behindDoc="0" locked="0" layoutInCell="1" allowOverlap="1">
            <wp:simplePos x="0" y="0"/>
            <wp:positionH relativeFrom="column">
              <wp:posOffset>442595</wp:posOffset>
            </wp:positionH>
            <wp:positionV relativeFrom="paragraph">
              <wp:posOffset>294005</wp:posOffset>
            </wp:positionV>
            <wp:extent cx="4376420" cy="2487295"/>
            <wp:effectExtent l="4445" t="4445" r="19685" b="2286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pStyle w:val="2"/>
      </w:pPr>
    </w:p>
    <w:p>
      <w:pPr>
        <w:pStyle w:val="2"/>
      </w:pPr>
    </w:p>
    <w:p>
      <w:pPr>
        <w:pStyle w:val="2"/>
      </w:pPr>
    </w:p>
    <w:p>
      <w:pPr>
        <w:pStyle w:val="2"/>
      </w:pPr>
    </w:p>
    <w:p>
      <w:pPr>
        <w:pStyle w:val="2"/>
      </w:pPr>
    </w:p>
    <w:p>
      <w:pPr>
        <w:pStyle w:val="2"/>
        <w:ind w:firstLine="1280" w:firstLineChars="400"/>
        <w:rPr>
          <w:rFonts w:hint="eastAsia" w:eastAsia="仿宋_GB2312"/>
          <w:lang w:eastAsia="zh-CN"/>
        </w:rPr>
      </w:pPr>
      <w:r>
        <w:rPr>
          <w:rFonts w:hint="default" w:ascii="Times New Roman" w:hAnsi="Times New Roman" w:eastAsia="仿宋_GB2312" w:cs="Times New Roman"/>
          <w:sz w:val="32"/>
          <w:szCs w:val="32"/>
        </w:rPr>
        <w:t>（图2：收入决算结构图）</w:t>
      </w:r>
      <w:r>
        <w:rPr>
          <w:rFonts w:hint="eastAsia" w:ascii="Times New Roman" w:cs="Times New Roman"/>
          <w:sz w:val="32"/>
          <w:szCs w:val="32"/>
          <w:lang w:eastAsia="zh-CN"/>
        </w:rPr>
        <w:t>（饼状图）</w:t>
      </w:r>
    </w:p>
    <w:p>
      <w:pPr>
        <w:pStyle w:val="23"/>
        <w:pageBreakBefore w:val="0"/>
        <w:numPr>
          <w:ilvl w:val="0"/>
          <w:numId w:val="0"/>
        </w:numPr>
        <w:kinsoku/>
        <w:wordWrap/>
        <w:overflowPunct/>
        <w:topLinePunct w:val="0"/>
        <w:bidi w:val="0"/>
        <w:spacing w:line="560" w:lineRule="exact"/>
        <w:ind w:left="640" w:leftChars="0"/>
        <w:textAlignment w:val="auto"/>
        <w:outlineLvl w:val="1"/>
        <w:rPr>
          <w:rStyle w:val="25"/>
          <w:rFonts w:hint="default" w:ascii="Times New Roman" w:hAnsi="Times New Roman" w:eastAsia="黑体" w:cs="Times New Roman"/>
          <w:b w:val="0"/>
        </w:rPr>
      </w:pPr>
      <w:bookmarkStart w:id="22" w:name="_Toc15377207"/>
      <w:bookmarkStart w:id="23" w:name="_Toc15396605"/>
      <w:r>
        <w:rPr>
          <w:rFonts w:hint="eastAsia" w:eastAsia="黑体" w:cs="Times New Roman"/>
          <w:sz w:val="32"/>
          <w:szCs w:val="32"/>
          <w:lang w:eastAsia="zh-CN"/>
        </w:rPr>
        <w:t>三、</w:t>
      </w:r>
      <w:r>
        <w:rPr>
          <w:rFonts w:hint="default" w:ascii="Times New Roman" w:hAnsi="Times New Roman" w:eastAsia="黑体" w:cs="Times New Roman"/>
          <w:sz w:val="32"/>
          <w:szCs w:val="32"/>
        </w:rPr>
        <w:t>支</w:t>
      </w:r>
      <w:r>
        <w:rPr>
          <w:rStyle w:val="25"/>
          <w:rFonts w:hint="default" w:ascii="Times New Roman" w:hAnsi="Times New Roman" w:eastAsia="黑体" w:cs="Times New Roman"/>
          <w:b w:val="0"/>
        </w:rPr>
        <w:t>出决算情况说明</w:t>
      </w:r>
      <w:bookmarkEnd w:id="22"/>
      <w:bookmarkEnd w:id="23"/>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2022年本年支出合计</w:t>
      </w:r>
      <w:r>
        <w:rPr>
          <w:rFonts w:hint="default" w:ascii="Times New Roman" w:hAnsi="Times New Roman" w:eastAsia="仿宋_GB2312" w:cs="Times New Roman"/>
          <w:sz w:val="32"/>
          <w:szCs w:val="32"/>
          <w:lang w:val="en-US" w:eastAsia="zh-CN"/>
        </w:rPr>
        <w:t>297.94</w:t>
      </w:r>
      <w:r>
        <w:rPr>
          <w:rFonts w:hint="default" w:ascii="Times New Roman" w:hAnsi="Times New Roman" w:eastAsia="仿宋_GB2312" w:cs="Times New Roman"/>
          <w:sz w:val="32"/>
          <w:szCs w:val="32"/>
        </w:rPr>
        <w:t>万元，其中：基本支出</w:t>
      </w:r>
      <w:r>
        <w:rPr>
          <w:rFonts w:hint="default" w:ascii="Times New Roman" w:hAnsi="Times New Roman" w:eastAsia="仿宋_GB2312" w:cs="Times New Roman"/>
          <w:sz w:val="32"/>
          <w:szCs w:val="32"/>
          <w:lang w:val="en-US" w:eastAsia="zh-CN"/>
        </w:rPr>
        <w:t>251.57</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84.44</w:t>
      </w:r>
      <w:r>
        <w:rPr>
          <w:rFonts w:hint="default" w:ascii="Times New Roman" w:hAnsi="Times New Roman" w:eastAsia="仿宋_GB2312" w:cs="Times New Roman"/>
          <w:sz w:val="32"/>
          <w:szCs w:val="32"/>
        </w:rPr>
        <w:t>%；项目支出</w:t>
      </w:r>
      <w:r>
        <w:rPr>
          <w:rFonts w:hint="default" w:ascii="Times New Roman" w:hAnsi="Times New Roman" w:eastAsia="仿宋_GB2312" w:cs="Times New Roman"/>
          <w:sz w:val="32"/>
          <w:szCs w:val="32"/>
          <w:lang w:val="en-US" w:eastAsia="zh-CN"/>
        </w:rPr>
        <w:t>46.37</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15.56</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p>
    <w:p>
      <w:pPr>
        <w:pStyle w:val="2"/>
        <w:rPr>
          <w:rFonts w:ascii="仿宋_GB2312" w:eastAsia="仿宋_GB2312"/>
          <w:sz w:val="32"/>
          <w:szCs w:val="32"/>
        </w:rPr>
      </w:pPr>
      <w:r>
        <w:rPr>
          <w:rFonts w:hint="eastAsia" w:eastAsia="仿宋"/>
          <w:lang w:eastAsia="zh-CN"/>
        </w:rPr>
        <w:drawing>
          <wp:anchor distT="0" distB="0" distL="114300" distR="114300" simplePos="0" relativeHeight="251661312" behindDoc="0" locked="0" layoutInCell="1" allowOverlap="1">
            <wp:simplePos x="0" y="0"/>
            <wp:positionH relativeFrom="column">
              <wp:posOffset>442595</wp:posOffset>
            </wp:positionH>
            <wp:positionV relativeFrom="paragraph">
              <wp:posOffset>26670</wp:posOffset>
            </wp:positionV>
            <wp:extent cx="4281805" cy="2630170"/>
            <wp:effectExtent l="4445" t="4445" r="19050" b="1333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numPr>
          <w:ilvl w:val="0"/>
          <w:numId w:val="1"/>
        </w:numPr>
        <w:spacing w:line="600" w:lineRule="exact"/>
        <w:ind w:left="640" w:leftChars="0" w:firstLine="640" w:firstLineChars="200"/>
        <w:outlineLvl w:val="1"/>
        <w:rPr>
          <w:rStyle w:val="25"/>
          <w:rFonts w:hint="eastAsia" w:ascii="黑体" w:hAnsi="黑体" w:eastAsia="黑体"/>
          <w:b w:val="0"/>
        </w:rPr>
      </w:pPr>
      <w:bookmarkStart w:id="24" w:name="_Toc15377208"/>
      <w:bookmarkStart w:id="25" w:name="_Toc15396606"/>
      <w:r>
        <w:rPr>
          <w:rFonts w:hint="eastAsia" w:ascii="黑体" w:hAnsi="黑体" w:eastAsia="黑体"/>
          <w:sz w:val="32"/>
          <w:szCs w:val="32"/>
        </w:rPr>
        <w:t>财</w:t>
      </w:r>
      <w:r>
        <w:rPr>
          <w:rStyle w:val="25"/>
          <w:rFonts w:hint="eastAsia" w:ascii="黑体" w:hAnsi="黑体" w:eastAsia="黑体"/>
          <w:b w:val="0"/>
        </w:rPr>
        <w:t>政拨款收入支出决算总体情况说明</w:t>
      </w:r>
      <w:bookmarkEnd w:id="24"/>
      <w:bookmarkEnd w:id="25"/>
    </w:p>
    <w:p>
      <w:pPr>
        <w:pStyle w:val="2"/>
        <w:widowControl w:val="0"/>
        <w:numPr>
          <w:ilvl w:val="0"/>
          <w:numId w:val="0"/>
        </w:numPr>
        <w:spacing w:beforeLines="30"/>
        <w:jc w:val="both"/>
      </w:pPr>
    </w:p>
    <w:p>
      <w:pPr>
        <w:pStyle w:val="2"/>
        <w:widowControl w:val="0"/>
        <w:numPr>
          <w:ilvl w:val="0"/>
          <w:numId w:val="0"/>
        </w:numPr>
        <w:spacing w:beforeLines="30"/>
        <w:jc w:val="both"/>
      </w:pPr>
    </w:p>
    <w:p>
      <w:pPr>
        <w:pStyle w:val="2"/>
        <w:widowControl w:val="0"/>
        <w:numPr>
          <w:ilvl w:val="0"/>
          <w:numId w:val="0"/>
        </w:numPr>
        <w:spacing w:beforeLines="30"/>
        <w:jc w:val="both"/>
      </w:pPr>
    </w:p>
    <w:p>
      <w:pPr>
        <w:pStyle w:val="2"/>
        <w:widowControl w:val="0"/>
        <w:numPr>
          <w:ilvl w:val="0"/>
          <w:numId w:val="0"/>
        </w:numPr>
        <w:spacing w:beforeLines="30"/>
        <w:jc w:val="both"/>
      </w:pPr>
    </w:p>
    <w:p>
      <w:pPr>
        <w:pStyle w:val="2"/>
        <w:widowControl w:val="0"/>
        <w:numPr>
          <w:ilvl w:val="0"/>
          <w:numId w:val="0"/>
        </w:numPr>
        <w:spacing w:beforeLines="30"/>
        <w:ind w:firstLine="1280" w:firstLineChars="400"/>
        <w:jc w:val="both"/>
        <w:rPr>
          <w:rFonts w:hint="eastAsia" w:eastAsia="仿宋_GB2312"/>
          <w:lang w:eastAsia="zh-CN"/>
        </w:rPr>
      </w:pPr>
      <w:r>
        <w:rPr>
          <w:rFonts w:hint="default" w:ascii="Times New Roman" w:hAnsi="Times New Roman" w:eastAsia="仿宋_GB2312" w:cs="Times New Roman"/>
          <w:sz w:val="32"/>
          <w:szCs w:val="32"/>
        </w:rPr>
        <w:t>（图3：支出决算结构图）</w:t>
      </w:r>
      <w:r>
        <w:rPr>
          <w:rFonts w:hint="eastAsia" w:ascii="Times New Roman" w:cs="Times New Roman"/>
          <w:sz w:val="32"/>
          <w:szCs w:val="32"/>
          <w:lang w:eastAsia="zh-CN"/>
        </w:rPr>
        <w:t>（饼状图）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Style w:val="25"/>
          <w:rFonts w:hint="default" w:ascii="Times New Roman" w:hAnsi="Times New Roman" w:eastAsia="黑体" w:cs="Times New Roman"/>
          <w:b w:val="0"/>
        </w:rPr>
      </w:pPr>
      <w:r>
        <w:rPr>
          <w:rFonts w:hint="default" w:ascii="Times New Roman" w:hAnsi="Times New Roman" w:eastAsia="黑体" w:cs="Times New Roman"/>
          <w:sz w:val="32"/>
          <w:szCs w:val="32"/>
        </w:rPr>
        <w:t>四、财</w:t>
      </w:r>
      <w:r>
        <w:rPr>
          <w:rStyle w:val="25"/>
          <w:rFonts w:hint="default" w:ascii="Times New Roman" w:hAnsi="Times New Roman" w:eastAsia="黑体" w:cs="Times New Roman"/>
          <w:b w:val="0"/>
        </w:rPr>
        <w:t>政拨款收入支出决算总体情况说明</w:t>
      </w:r>
    </w:p>
    <w:p>
      <w:pPr>
        <w:spacing w:line="600" w:lineRule="exact"/>
        <w:ind w:firstLine="64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2022年财政拨款收、支总计</w:t>
      </w:r>
      <w:r>
        <w:rPr>
          <w:rFonts w:hint="default" w:ascii="Times New Roman" w:hAnsi="Times New Roman" w:eastAsia="仿宋_GB2312" w:cs="Times New Roman"/>
          <w:sz w:val="32"/>
          <w:szCs w:val="32"/>
          <w:lang w:val="en-US" w:eastAsia="zh-CN"/>
        </w:rPr>
        <w:t>211.96</w:t>
      </w:r>
      <w:r>
        <w:rPr>
          <w:rFonts w:hint="default" w:ascii="Times New Roman" w:hAnsi="Times New Roman" w:eastAsia="仿宋_GB2312" w:cs="Times New Roman"/>
          <w:sz w:val="32"/>
          <w:szCs w:val="32"/>
        </w:rPr>
        <w:t>万元。与2021年相比，财政拨款收、支总计各增加</w:t>
      </w:r>
      <w:r>
        <w:rPr>
          <w:rFonts w:hint="default" w:ascii="Times New Roman" w:hAnsi="Times New Roman" w:eastAsia="仿宋_GB2312" w:cs="Times New Roman"/>
          <w:sz w:val="32"/>
          <w:szCs w:val="32"/>
          <w:lang w:val="en-US" w:eastAsia="zh-CN"/>
        </w:rPr>
        <w:t>32.78</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18.29</w:t>
      </w:r>
      <w:r>
        <w:rPr>
          <w:rFonts w:hint="default" w:ascii="Times New Roman" w:hAnsi="Times New Roman" w:eastAsia="仿宋_GB2312" w:cs="Times New Roman"/>
          <w:sz w:val="32"/>
          <w:szCs w:val="32"/>
        </w:rPr>
        <w:t>%。主要变动原因是</w:t>
      </w:r>
      <w:r>
        <w:rPr>
          <w:rFonts w:hint="default" w:ascii="Times New Roman" w:hAnsi="Times New Roman" w:eastAsia="仿宋_GB2312" w:cs="Times New Roman"/>
          <w:sz w:val="32"/>
          <w:szCs w:val="32"/>
          <w:lang w:eastAsia="zh-CN"/>
        </w:rPr>
        <w:t>人员增加及安排专项资金支出。</w:t>
      </w:r>
    </w:p>
    <w:p>
      <w:pPr>
        <w:pStyle w:val="2"/>
        <w:rPr>
          <w:rFonts w:hint="eastAsia" w:ascii="仿宋" w:hAnsi="仿宋" w:eastAsia="仿宋"/>
          <w:sz w:val="32"/>
          <w:szCs w:val="32"/>
          <w:lang w:eastAsia="zh-CN"/>
        </w:rPr>
      </w:pPr>
      <w:r>
        <w:rPr>
          <w:rFonts w:hint="eastAsia" w:ascii="仿宋" w:hAnsi="仿宋" w:eastAsia="仿宋"/>
          <w:sz w:val="32"/>
          <w:szCs w:val="32"/>
          <w:lang w:eastAsia="zh-CN"/>
        </w:rPr>
        <w:drawing>
          <wp:anchor distT="0" distB="0" distL="114300" distR="114300" simplePos="0" relativeHeight="251662336" behindDoc="0" locked="0" layoutInCell="1" allowOverlap="1">
            <wp:simplePos x="0" y="0"/>
            <wp:positionH relativeFrom="column">
              <wp:posOffset>490220</wp:posOffset>
            </wp:positionH>
            <wp:positionV relativeFrom="paragraph">
              <wp:posOffset>66040</wp:posOffset>
            </wp:positionV>
            <wp:extent cx="4375785" cy="2524125"/>
            <wp:effectExtent l="4445" t="4445" r="20320" b="508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pPr>
        <w:spacing w:line="600" w:lineRule="exact"/>
        <w:ind w:firstLine="640"/>
        <w:rPr>
          <w:rFonts w:ascii="仿宋" w:hAnsi="仿宋" w:eastAsia="仿宋"/>
          <w:b/>
          <w:sz w:val="32"/>
          <w:szCs w:val="32"/>
        </w:rPr>
      </w:pPr>
    </w:p>
    <w:p>
      <w:pPr>
        <w:pStyle w:val="2"/>
        <w:rPr>
          <w:rFonts w:ascii="仿宋" w:hAnsi="仿宋" w:eastAsia="仿宋"/>
          <w:b/>
          <w:sz w:val="32"/>
          <w:szCs w:val="32"/>
        </w:rPr>
      </w:pPr>
    </w:p>
    <w:p>
      <w:pPr>
        <w:pStyle w:val="2"/>
        <w:rPr>
          <w:rFonts w:ascii="仿宋" w:hAnsi="仿宋" w:eastAsia="仿宋"/>
          <w:b/>
          <w:sz w:val="32"/>
          <w:szCs w:val="32"/>
        </w:rPr>
      </w:pPr>
    </w:p>
    <w:p>
      <w:pPr>
        <w:pStyle w:val="2"/>
        <w:rPr>
          <w:rFonts w:ascii="仿宋" w:hAnsi="仿宋" w:eastAsia="仿宋"/>
          <w:b/>
          <w:sz w:val="32"/>
          <w:szCs w:val="32"/>
        </w:rPr>
      </w:pPr>
    </w:p>
    <w:p>
      <w:pPr>
        <w:pStyle w:val="2"/>
        <w:rPr>
          <w:rFonts w:ascii="仿宋" w:hAnsi="仿宋" w:eastAsia="仿宋"/>
          <w:b/>
          <w:sz w:val="32"/>
          <w:szCs w:val="32"/>
        </w:rPr>
      </w:pPr>
    </w:p>
    <w:p>
      <w:pPr>
        <w:spacing w:line="600" w:lineRule="exact"/>
        <w:ind w:firstLine="320" w:firstLineChars="1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（图4：财政拨款收、支决算总计变动情况）</w:t>
      </w:r>
      <w:r>
        <w:rPr>
          <w:rFonts w:hint="eastAsia" w:eastAsia="仿宋_GB2312" w:cs="Times New Roman"/>
          <w:sz w:val="32"/>
          <w:szCs w:val="32"/>
          <w:lang w:eastAsia="zh-CN"/>
        </w:rPr>
        <w:t>（柱状图）</w:t>
      </w:r>
    </w:p>
    <w:p>
      <w:pPr>
        <w:spacing w:line="600" w:lineRule="exact"/>
        <w:ind w:firstLine="640" w:firstLineChars="200"/>
        <w:outlineLvl w:val="1"/>
        <w:rPr>
          <w:rStyle w:val="25"/>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hint="default" w:ascii="Times New Roman" w:hAnsi="Times New Roman" w:eastAsia="仿宋_GB2312" w:cs="Times New Roman"/>
          <w:b/>
          <w:sz w:val="32"/>
          <w:szCs w:val="32"/>
        </w:rPr>
      </w:pPr>
      <w:bookmarkStart w:id="28" w:name="_Toc15377210"/>
      <w:r>
        <w:rPr>
          <w:rFonts w:hint="default" w:ascii="Times New Roman" w:hAnsi="Times New Roman" w:eastAsia="仿宋_GB2312" w:cs="Times New Roman"/>
          <w:b/>
          <w:sz w:val="32"/>
          <w:szCs w:val="32"/>
        </w:rPr>
        <w:t>（一）一般公共预算财政拨款支出决算总体情况</w:t>
      </w:r>
      <w:bookmarkEnd w:id="28"/>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2022年一般公共预算财政拨款支出</w:t>
      </w:r>
      <w:r>
        <w:rPr>
          <w:rFonts w:hint="default" w:ascii="Times New Roman" w:hAnsi="Times New Roman" w:eastAsia="仿宋_GB2312" w:cs="Times New Roman"/>
          <w:sz w:val="32"/>
          <w:szCs w:val="32"/>
          <w:lang w:val="en-US" w:eastAsia="zh-CN"/>
        </w:rPr>
        <w:t>211.96</w:t>
      </w:r>
      <w:r>
        <w:rPr>
          <w:rFonts w:hint="default" w:ascii="Times New Roman" w:hAnsi="Times New Roman" w:eastAsia="仿宋_GB2312" w:cs="Times New Roman"/>
          <w:sz w:val="32"/>
          <w:szCs w:val="32"/>
        </w:rPr>
        <w:t>万元，占本年支出合计的</w:t>
      </w:r>
      <w:r>
        <w:rPr>
          <w:rFonts w:hint="default" w:ascii="Times New Roman" w:hAnsi="Times New Roman" w:eastAsia="仿宋_GB2312" w:cs="Times New Roman"/>
          <w:sz w:val="32"/>
          <w:szCs w:val="32"/>
          <w:lang w:val="en-US" w:eastAsia="zh-CN"/>
        </w:rPr>
        <w:t>71.14</w:t>
      </w:r>
      <w:r>
        <w:rPr>
          <w:rFonts w:hint="default" w:ascii="Times New Roman" w:hAnsi="Times New Roman" w:eastAsia="仿宋_GB2312" w:cs="Times New Roman"/>
          <w:sz w:val="32"/>
          <w:szCs w:val="32"/>
        </w:rPr>
        <w:t>%。与2021年相比，一般公共预算财政拨款支出增加</w:t>
      </w:r>
      <w:r>
        <w:rPr>
          <w:rFonts w:hint="default" w:ascii="Times New Roman" w:hAnsi="Times New Roman" w:eastAsia="仿宋_GB2312" w:cs="Times New Roman"/>
          <w:sz w:val="32"/>
          <w:szCs w:val="32"/>
          <w:lang w:val="en-US" w:eastAsia="zh-CN"/>
        </w:rPr>
        <w:t>32.78</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18.29</w:t>
      </w:r>
      <w:r>
        <w:rPr>
          <w:rFonts w:hint="default" w:ascii="Times New Roman" w:hAnsi="Times New Roman" w:eastAsia="仿宋_GB2312" w:cs="Times New Roman"/>
          <w:sz w:val="32"/>
          <w:szCs w:val="32"/>
        </w:rPr>
        <w:t>%。主要变动原因是</w:t>
      </w:r>
      <w:r>
        <w:rPr>
          <w:rFonts w:hint="default" w:ascii="Times New Roman" w:hAnsi="Times New Roman" w:eastAsia="仿宋_GB2312" w:cs="Times New Roman"/>
          <w:sz w:val="32"/>
          <w:szCs w:val="32"/>
          <w:lang w:eastAsia="zh-CN"/>
        </w:rPr>
        <w:t>人员增加及安排专项资金支出。</w:t>
      </w:r>
    </w:p>
    <w:p>
      <w:pPr>
        <w:pStyle w:val="2"/>
        <w:rPr>
          <w:rFonts w:hint="eastAsia" w:eastAsia="仿宋"/>
          <w:lang w:eastAsia="zh-CN"/>
        </w:rPr>
      </w:pPr>
      <w:r>
        <w:rPr>
          <w:rFonts w:hint="eastAsia" w:eastAsia="仿宋"/>
          <w:lang w:eastAsia="zh-CN"/>
        </w:rPr>
        <w:drawing>
          <wp:anchor distT="0" distB="0" distL="114300" distR="114300" simplePos="0" relativeHeight="251663360" behindDoc="0" locked="0" layoutInCell="1" allowOverlap="1">
            <wp:simplePos x="0" y="0"/>
            <wp:positionH relativeFrom="column">
              <wp:posOffset>509270</wp:posOffset>
            </wp:positionH>
            <wp:positionV relativeFrom="paragraph">
              <wp:posOffset>150495</wp:posOffset>
            </wp:positionV>
            <wp:extent cx="4671060" cy="2553335"/>
            <wp:effectExtent l="4445" t="4445" r="10795" b="13970"/>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pPr>
        <w:pStyle w:val="2"/>
        <w:rPr>
          <w:rFonts w:hint="eastAsia" w:eastAsia="仿宋"/>
          <w:lang w:eastAsia="zh-CN"/>
        </w:rPr>
      </w:pPr>
    </w:p>
    <w:p>
      <w:pPr>
        <w:pStyle w:val="2"/>
        <w:rPr>
          <w:rFonts w:hint="eastAsia" w:eastAsia="仿宋"/>
          <w:lang w:eastAsia="zh-CN"/>
        </w:rPr>
      </w:pPr>
    </w:p>
    <w:p>
      <w:pPr>
        <w:pStyle w:val="2"/>
        <w:rPr>
          <w:rFonts w:hint="eastAsia" w:eastAsia="仿宋"/>
          <w:lang w:eastAsia="zh-CN"/>
        </w:rPr>
      </w:pPr>
    </w:p>
    <w:p>
      <w:pPr>
        <w:pStyle w:val="2"/>
        <w:rPr>
          <w:rFonts w:hint="eastAsia" w:eastAsia="仿宋"/>
          <w:lang w:eastAsia="zh-CN"/>
        </w:rPr>
      </w:pPr>
    </w:p>
    <w:p>
      <w:pPr>
        <w:pStyle w:val="2"/>
        <w:rPr>
          <w:rFonts w:hint="eastAsia" w:eastAsia="仿宋"/>
          <w:lang w:eastAsia="zh-CN"/>
        </w:rPr>
      </w:pPr>
    </w:p>
    <w:p>
      <w:pPr>
        <w:pStyle w:val="2"/>
        <w:rPr>
          <w:rFonts w:hint="eastAsia" w:eastAsia="仿宋_GB2312"/>
          <w:lang w:eastAsia="zh-CN"/>
        </w:rPr>
      </w:pPr>
      <w:r>
        <w:rPr>
          <w:rFonts w:hint="default" w:ascii="Times New Roman" w:hAnsi="Times New Roman" w:eastAsia="仿宋_GB2312" w:cs="Times New Roman"/>
          <w:sz w:val="32"/>
          <w:szCs w:val="32"/>
        </w:rPr>
        <w:t>（图5：一般公共预算财政拨款支出决算变动情况）</w:t>
      </w:r>
      <w:r>
        <w:rPr>
          <w:rFonts w:hint="eastAsia" w:ascii="Times New Roman" w:cs="Times New Roman"/>
          <w:sz w:val="32"/>
          <w:szCs w:val="32"/>
          <w:lang w:eastAsia="zh-CN"/>
        </w:rPr>
        <w:t>（柱状图）</w:t>
      </w:r>
    </w:p>
    <w:p>
      <w:pPr>
        <w:spacing w:line="600" w:lineRule="exact"/>
        <w:ind w:firstLine="643" w:firstLineChars="200"/>
        <w:outlineLvl w:val="2"/>
        <w:rPr>
          <w:rFonts w:hint="default" w:ascii="Times New Roman" w:hAnsi="Times New Roman" w:eastAsia="仿宋_GB2312" w:cs="Times New Roman"/>
          <w:b/>
          <w:sz w:val="32"/>
          <w:szCs w:val="32"/>
        </w:rPr>
      </w:pPr>
      <w:bookmarkStart w:id="29" w:name="_Toc15377211"/>
      <w:r>
        <w:rPr>
          <w:rFonts w:hint="default" w:ascii="Times New Roman" w:hAnsi="Times New Roman" w:eastAsia="仿宋_GB2312" w:cs="Times New Roman"/>
          <w:b/>
          <w:sz w:val="32"/>
          <w:szCs w:val="32"/>
        </w:rPr>
        <w:t>（二）一般公共预算财政拨款支出决算结构情况</w:t>
      </w:r>
      <w:bookmarkEnd w:id="29"/>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2022年一般公共预算财政拨款支出</w:t>
      </w:r>
      <w:r>
        <w:rPr>
          <w:rFonts w:hint="default" w:ascii="Times New Roman" w:hAnsi="Times New Roman" w:eastAsia="仿宋_GB2312" w:cs="Times New Roman"/>
          <w:sz w:val="32"/>
          <w:szCs w:val="32"/>
          <w:lang w:val="en-US" w:eastAsia="zh-CN"/>
        </w:rPr>
        <w:t>211.96</w:t>
      </w:r>
      <w:r>
        <w:rPr>
          <w:rFonts w:hint="default" w:ascii="Times New Roman" w:hAnsi="Times New Roman" w:eastAsia="仿宋_GB2312" w:cs="Times New Roman"/>
          <w:sz w:val="32"/>
          <w:szCs w:val="32"/>
        </w:rPr>
        <w:t>万元，主要用于以下方面</w:t>
      </w:r>
      <w:r>
        <w:rPr>
          <w:rFonts w:hint="eastAsia" w:eastAsia="仿宋_GB2312" w:cs="Times New Roman"/>
          <w:sz w:val="32"/>
          <w:szCs w:val="32"/>
          <w:lang w:eastAsia="zh-CN"/>
        </w:rPr>
        <w:t>：</w:t>
      </w:r>
      <w:r>
        <w:rPr>
          <w:rFonts w:hint="default" w:ascii="Times New Roman" w:hAnsi="Times New Roman" w:eastAsia="仿宋_GB2312" w:cs="Times New Roman"/>
          <w:b/>
          <w:sz w:val="32"/>
          <w:szCs w:val="32"/>
        </w:rPr>
        <w:t>社会保障和就业</w:t>
      </w:r>
      <w:r>
        <w:rPr>
          <w:rFonts w:hint="default" w:ascii="Times New Roman" w:hAnsi="Times New Roman" w:eastAsia="仿宋_GB2312" w:cs="Times New Roman"/>
          <w:b/>
          <w:bCs/>
          <w:sz w:val="32"/>
          <w:szCs w:val="32"/>
        </w:rPr>
        <w:t>支出</w:t>
      </w:r>
      <w:r>
        <w:rPr>
          <w:rFonts w:hint="default" w:ascii="Times New Roman" w:hAnsi="Times New Roman" w:eastAsia="仿宋_GB2312" w:cs="Times New Roman"/>
          <w:sz w:val="32"/>
          <w:szCs w:val="32"/>
          <w:lang w:val="en-US" w:eastAsia="zh-CN"/>
        </w:rPr>
        <w:t>16.57</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7.82</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lang w:eastAsia="zh-CN"/>
        </w:rPr>
        <w:t>节能环保支出</w:t>
      </w:r>
      <w:r>
        <w:rPr>
          <w:rFonts w:hint="default" w:ascii="Times New Roman" w:hAnsi="Times New Roman" w:eastAsia="仿宋_GB2312" w:cs="Times New Roman"/>
          <w:sz w:val="32"/>
          <w:szCs w:val="32"/>
          <w:lang w:val="en-US" w:eastAsia="zh-CN"/>
        </w:rPr>
        <w:t>175.24</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82.67</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rPr>
        <w:t>住房保障支出</w:t>
      </w:r>
      <w:r>
        <w:rPr>
          <w:rFonts w:hint="default" w:ascii="Times New Roman" w:hAnsi="Times New Roman" w:eastAsia="仿宋_GB2312" w:cs="Times New Roman"/>
          <w:sz w:val="32"/>
          <w:szCs w:val="32"/>
          <w:lang w:val="en-US" w:eastAsia="zh-CN"/>
        </w:rPr>
        <w:t>20.15</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9.51</w:t>
      </w:r>
      <w:r>
        <w:rPr>
          <w:rFonts w:hint="default" w:ascii="Times New Roman" w:hAnsi="Times New Roman" w:eastAsia="仿宋_GB2312" w:cs="Times New Roman"/>
          <w:sz w:val="32"/>
          <w:szCs w:val="32"/>
        </w:rPr>
        <w:t>%。</w:t>
      </w:r>
    </w:p>
    <w:p>
      <w:pPr>
        <w:pStyle w:val="2"/>
        <w:rPr>
          <w:rFonts w:ascii="仿宋" w:hAnsi="仿宋" w:eastAsia="仿宋"/>
          <w:sz w:val="32"/>
          <w:szCs w:val="32"/>
        </w:rPr>
      </w:pPr>
      <w:r>
        <w:rPr>
          <w:rFonts w:hint="eastAsia" w:eastAsia="仿宋"/>
          <w:lang w:eastAsia="zh-CN"/>
        </w:rPr>
        <w:drawing>
          <wp:anchor distT="0" distB="0" distL="114300" distR="114300" simplePos="0" relativeHeight="251664384" behindDoc="0" locked="0" layoutInCell="1" allowOverlap="1">
            <wp:simplePos x="0" y="0"/>
            <wp:positionH relativeFrom="column">
              <wp:posOffset>490220</wp:posOffset>
            </wp:positionH>
            <wp:positionV relativeFrom="paragraph">
              <wp:posOffset>67310</wp:posOffset>
            </wp:positionV>
            <wp:extent cx="4338320" cy="2583180"/>
            <wp:effectExtent l="4445" t="4445" r="19685" b="22225"/>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pPr>
        <w:pStyle w:val="2"/>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spacing w:line="600" w:lineRule="exact"/>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（图6：一般公共预算财政拨款支出决算结构）</w:t>
      </w:r>
      <w:r>
        <w:rPr>
          <w:rFonts w:hint="eastAsia" w:eastAsia="仿宋_GB2312" w:cs="Times New Roman"/>
          <w:sz w:val="32"/>
          <w:szCs w:val="32"/>
          <w:lang w:eastAsia="zh-CN"/>
        </w:rPr>
        <w:t>（饼状图）</w:t>
      </w:r>
    </w:p>
    <w:p>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3" w:firstLineChars="200"/>
        <w:outlineLvl w:val="2"/>
        <w:rPr>
          <w:rFonts w:hint="default" w:ascii="Times New Roman" w:hAnsi="Times New Roman" w:eastAsia="仿宋_GB2312" w:cs="Times New Roman"/>
          <w:sz w:val="32"/>
          <w:szCs w:val="32"/>
        </w:rPr>
      </w:pPr>
      <w:bookmarkStart w:id="31" w:name="_Toc15377213"/>
      <w:bookmarkStart w:id="32" w:name="_Toc15377444"/>
      <w:bookmarkStart w:id="33" w:name="_Toc15378460"/>
      <w:r>
        <w:rPr>
          <w:rFonts w:hint="default" w:ascii="Times New Roman" w:hAnsi="Times New Roman" w:eastAsia="仿宋_GB2312" w:cs="Times New Roman"/>
          <w:b/>
          <w:sz w:val="32"/>
          <w:szCs w:val="32"/>
        </w:rPr>
        <w:t>2022年一般公共预算支出决算数为</w:t>
      </w:r>
      <w:r>
        <w:rPr>
          <w:rFonts w:hint="default" w:ascii="Times New Roman" w:hAnsi="Times New Roman" w:eastAsia="仿宋_GB2312" w:cs="Times New Roman"/>
          <w:b/>
          <w:sz w:val="32"/>
          <w:szCs w:val="32"/>
          <w:lang w:val="en-US" w:eastAsia="zh-CN"/>
        </w:rPr>
        <w:t>211.96万元</w:t>
      </w:r>
      <w:r>
        <w:rPr>
          <w:rFonts w:hint="default" w:ascii="Times New Roman" w:hAnsi="Times New Roman" w:eastAsia="仿宋_GB2312" w:cs="Times New Roman"/>
          <w:sz w:val="32"/>
          <w:szCs w:val="32"/>
        </w:rPr>
        <w:t>，</w:t>
      </w:r>
      <w:r>
        <w:rPr>
          <w:rStyle w:val="14"/>
          <w:rFonts w:hint="default" w:ascii="Times New Roman" w:hAnsi="Times New Roman" w:eastAsia="仿宋_GB2312" w:cs="Times New Roman"/>
          <w:bCs/>
          <w:sz w:val="32"/>
          <w:szCs w:val="32"/>
        </w:rPr>
        <w:t>完成预算</w:t>
      </w:r>
      <w:r>
        <w:rPr>
          <w:rStyle w:val="14"/>
          <w:rFonts w:hint="default" w:ascii="Times New Roman" w:hAnsi="Times New Roman" w:eastAsia="仿宋_GB2312" w:cs="Times New Roman"/>
          <w:bCs/>
          <w:sz w:val="32"/>
          <w:szCs w:val="32"/>
          <w:lang w:val="en-US" w:eastAsia="zh-CN"/>
        </w:rPr>
        <w:t>100</w:t>
      </w:r>
      <w:r>
        <w:rPr>
          <w:rStyle w:val="14"/>
          <w:rFonts w:hint="default" w:ascii="Times New Roman" w:hAnsi="Times New Roman" w:eastAsia="仿宋_GB2312" w:cs="Times New Roman"/>
          <w:bCs/>
          <w:sz w:val="32"/>
          <w:szCs w:val="32"/>
        </w:rPr>
        <w:t>%。其中：</w:t>
      </w:r>
      <w:bookmarkEnd w:id="31"/>
      <w:bookmarkEnd w:id="32"/>
      <w:bookmarkEnd w:id="33"/>
    </w:p>
    <w:p>
      <w:pPr>
        <w:spacing w:line="600" w:lineRule="exact"/>
        <w:ind w:firstLine="643" w:firstLineChars="200"/>
        <w:rPr>
          <w:rFonts w:hint="default" w:ascii="Times New Roman" w:hAnsi="Times New Roman" w:eastAsia="仿宋_GB2312" w:cs="Times New Roman"/>
          <w:b/>
          <w:sz w:val="32"/>
          <w:szCs w:val="32"/>
        </w:rPr>
      </w:pPr>
      <w:r>
        <w:rPr>
          <w:rStyle w:val="14"/>
          <w:rFonts w:hint="default" w:ascii="Times New Roman" w:hAnsi="Times New Roman" w:eastAsia="仿宋_GB2312" w:cs="Times New Roman"/>
          <w:bCs/>
          <w:sz w:val="32"/>
          <w:szCs w:val="32"/>
          <w:lang w:val="en-US" w:eastAsia="zh-CN"/>
        </w:rPr>
        <w:t>1</w:t>
      </w:r>
      <w:r>
        <w:rPr>
          <w:rStyle w:val="14"/>
          <w:rFonts w:hint="default" w:ascii="Times New Roman" w:hAnsi="Times New Roman" w:eastAsia="仿宋_GB2312" w:cs="Times New Roman"/>
          <w:bCs/>
          <w:sz w:val="32"/>
          <w:szCs w:val="32"/>
        </w:rPr>
        <w:t>.社会保障和就业（类）行政事业单位养老支出</w:t>
      </w:r>
      <w:r>
        <w:rPr>
          <w:rStyle w:val="14"/>
          <w:rFonts w:hint="eastAsia" w:eastAsia="仿宋_GB2312" w:cs="Times New Roman"/>
          <w:bCs/>
          <w:sz w:val="32"/>
          <w:szCs w:val="32"/>
          <w:lang w:eastAsia="zh-CN"/>
        </w:rPr>
        <w:t>（</w:t>
      </w:r>
      <w:r>
        <w:rPr>
          <w:rStyle w:val="14"/>
          <w:rFonts w:hint="default" w:ascii="Times New Roman" w:hAnsi="Times New Roman" w:eastAsia="仿宋_GB2312" w:cs="Times New Roman"/>
          <w:bCs/>
          <w:sz w:val="32"/>
          <w:szCs w:val="32"/>
        </w:rPr>
        <w:t>款</w:t>
      </w:r>
      <w:r>
        <w:rPr>
          <w:rStyle w:val="14"/>
          <w:rFonts w:hint="eastAsia" w:eastAsia="仿宋_GB2312" w:cs="Times New Roman"/>
          <w:bCs/>
          <w:sz w:val="32"/>
          <w:szCs w:val="32"/>
          <w:lang w:eastAsia="zh-CN"/>
        </w:rPr>
        <w:t>）</w:t>
      </w:r>
      <w:r>
        <w:rPr>
          <w:rStyle w:val="14"/>
          <w:rFonts w:hint="default" w:ascii="Times New Roman" w:hAnsi="Times New Roman" w:eastAsia="仿宋_GB2312" w:cs="Times New Roman"/>
          <w:bCs/>
          <w:sz w:val="32"/>
          <w:szCs w:val="32"/>
        </w:rPr>
        <w:t xml:space="preserve"> 机关事业单位基本养老保险缴费支出（项）:</w:t>
      </w:r>
      <w:r>
        <w:rPr>
          <w:rStyle w:val="14"/>
          <w:rFonts w:hint="default" w:ascii="Times New Roman" w:hAnsi="Times New Roman" w:eastAsia="仿宋_GB2312" w:cs="Times New Roman"/>
          <w:b w:val="0"/>
          <w:bCs/>
          <w:sz w:val="32"/>
          <w:szCs w:val="32"/>
        </w:rPr>
        <w:t xml:space="preserve"> 支出决算为</w:t>
      </w:r>
      <w:r>
        <w:rPr>
          <w:rStyle w:val="14"/>
          <w:rFonts w:hint="default" w:ascii="Times New Roman" w:hAnsi="Times New Roman" w:eastAsia="仿宋_GB2312" w:cs="Times New Roman"/>
          <w:b w:val="0"/>
          <w:bCs/>
          <w:sz w:val="32"/>
          <w:szCs w:val="32"/>
          <w:lang w:val="en-US" w:eastAsia="zh-CN"/>
        </w:rPr>
        <w:t>16.57</w:t>
      </w:r>
      <w:r>
        <w:rPr>
          <w:rStyle w:val="14"/>
          <w:rFonts w:hint="default" w:ascii="Times New Roman" w:hAnsi="Times New Roman" w:eastAsia="仿宋_GB2312" w:cs="Times New Roman"/>
          <w:b w:val="0"/>
          <w:bCs/>
          <w:sz w:val="32"/>
          <w:szCs w:val="32"/>
        </w:rPr>
        <w:t>万元，完成预算</w:t>
      </w:r>
      <w:r>
        <w:rPr>
          <w:rStyle w:val="14"/>
          <w:rFonts w:hint="default" w:ascii="Times New Roman" w:hAnsi="Times New Roman" w:eastAsia="仿宋_GB2312" w:cs="Times New Roman"/>
          <w:b w:val="0"/>
          <w:bCs/>
          <w:sz w:val="32"/>
          <w:szCs w:val="32"/>
          <w:lang w:val="en-US" w:eastAsia="zh-CN"/>
        </w:rPr>
        <w:t>100</w:t>
      </w:r>
      <w:r>
        <w:rPr>
          <w:rStyle w:val="14"/>
          <w:rFonts w:hint="default" w:ascii="Times New Roman" w:hAnsi="Times New Roman" w:eastAsia="仿宋_GB2312" w:cs="Times New Roman"/>
          <w:b w:val="0"/>
          <w:bCs/>
          <w:sz w:val="32"/>
          <w:szCs w:val="32"/>
        </w:rPr>
        <w:t>%。</w:t>
      </w:r>
    </w:p>
    <w:p>
      <w:pPr>
        <w:spacing w:line="600" w:lineRule="exact"/>
        <w:ind w:firstLine="643" w:firstLineChars="200"/>
        <w:rPr>
          <w:rStyle w:val="14"/>
          <w:rFonts w:hint="default" w:ascii="Times New Roman" w:hAnsi="Times New Roman" w:eastAsia="仿宋_GB2312" w:cs="Times New Roman"/>
          <w:b w:val="0"/>
          <w:bCs/>
          <w:sz w:val="32"/>
          <w:szCs w:val="32"/>
        </w:rPr>
      </w:pPr>
      <w:r>
        <w:rPr>
          <w:rStyle w:val="14"/>
          <w:rFonts w:hint="default" w:ascii="Times New Roman" w:hAnsi="Times New Roman" w:eastAsia="仿宋_GB2312" w:cs="Times New Roman"/>
          <w:bCs/>
          <w:sz w:val="32"/>
          <w:szCs w:val="32"/>
          <w:lang w:val="en-US" w:eastAsia="zh-CN"/>
        </w:rPr>
        <w:t>2</w:t>
      </w:r>
      <w:r>
        <w:rPr>
          <w:rStyle w:val="14"/>
          <w:rFonts w:hint="default" w:ascii="Times New Roman" w:hAnsi="Times New Roman" w:eastAsia="仿宋_GB2312" w:cs="Times New Roman"/>
          <w:bCs/>
          <w:sz w:val="32"/>
          <w:szCs w:val="32"/>
        </w:rPr>
        <w:t>.</w:t>
      </w:r>
      <w:r>
        <w:rPr>
          <w:rFonts w:hint="default" w:ascii="Times New Roman" w:hAnsi="Times New Roman" w:eastAsia="仿宋_GB2312" w:cs="Times New Roman"/>
          <w:b/>
          <w:bCs/>
          <w:sz w:val="32"/>
          <w:szCs w:val="32"/>
        </w:rPr>
        <w:t>节能环保支出</w:t>
      </w:r>
      <w:r>
        <w:rPr>
          <w:rStyle w:val="14"/>
          <w:rFonts w:hint="default" w:ascii="Times New Roman" w:hAnsi="Times New Roman" w:eastAsia="仿宋_GB2312" w:cs="Times New Roman"/>
          <w:bCs/>
          <w:sz w:val="32"/>
          <w:szCs w:val="32"/>
        </w:rPr>
        <w:t>（类）环境保护管理事务（款）其他环境保护管理事务支出（项）:</w:t>
      </w:r>
      <w:r>
        <w:rPr>
          <w:rStyle w:val="14"/>
          <w:rFonts w:hint="default" w:ascii="Times New Roman" w:hAnsi="Times New Roman" w:eastAsia="仿宋_GB2312" w:cs="Times New Roman"/>
          <w:b w:val="0"/>
          <w:bCs/>
          <w:sz w:val="32"/>
          <w:szCs w:val="32"/>
        </w:rPr>
        <w:t>支出决算为</w:t>
      </w:r>
      <w:r>
        <w:rPr>
          <w:rStyle w:val="14"/>
          <w:rFonts w:hint="default" w:ascii="Times New Roman" w:hAnsi="Times New Roman" w:eastAsia="仿宋_GB2312" w:cs="Times New Roman"/>
          <w:b w:val="0"/>
          <w:bCs/>
          <w:sz w:val="32"/>
          <w:szCs w:val="32"/>
          <w:lang w:val="en-US" w:eastAsia="zh-CN"/>
        </w:rPr>
        <w:t>157.51</w:t>
      </w:r>
      <w:r>
        <w:rPr>
          <w:rStyle w:val="14"/>
          <w:rFonts w:hint="default" w:ascii="Times New Roman" w:hAnsi="Times New Roman" w:eastAsia="仿宋_GB2312" w:cs="Times New Roman"/>
          <w:b w:val="0"/>
          <w:bCs/>
          <w:sz w:val="32"/>
          <w:szCs w:val="32"/>
        </w:rPr>
        <w:t>万元，完成预算</w:t>
      </w:r>
      <w:r>
        <w:rPr>
          <w:rStyle w:val="14"/>
          <w:rFonts w:hint="default" w:ascii="Times New Roman" w:hAnsi="Times New Roman" w:eastAsia="仿宋_GB2312" w:cs="Times New Roman"/>
          <w:b w:val="0"/>
          <w:bCs/>
          <w:sz w:val="32"/>
          <w:szCs w:val="32"/>
          <w:lang w:val="en-US" w:eastAsia="zh-CN"/>
        </w:rPr>
        <w:t>100</w:t>
      </w:r>
      <w:r>
        <w:rPr>
          <w:rStyle w:val="14"/>
          <w:rFonts w:hint="default" w:ascii="Times New Roman" w:hAnsi="Times New Roman" w:eastAsia="仿宋_GB2312" w:cs="Times New Roman"/>
          <w:b w:val="0"/>
          <w:bCs/>
          <w:sz w:val="32"/>
          <w:szCs w:val="32"/>
        </w:rPr>
        <w:t>%。</w:t>
      </w:r>
    </w:p>
    <w:p>
      <w:pPr>
        <w:spacing w:line="600" w:lineRule="exact"/>
        <w:ind w:firstLine="643" w:firstLineChars="200"/>
        <w:rPr>
          <w:rStyle w:val="14"/>
          <w:rFonts w:hint="default" w:ascii="Times New Roman" w:hAnsi="Times New Roman" w:eastAsia="仿宋_GB2312" w:cs="Times New Roman"/>
          <w:b w:val="0"/>
          <w:bCs/>
          <w:sz w:val="32"/>
          <w:szCs w:val="32"/>
        </w:rPr>
      </w:pPr>
      <w:r>
        <w:rPr>
          <w:rFonts w:hint="default"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rPr>
        <w:t>节能环保支出</w:t>
      </w:r>
      <w:r>
        <w:rPr>
          <w:rStyle w:val="14"/>
          <w:rFonts w:hint="default" w:ascii="Times New Roman" w:hAnsi="Times New Roman" w:eastAsia="仿宋_GB2312" w:cs="Times New Roman"/>
          <w:bCs/>
          <w:sz w:val="32"/>
          <w:szCs w:val="32"/>
        </w:rPr>
        <w:t>（类）污染防治（款）其他污染防治支出（项）:</w:t>
      </w:r>
      <w:r>
        <w:rPr>
          <w:rStyle w:val="14"/>
          <w:rFonts w:hint="default" w:ascii="Times New Roman" w:hAnsi="Times New Roman" w:eastAsia="仿宋_GB2312" w:cs="Times New Roman"/>
          <w:b w:val="0"/>
          <w:bCs/>
          <w:sz w:val="32"/>
          <w:szCs w:val="32"/>
        </w:rPr>
        <w:t>支出决算为</w:t>
      </w:r>
      <w:r>
        <w:rPr>
          <w:rStyle w:val="14"/>
          <w:rFonts w:hint="default" w:ascii="Times New Roman" w:hAnsi="Times New Roman" w:eastAsia="仿宋_GB2312" w:cs="Times New Roman"/>
          <w:b w:val="0"/>
          <w:bCs/>
          <w:sz w:val="32"/>
          <w:szCs w:val="32"/>
          <w:lang w:val="en-US" w:eastAsia="zh-CN"/>
        </w:rPr>
        <w:t>17.73</w:t>
      </w:r>
      <w:r>
        <w:rPr>
          <w:rStyle w:val="14"/>
          <w:rFonts w:hint="default" w:ascii="Times New Roman" w:hAnsi="Times New Roman" w:eastAsia="仿宋_GB2312" w:cs="Times New Roman"/>
          <w:b w:val="0"/>
          <w:bCs/>
          <w:sz w:val="32"/>
          <w:szCs w:val="32"/>
        </w:rPr>
        <w:t>万元，完成预算</w:t>
      </w:r>
      <w:r>
        <w:rPr>
          <w:rStyle w:val="14"/>
          <w:rFonts w:hint="default" w:ascii="Times New Roman" w:hAnsi="Times New Roman" w:eastAsia="仿宋_GB2312" w:cs="Times New Roman"/>
          <w:b w:val="0"/>
          <w:bCs/>
          <w:sz w:val="32"/>
          <w:szCs w:val="32"/>
          <w:lang w:val="en-US" w:eastAsia="zh-CN"/>
        </w:rPr>
        <w:t>100</w:t>
      </w:r>
      <w:r>
        <w:rPr>
          <w:rStyle w:val="14"/>
          <w:rFonts w:hint="default" w:ascii="Times New Roman" w:hAnsi="Times New Roman" w:eastAsia="仿宋_GB2312" w:cs="Times New Roman"/>
          <w:b w:val="0"/>
          <w:bCs/>
          <w:sz w:val="32"/>
          <w:szCs w:val="32"/>
        </w:rPr>
        <w:t>%。</w:t>
      </w:r>
    </w:p>
    <w:p>
      <w:pPr>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rPr>
        <w:t>住房保障支出</w:t>
      </w:r>
      <w:r>
        <w:rPr>
          <w:rStyle w:val="14"/>
          <w:rFonts w:hint="default" w:ascii="Times New Roman" w:hAnsi="Times New Roman" w:eastAsia="仿宋_GB2312" w:cs="Times New Roman"/>
          <w:bCs/>
          <w:sz w:val="32"/>
          <w:szCs w:val="32"/>
        </w:rPr>
        <w:t>（类）住房改革支出（款）住房公积金（项）:</w:t>
      </w:r>
      <w:r>
        <w:rPr>
          <w:rStyle w:val="14"/>
          <w:rFonts w:hint="default" w:ascii="Times New Roman" w:hAnsi="Times New Roman" w:eastAsia="仿宋_GB2312" w:cs="Times New Roman"/>
          <w:b w:val="0"/>
          <w:bCs/>
          <w:sz w:val="32"/>
          <w:szCs w:val="32"/>
        </w:rPr>
        <w:t>支出决算为</w:t>
      </w:r>
      <w:r>
        <w:rPr>
          <w:rStyle w:val="14"/>
          <w:rFonts w:hint="default" w:ascii="Times New Roman" w:hAnsi="Times New Roman" w:eastAsia="仿宋_GB2312" w:cs="Times New Roman"/>
          <w:b w:val="0"/>
          <w:bCs/>
          <w:sz w:val="32"/>
          <w:szCs w:val="32"/>
          <w:lang w:val="en-US" w:eastAsia="zh-CN"/>
        </w:rPr>
        <w:t>20.15</w:t>
      </w:r>
      <w:r>
        <w:rPr>
          <w:rStyle w:val="14"/>
          <w:rFonts w:hint="default" w:ascii="Times New Roman" w:hAnsi="Times New Roman" w:eastAsia="仿宋_GB2312" w:cs="Times New Roman"/>
          <w:b w:val="0"/>
          <w:bCs/>
          <w:sz w:val="32"/>
          <w:szCs w:val="32"/>
        </w:rPr>
        <w:t>万元，完成预算</w:t>
      </w:r>
      <w:r>
        <w:rPr>
          <w:rStyle w:val="14"/>
          <w:rFonts w:hint="default" w:ascii="Times New Roman" w:hAnsi="Times New Roman" w:eastAsia="仿宋_GB2312" w:cs="Times New Roman"/>
          <w:b w:val="0"/>
          <w:bCs/>
          <w:sz w:val="32"/>
          <w:szCs w:val="32"/>
          <w:lang w:val="en-US" w:eastAsia="zh-CN"/>
        </w:rPr>
        <w:t>100</w:t>
      </w:r>
      <w:r>
        <w:rPr>
          <w:rStyle w:val="14"/>
          <w:rFonts w:hint="default" w:ascii="Times New Roman" w:hAnsi="Times New Roman" w:eastAsia="仿宋_GB2312" w:cs="Times New Roman"/>
          <w:b w:val="0"/>
          <w:bCs/>
          <w:sz w:val="32"/>
          <w:szCs w:val="32"/>
        </w:rPr>
        <w:t>%。</w:t>
      </w:r>
    </w:p>
    <w:p>
      <w:pPr>
        <w:tabs>
          <w:tab w:val="right" w:pos="8306"/>
        </w:tabs>
        <w:spacing w:line="600" w:lineRule="exact"/>
        <w:ind w:firstLine="640"/>
        <w:outlineLvl w:val="1"/>
        <w:rPr>
          <w:rStyle w:val="25"/>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5"/>
          <w:rFonts w:hint="eastAsia" w:ascii="黑体" w:hAnsi="黑体" w:eastAsia="黑体"/>
          <w:b w:val="0"/>
        </w:rPr>
        <w:t>般公共预算财政拨款基本支出决算情况说明</w:t>
      </w:r>
      <w:bookmarkEnd w:id="34"/>
      <w:bookmarkEnd w:id="35"/>
      <w:r>
        <w:rPr>
          <w:rStyle w:val="25"/>
          <w:rFonts w:ascii="黑体" w:hAnsi="黑体" w:eastAsia="黑体"/>
          <w:b w:val="0"/>
        </w:rPr>
        <w:tab/>
      </w:r>
    </w:p>
    <w:p>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2022年一般公共预算财政拨款基本支出</w:t>
      </w:r>
      <w:r>
        <w:rPr>
          <w:rFonts w:hint="default" w:ascii="Times New Roman" w:hAnsi="Times New Roman" w:eastAsia="仿宋_GB2312" w:cs="Times New Roman"/>
          <w:sz w:val="32"/>
          <w:szCs w:val="32"/>
          <w:lang w:val="en-US" w:eastAsia="zh-CN"/>
        </w:rPr>
        <w:t>194.23</w:t>
      </w:r>
      <w:r>
        <w:rPr>
          <w:rFonts w:hint="default" w:ascii="Times New Roman" w:hAnsi="Times New Roman" w:eastAsia="仿宋_GB2312" w:cs="Times New Roman"/>
          <w:sz w:val="32"/>
          <w:szCs w:val="32"/>
        </w:rPr>
        <w:t>万元，其中：</w:t>
      </w:r>
    </w:p>
    <w:p>
      <w:pPr>
        <w:spacing w:line="600" w:lineRule="exact"/>
        <w:ind w:firstLine="645"/>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人员经费</w:t>
      </w:r>
      <w:r>
        <w:rPr>
          <w:rFonts w:hint="default" w:ascii="Times New Roman" w:hAnsi="Times New Roman" w:eastAsia="仿宋_GB2312" w:cs="Times New Roman"/>
          <w:sz w:val="32"/>
          <w:szCs w:val="32"/>
          <w:lang w:val="en-US" w:eastAsia="zh-CN"/>
        </w:rPr>
        <w:t>185.29</w:t>
      </w:r>
      <w:r>
        <w:rPr>
          <w:rFonts w:hint="default" w:ascii="Times New Roman" w:hAnsi="Times New Roman" w:eastAsia="仿宋_GB2312" w:cs="Times New Roman"/>
          <w:sz w:val="32"/>
          <w:szCs w:val="32"/>
        </w:rPr>
        <w:t>万元，主要包括：基本工资、津贴补贴、绩效工资、机关事业单位基本养老保险缴费、其他社会保障缴费、</w:t>
      </w:r>
      <w:r>
        <w:rPr>
          <w:rFonts w:hint="default" w:ascii="Times New Roman" w:hAnsi="Times New Roman" w:eastAsia="仿宋_GB2312" w:cs="Times New Roman"/>
          <w:sz w:val="32"/>
          <w:szCs w:val="32"/>
          <w:lang w:eastAsia="zh-CN"/>
        </w:rPr>
        <w:t>职工基本医疗保险缴费、公务员医疗补助缴费、</w:t>
      </w:r>
      <w:r>
        <w:rPr>
          <w:rFonts w:hint="default" w:ascii="Times New Roman" w:hAnsi="Times New Roman" w:eastAsia="仿宋_GB2312" w:cs="Times New Roman"/>
          <w:sz w:val="32"/>
          <w:szCs w:val="32"/>
        </w:rPr>
        <w:t>其他工资福利支出、住房公积金等。</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公用经费</w:t>
      </w:r>
      <w:r>
        <w:rPr>
          <w:rFonts w:hint="default" w:ascii="Times New Roman" w:hAnsi="Times New Roman" w:eastAsia="仿宋_GB2312" w:cs="Times New Roman"/>
          <w:sz w:val="32"/>
          <w:szCs w:val="32"/>
          <w:lang w:val="en-US" w:eastAsia="zh-CN"/>
        </w:rPr>
        <w:t>8.94</w:t>
      </w:r>
      <w:r>
        <w:rPr>
          <w:rFonts w:hint="default" w:ascii="Times New Roman" w:hAnsi="Times New Roman" w:eastAsia="仿宋_GB2312" w:cs="Times New Roman"/>
          <w:sz w:val="32"/>
          <w:szCs w:val="32"/>
        </w:rPr>
        <w:t>万元，主要包括：办公费、水费、电费、邮电费、差旅费、维修（护）费、培训费、公务接待费、劳务费、工会经费</w:t>
      </w:r>
      <w:r>
        <w:rPr>
          <w:rFonts w:hint="default" w:ascii="Times New Roman" w:hAnsi="Times New Roman" w:eastAsia="仿宋_GB2312" w:cs="Times New Roman"/>
          <w:sz w:val="32"/>
          <w:szCs w:val="32"/>
          <w:lang w:eastAsia="zh-CN"/>
        </w:rPr>
        <w:t>、专用材料费</w:t>
      </w:r>
      <w:r>
        <w:rPr>
          <w:rFonts w:hint="default" w:ascii="Times New Roman" w:hAnsi="Times New Roman" w:eastAsia="仿宋_GB2312" w:cs="Times New Roman"/>
          <w:sz w:val="32"/>
          <w:szCs w:val="32"/>
        </w:rPr>
        <w:t>等。</w:t>
      </w:r>
    </w:p>
    <w:p>
      <w:pPr>
        <w:spacing w:line="600" w:lineRule="exact"/>
        <w:ind w:firstLine="640"/>
        <w:outlineLvl w:val="1"/>
        <w:rPr>
          <w:rStyle w:val="25"/>
          <w:rFonts w:ascii="黑体" w:hAnsi="黑体" w:eastAsia="黑体"/>
          <w:b w:val="0"/>
        </w:rPr>
      </w:pPr>
      <w:bookmarkStart w:id="36" w:name="_Toc15396609"/>
      <w:bookmarkStart w:id="37" w:name="_Toc15377215"/>
      <w:r>
        <w:rPr>
          <w:rFonts w:hint="eastAsia" w:ascii="黑体" w:eastAsia="黑体"/>
          <w:sz w:val="32"/>
          <w:szCs w:val="32"/>
        </w:rPr>
        <w:t>七、</w:t>
      </w:r>
      <w:r>
        <w:rPr>
          <w:rStyle w:val="25"/>
          <w:rFonts w:hint="eastAsia" w:ascii="黑体" w:hAnsi="黑体" w:eastAsia="黑体"/>
          <w:b w:val="0"/>
        </w:rPr>
        <w:t>财政拨款</w:t>
      </w:r>
      <w:r>
        <w:rPr>
          <w:rStyle w:val="25"/>
          <w:rFonts w:hint="eastAsia" w:ascii="黑体" w:hAnsi="黑体" w:eastAsia="黑体"/>
        </w:rPr>
        <w:t>“</w:t>
      </w:r>
      <w:r>
        <w:rPr>
          <w:rStyle w:val="25"/>
          <w:rFonts w:hint="eastAsia" w:ascii="黑体" w:hAnsi="黑体" w:eastAsia="黑体"/>
          <w:b w:val="0"/>
        </w:rPr>
        <w:t>三公”经费支出决算情况说明</w:t>
      </w:r>
      <w:bookmarkEnd w:id="36"/>
      <w:bookmarkEnd w:id="37"/>
    </w:p>
    <w:p>
      <w:pPr>
        <w:spacing w:line="600" w:lineRule="exact"/>
        <w:ind w:firstLine="640"/>
        <w:outlineLvl w:val="2"/>
        <w:rPr>
          <w:rFonts w:hint="default" w:ascii="Times New Roman" w:hAnsi="Times New Roman" w:eastAsia="仿宋_GB2312" w:cs="Times New Roman"/>
          <w:b/>
          <w:sz w:val="32"/>
          <w:szCs w:val="32"/>
        </w:rPr>
      </w:pPr>
      <w:bookmarkStart w:id="38" w:name="_Toc15377216"/>
      <w:r>
        <w:rPr>
          <w:rFonts w:hint="default" w:ascii="Times New Roman" w:hAnsi="Times New Roman" w:eastAsia="仿宋_GB2312" w:cs="Times New Roman"/>
          <w:b/>
          <w:sz w:val="32"/>
          <w:szCs w:val="32"/>
        </w:rPr>
        <w:t>（一）“三公”经费财政拨款支出决算总体情况说明</w:t>
      </w:r>
      <w:bookmarkEnd w:id="38"/>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2022年“三公”经费财政拨款支出决算为</w:t>
      </w:r>
      <w:r>
        <w:rPr>
          <w:rFonts w:hint="default" w:ascii="Times New Roman" w:hAnsi="Times New Roman" w:eastAsia="仿宋_GB2312" w:cs="Times New Roman"/>
          <w:sz w:val="32"/>
          <w:szCs w:val="32"/>
          <w:lang w:val="en-US" w:eastAsia="zh-CN"/>
        </w:rPr>
        <w:t>0.07</w:t>
      </w:r>
      <w:r>
        <w:rPr>
          <w:rFonts w:hint="default" w:ascii="Times New Roman" w:hAnsi="Times New Roman" w:eastAsia="仿宋_GB2312" w:cs="Times New Roman"/>
          <w:sz w:val="32"/>
          <w:szCs w:val="32"/>
        </w:rPr>
        <w:t>万元，完成预算</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w:t>
      </w:r>
    </w:p>
    <w:p>
      <w:pPr>
        <w:spacing w:line="600" w:lineRule="exact"/>
        <w:ind w:firstLine="640"/>
        <w:outlineLvl w:val="2"/>
        <w:rPr>
          <w:rFonts w:hint="default" w:ascii="Times New Roman" w:hAnsi="Times New Roman" w:eastAsia="仿宋_GB2312" w:cs="Times New Roman"/>
          <w:b/>
          <w:sz w:val="32"/>
          <w:szCs w:val="32"/>
        </w:rPr>
      </w:pPr>
      <w:bookmarkStart w:id="39" w:name="_Toc15377217"/>
      <w:r>
        <w:rPr>
          <w:rFonts w:hint="default" w:ascii="Times New Roman" w:hAnsi="Times New Roman" w:eastAsia="仿宋_GB2312" w:cs="Times New Roman"/>
          <w:b/>
          <w:sz w:val="32"/>
          <w:szCs w:val="32"/>
        </w:rPr>
        <w:t>（二）“三公”经费财政拨款支出决算具体情况说明</w:t>
      </w:r>
      <w:bookmarkEnd w:id="39"/>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2022年“三公”经费财政拨款支出决算中，因公出国（境）费支出决算</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%；公务用车购置及运行维护费支出决算</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%；公务接待费支出决算</w:t>
      </w:r>
      <w:r>
        <w:rPr>
          <w:rFonts w:hint="default" w:ascii="Times New Roman" w:hAnsi="Times New Roman" w:eastAsia="仿宋_GB2312" w:cs="Times New Roman"/>
          <w:sz w:val="32"/>
          <w:szCs w:val="32"/>
          <w:lang w:val="en-US" w:eastAsia="zh-CN"/>
        </w:rPr>
        <w:t>0.07</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%。具体情况如下：</w:t>
      </w:r>
    </w:p>
    <w:p>
      <w:pPr>
        <w:pStyle w:val="2"/>
        <w:rPr>
          <w:rFonts w:hint="default"/>
        </w:rPr>
      </w:pPr>
    </w:p>
    <w:p>
      <w:pPr>
        <w:pStyle w:val="2"/>
        <w:rPr>
          <w:rFonts w:hint="eastAsia" w:eastAsia="仿宋"/>
          <w:lang w:eastAsia="zh-CN"/>
        </w:rPr>
      </w:pPr>
    </w:p>
    <w:p>
      <w:pPr>
        <w:pStyle w:val="2"/>
        <w:rPr>
          <w:rFonts w:hint="eastAsia" w:eastAsia="仿宋"/>
          <w:lang w:eastAsia="zh-CN"/>
        </w:rPr>
      </w:pPr>
      <w:r>
        <w:rPr>
          <w:rFonts w:hint="eastAsia" w:eastAsia="仿宋"/>
          <w:lang w:eastAsia="zh-CN"/>
        </w:rPr>
        <w:drawing>
          <wp:anchor distT="0" distB="0" distL="114300" distR="114300" simplePos="0" relativeHeight="251665408" behindDoc="0" locked="0" layoutInCell="1" allowOverlap="1">
            <wp:simplePos x="0" y="0"/>
            <wp:positionH relativeFrom="column">
              <wp:posOffset>490220</wp:posOffset>
            </wp:positionH>
            <wp:positionV relativeFrom="paragraph">
              <wp:posOffset>108585</wp:posOffset>
            </wp:positionV>
            <wp:extent cx="4424045" cy="2564765"/>
            <wp:effectExtent l="4445" t="4445" r="10160" b="21590"/>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pPr>
        <w:pStyle w:val="2"/>
        <w:rPr>
          <w:rFonts w:hint="eastAsia" w:eastAsia="仿宋"/>
          <w:lang w:eastAsia="zh-CN"/>
        </w:rPr>
      </w:pPr>
    </w:p>
    <w:p>
      <w:pPr>
        <w:pStyle w:val="2"/>
        <w:rPr>
          <w:rFonts w:hint="eastAsia" w:eastAsia="仿宋"/>
          <w:lang w:eastAsia="zh-CN"/>
        </w:rPr>
      </w:pPr>
    </w:p>
    <w:p>
      <w:pPr>
        <w:pStyle w:val="2"/>
        <w:rPr>
          <w:rFonts w:hint="eastAsia" w:eastAsia="仿宋"/>
          <w:lang w:eastAsia="zh-CN"/>
        </w:rPr>
      </w:pPr>
    </w:p>
    <w:p>
      <w:pPr>
        <w:pStyle w:val="2"/>
        <w:rPr>
          <w:rFonts w:hint="eastAsia" w:eastAsia="仿宋"/>
          <w:lang w:eastAsia="zh-CN"/>
        </w:rPr>
      </w:pPr>
    </w:p>
    <w:p>
      <w:pPr>
        <w:spacing w:line="600" w:lineRule="exact"/>
        <w:ind w:firstLine="640"/>
        <w:rPr>
          <w:rFonts w:hint="default" w:ascii="Times New Roman" w:hAnsi="Times New Roman" w:eastAsia="仿宋_GB2312" w:cs="Times New Roman"/>
          <w:sz w:val="32"/>
          <w:szCs w:val="32"/>
        </w:rPr>
      </w:pPr>
    </w:p>
    <w:p>
      <w:pPr>
        <w:spacing w:line="600" w:lineRule="exact"/>
        <w:ind w:firstLine="64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（图7：“三公”经费财政拨款支出结构）</w:t>
      </w:r>
      <w:r>
        <w:rPr>
          <w:rFonts w:hint="eastAsia" w:eastAsia="仿宋_GB2312" w:cs="Times New Roman"/>
          <w:sz w:val="32"/>
          <w:szCs w:val="32"/>
          <w:lang w:eastAsia="zh-CN"/>
        </w:rPr>
        <w:t>（饼状图）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en-US" w:eastAsia="zh-CN"/>
        </w:rPr>
        <w:t>1.</w:t>
      </w:r>
      <w:r>
        <w:rPr>
          <w:rFonts w:hint="default" w:ascii="Times New Roman" w:hAnsi="Times New Roman" w:eastAsia="仿宋_GB2312" w:cs="Times New Roman"/>
          <w:b/>
          <w:sz w:val="32"/>
          <w:szCs w:val="32"/>
        </w:rPr>
        <w:t>因公出国（境）经费支出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r>
        <w:rPr>
          <w:rStyle w:val="14"/>
          <w:rFonts w:hint="default" w:ascii="Times New Roman" w:hAnsi="Times New Roman" w:eastAsia="仿宋_GB2312" w:cs="Times New Roman"/>
          <w:b w:val="0"/>
          <w:bCs/>
          <w:sz w:val="32"/>
          <w:szCs w:val="32"/>
        </w:rPr>
        <w:t>。</w:t>
      </w:r>
      <w:r>
        <w:rPr>
          <w:rFonts w:hint="default" w:ascii="Times New Roman" w:hAnsi="Times New Roman" w:eastAsia="仿宋_GB2312" w:cs="Times New Roman"/>
          <w:sz w:val="32"/>
          <w:szCs w:val="32"/>
        </w:rPr>
        <w:t>全年安排因公出国（境）团组</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次，出国（境）</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2.公务用车购置及运行维护费支出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其中：</w:t>
      </w:r>
      <w:r>
        <w:rPr>
          <w:rFonts w:hint="default" w:ascii="Times New Roman" w:hAnsi="Times New Roman" w:eastAsia="仿宋_GB2312" w:cs="Times New Roman"/>
          <w:b/>
          <w:sz w:val="32"/>
          <w:szCs w:val="32"/>
        </w:rPr>
        <w:t>公务用车购置支出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公务用车运行维护费支出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3.公务接待费支出</w:t>
      </w:r>
      <w:r>
        <w:rPr>
          <w:rFonts w:hint="default" w:ascii="Times New Roman" w:hAnsi="Times New Roman" w:eastAsia="仿宋_GB2312" w:cs="Times New Roman"/>
          <w:sz w:val="32"/>
          <w:szCs w:val="32"/>
          <w:lang w:val="en-US" w:eastAsia="zh-CN"/>
        </w:rPr>
        <w:t>0.07</w:t>
      </w:r>
      <w:r>
        <w:rPr>
          <w:rFonts w:hint="default" w:ascii="Times New Roman" w:hAnsi="Times New Roman" w:eastAsia="仿宋_GB2312" w:cs="Times New Roman"/>
          <w:sz w:val="32"/>
          <w:szCs w:val="32"/>
        </w:rPr>
        <w:t>万元，</w:t>
      </w:r>
      <w:r>
        <w:rPr>
          <w:rStyle w:val="14"/>
          <w:rFonts w:hint="default" w:ascii="Times New Roman" w:hAnsi="Times New Roman" w:eastAsia="仿宋_GB2312" w:cs="Times New Roman"/>
          <w:b w:val="0"/>
          <w:bCs/>
          <w:sz w:val="32"/>
          <w:szCs w:val="32"/>
        </w:rPr>
        <w:t>完成预算</w:t>
      </w:r>
      <w:r>
        <w:rPr>
          <w:rStyle w:val="14"/>
          <w:rFonts w:hint="default" w:ascii="Times New Roman" w:hAnsi="Times New Roman" w:eastAsia="仿宋_GB2312" w:cs="Times New Roman"/>
          <w:b w:val="0"/>
          <w:bCs/>
          <w:sz w:val="32"/>
          <w:szCs w:val="32"/>
          <w:lang w:val="en-US" w:eastAsia="zh-CN"/>
        </w:rPr>
        <w:t>100</w:t>
      </w:r>
      <w:r>
        <w:rPr>
          <w:rStyle w:val="14"/>
          <w:rFonts w:hint="default" w:ascii="Times New Roman" w:hAnsi="Times New Roman" w:eastAsia="仿宋_GB2312" w:cs="Times New Roman"/>
          <w:b w:val="0"/>
          <w:bCs/>
          <w:sz w:val="32"/>
          <w:szCs w:val="32"/>
        </w:rPr>
        <w:t>%。</w:t>
      </w:r>
      <w:r>
        <w:rPr>
          <w:rFonts w:hint="default" w:ascii="Times New Roman" w:hAnsi="Times New Roman" w:eastAsia="仿宋_GB2312" w:cs="Times New Roman"/>
          <w:sz w:val="32"/>
          <w:szCs w:val="32"/>
        </w:rPr>
        <w:t>公务接待费支出决算比2021年减少</w:t>
      </w:r>
      <w:r>
        <w:rPr>
          <w:rFonts w:hint="default" w:ascii="Times New Roman" w:hAnsi="Times New Roman" w:eastAsia="仿宋_GB2312" w:cs="Times New Roman"/>
          <w:sz w:val="32"/>
          <w:szCs w:val="32"/>
          <w:lang w:val="en-US" w:eastAsia="zh-CN"/>
        </w:rPr>
        <w:t>0.01</w:t>
      </w:r>
      <w:r>
        <w:rPr>
          <w:rFonts w:hint="default" w:ascii="Times New Roman" w:hAnsi="Times New Roman" w:eastAsia="仿宋_GB2312" w:cs="Times New Roman"/>
          <w:sz w:val="32"/>
          <w:szCs w:val="32"/>
        </w:rPr>
        <w:t>万元，下降</w:t>
      </w:r>
      <w:r>
        <w:rPr>
          <w:rFonts w:hint="default" w:ascii="Times New Roman" w:hAnsi="Times New Roman" w:eastAsia="仿宋_GB2312" w:cs="Times New Roman"/>
          <w:sz w:val="32"/>
          <w:szCs w:val="32"/>
          <w:lang w:val="en-US" w:eastAsia="zh-CN"/>
        </w:rPr>
        <w:t>12.50</w:t>
      </w:r>
      <w:r>
        <w:rPr>
          <w:rFonts w:hint="default" w:ascii="Times New Roman" w:hAnsi="Times New Roman" w:eastAsia="仿宋_GB2312" w:cs="Times New Roman"/>
          <w:sz w:val="32"/>
          <w:szCs w:val="32"/>
        </w:rPr>
        <w:t>%。主要原因是</w:t>
      </w:r>
      <w:r>
        <w:rPr>
          <w:rFonts w:hint="default" w:ascii="Times New Roman" w:hAnsi="Times New Roman" w:eastAsia="仿宋_GB2312" w:cs="Times New Roman"/>
          <w:color w:val="000000"/>
          <w:sz w:val="32"/>
          <w:szCs w:val="32"/>
        </w:rPr>
        <w:t>厉行节约，严控公务接待</w:t>
      </w:r>
      <w:r>
        <w:rPr>
          <w:rFonts w:hint="default" w:ascii="Times New Roman" w:hAnsi="Times New Roman" w:eastAsia="仿宋_GB2312" w:cs="Times New Roman"/>
          <w:sz w:val="32"/>
          <w:szCs w:val="32"/>
        </w:rPr>
        <w:t>。其中：</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国内公务接待支出</w:t>
      </w:r>
      <w:r>
        <w:rPr>
          <w:rFonts w:hint="default" w:ascii="Times New Roman" w:hAnsi="Times New Roman" w:eastAsia="仿宋_GB2312" w:cs="Times New Roman"/>
          <w:sz w:val="32"/>
          <w:szCs w:val="32"/>
          <w:lang w:val="en-US" w:eastAsia="zh-CN"/>
        </w:rPr>
        <w:t>0.07</w:t>
      </w:r>
      <w:r>
        <w:rPr>
          <w:rFonts w:hint="default" w:ascii="Times New Roman" w:hAnsi="Times New Roman" w:eastAsia="仿宋_GB2312" w:cs="Times New Roman"/>
          <w:sz w:val="32"/>
          <w:szCs w:val="32"/>
        </w:rPr>
        <w:t>万元，主要用于开展业务活动开支的用餐费</w:t>
      </w:r>
      <w:r>
        <w:rPr>
          <w:rFonts w:hint="default" w:ascii="Times New Roman" w:hAnsi="Times New Roman" w:eastAsia="仿宋_GB2312" w:cs="Times New Roman"/>
          <w:sz w:val="32"/>
          <w:szCs w:val="32"/>
          <w:lang w:eastAsia="zh-CN"/>
        </w:rPr>
        <w:t>用</w:t>
      </w:r>
      <w:r>
        <w:rPr>
          <w:rFonts w:hint="default" w:ascii="Times New Roman" w:hAnsi="Times New Roman" w:eastAsia="仿宋_GB2312" w:cs="Times New Roman"/>
          <w:sz w:val="32"/>
          <w:szCs w:val="32"/>
        </w:rPr>
        <w:t>。国内公务接待</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批次，</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人次（不包括陪同人员），共计支出</w:t>
      </w:r>
      <w:r>
        <w:rPr>
          <w:rFonts w:hint="default" w:ascii="Times New Roman" w:hAnsi="Times New Roman" w:eastAsia="仿宋_GB2312" w:cs="Times New Roman"/>
          <w:sz w:val="32"/>
          <w:szCs w:val="32"/>
          <w:lang w:val="en-US" w:eastAsia="zh-CN"/>
        </w:rPr>
        <w:t>0.07</w:t>
      </w:r>
      <w:r>
        <w:rPr>
          <w:rFonts w:hint="default" w:ascii="Times New Roman" w:hAnsi="Times New Roman" w:eastAsia="仿宋_GB2312" w:cs="Times New Roman"/>
          <w:sz w:val="32"/>
          <w:szCs w:val="32"/>
        </w:rPr>
        <w:t>万元，具体内容包括：接待市生态环境监测中心站</w:t>
      </w:r>
      <w:r>
        <w:rPr>
          <w:rFonts w:hint="default" w:ascii="Times New Roman" w:hAnsi="Times New Roman" w:eastAsia="仿宋_GB2312" w:cs="Times New Roman"/>
          <w:sz w:val="32"/>
          <w:szCs w:val="32"/>
          <w:lang w:eastAsia="zh-CN"/>
        </w:rPr>
        <w:t>对仁和</w:t>
      </w:r>
      <w:r>
        <w:rPr>
          <w:rFonts w:hint="default" w:ascii="Times New Roman" w:hAnsi="Times New Roman" w:eastAsia="仿宋_GB2312" w:cs="Times New Roman"/>
          <w:sz w:val="32"/>
          <w:szCs w:val="32"/>
        </w:rPr>
        <w:t>监测人员上岗考核</w:t>
      </w:r>
      <w:r>
        <w:rPr>
          <w:rFonts w:hint="default" w:ascii="Times New Roman" w:hAnsi="Times New Roman" w:eastAsia="仿宋_GB2312" w:cs="Times New Roman"/>
          <w:sz w:val="32"/>
          <w:szCs w:val="32"/>
          <w:lang w:eastAsia="zh-CN"/>
        </w:rPr>
        <w:t>用餐费</w:t>
      </w:r>
      <w:r>
        <w:rPr>
          <w:rFonts w:hint="default" w:ascii="Times New Roman" w:hAnsi="Times New Roman" w:eastAsia="仿宋_GB2312" w:cs="Times New Roman"/>
          <w:sz w:val="32"/>
          <w:szCs w:val="32"/>
          <w:lang w:val="en-US" w:eastAsia="zh-CN"/>
        </w:rPr>
        <w:t>656.00元</w:t>
      </w:r>
      <w:r>
        <w:rPr>
          <w:rFonts w:hint="default" w:ascii="Times New Roman" w:hAnsi="Times New Roman" w:eastAsia="仿宋_GB2312" w:cs="Times New Roman"/>
          <w:sz w:val="32"/>
          <w:szCs w:val="32"/>
        </w:rPr>
        <w:t>。</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外事接待支出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bookmarkStart w:id="40" w:name="_Toc15396610"/>
      <w:bookmarkStart w:id="41" w:name="_Toc15377218"/>
    </w:p>
    <w:p>
      <w:pPr>
        <w:spacing w:line="600" w:lineRule="exact"/>
        <w:ind w:firstLine="640"/>
        <w:outlineLvl w:val="1"/>
        <w:rPr>
          <w:rStyle w:val="25"/>
          <w:rFonts w:ascii="黑体" w:hAnsi="黑体" w:eastAsia="黑体"/>
        </w:rPr>
      </w:pPr>
      <w:r>
        <w:rPr>
          <w:rFonts w:hint="eastAsia" w:ascii="黑体" w:eastAsia="黑体"/>
          <w:sz w:val="32"/>
          <w:szCs w:val="32"/>
        </w:rPr>
        <w:t>八、</w:t>
      </w:r>
      <w:r>
        <w:rPr>
          <w:rStyle w:val="25"/>
          <w:rFonts w:hint="eastAsia" w:ascii="黑体" w:hAnsi="黑体" w:eastAsia="黑体"/>
          <w:b w:val="0"/>
        </w:rPr>
        <w:t>政府性基金预算支出决算情况说明</w:t>
      </w:r>
      <w:bookmarkEnd w:id="40"/>
      <w:bookmarkEnd w:id="41"/>
    </w:p>
    <w:p>
      <w:pPr>
        <w:keepNext w:val="0"/>
        <w:keepLines w:val="0"/>
        <w:pageBreakBefore w:val="0"/>
        <w:widowControl w:val="0"/>
        <w:kinsoku/>
        <w:wordWrap/>
        <w:overflowPunct/>
        <w:topLinePunct w:val="0"/>
        <w:bidi w:val="0"/>
        <w:snapToGrid/>
        <w:spacing w:line="600" w:lineRule="exact"/>
        <w:ind w:firstLine="640"/>
        <w:textAlignment w:val="auto"/>
        <w:rPr>
          <w:rFonts w:ascii="仿宋_GB2312" w:eastAsia="仿宋_GB2312"/>
          <w:sz w:val="32"/>
          <w:szCs w:val="32"/>
        </w:rPr>
      </w:pPr>
      <w:r>
        <w:rPr>
          <w:rFonts w:hint="default" w:ascii="Times New Roman" w:hAnsi="Times New Roman" w:eastAsia="仿宋_GB2312" w:cs="Times New Roman"/>
          <w:sz w:val="32"/>
          <w:szCs w:val="32"/>
        </w:rPr>
        <w:t>2022年政府性基金预算财政拨款支出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p>
    <w:p>
      <w:pPr>
        <w:numPr>
          <w:ilvl w:val="0"/>
          <w:numId w:val="2"/>
        </w:numPr>
        <w:spacing w:line="600" w:lineRule="exact"/>
        <w:ind w:firstLine="640"/>
        <w:outlineLvl w:val="1"/>
        <w:rPr>
          <w:rStyle w:val="25"/>
          <w:rFonts w:ascii="黑体" w:hAnsi="黑体" w:eastAsia="黑体"/>
          <w:b w:val="0"/>
        </w:rPr>
      </w:pPr>
      <w:bookmarkStart w:id="42" w:name="_Toc15396611"/>
      <w:bookmarkStart w:id="43" w:name="_Toc15377219"/>
      <w:r>
        <w:rPr>
          <w:rStyle w:val="25"/>
          <w:rFonts w:hint="eastAsia" w:ascii="黑体" w:hAnsi="黑体" w:eastAsia="黑体"/>
          <w:b w:val="0"/>
        </w:rPr>
        <w:t>国有资本经营预算支出决算情况说明</w:t>
      </w:r>
      <w:bookmarkEnd w:id="42"/>
      <w:bookmarkEnd w:id="43"/>
    </w:p>
    <w:p>
      <w:pPr>
        <w:keepNext w:val="0"/>
        <w:keepLines w:val="0"/>
        <w:pageBreakBefore w:val="0"/>
        <w:widowControl w:val="0"/>
        <w:kinsoku/>
        <w:wordWrap/>
        <w:overflowPunct/>
        <w:topLinePunct w:val="0"/>
        <w:bidi w:val="0"/>
        <w:snapToGrid/>
        <w:spacing w:line="600" w:lineRule="exact"/>
        <w:ind w:firstLine="640"/>
        <w:textAlignment w:val="auto"/>
        <w:rPr>
          <w:rFonts w:ascii="方正小标宋简体" w:hAnsi="方正小标宋简体" w:eastAsia="方正小标宋简体" w:cs="方正小标宋简体"/>
          <w:sz w:val="44"/>
          <w:szCs w:val="44"/>
        </w:rPr>
      </w:pPr>
      <w:r>
        <w:rPr>
          <w:rFonts w:hint="default" w:ascii="Times New Roman" w:hAnsi="Times New Roman" w:eastAsia="仿宋_GB2312" w:cs="Times New Roman"/>
          <w:sz w:val="32"/>
          <w:szCs w:val="32"/>
        </w:rPr>
        <w:t>2022年国有资本经营预算财政拨款支出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p>
    <w:p>
      <w:pPr>
        <w:numPr>
          <w:ilvl w:val="0"/>
          <w:numId w:val="2"/>
        </w:numPr>
        <w:spacing w:line="600" w:lineRule="exact"/>
        <w:ind w:firstLine="640"/>
        <w:outlineLvl w:val="1"/>
        <w:rPr>
          <w:rStyle w:val="25"/>
          <w:rFonts w:ascii="黑体" w:hAnsi="黑体" w:eastAsia="黑体"/>
          <w:b w:val="0"/>
        </w:rPr>
      </w:pPr>
      <w:bookmarkStart w:id="44" w:name="_Toc15377221"/>
      <w:bookmarkStart w:id="45" w:name="_Toc15396612"/>
      <w:r>
        <w:rPr>
          <w:rStyle w:val="25"/>
          <w:rFonts w:hint="eastAsia" w:ascii="黑体" w:hAnsi="黑体" w:eastAsia="黑体"/>
          <w:b w:val="0"/>
        </w:rPr>
        <w:t>其他重要事项的情况说明</w:t>
      </w:r>
      <w:bookmarkEnd w:id="44"/>
      <w:bookmarkEnd w:id="45"/>
    </w:p>
    <w:p>
      <w:pPr>
        <w:keepNext w:val="0"/>
        <w:keepLines w:val="0"/>
        <w:pageBreakBefore w:val="0"/>
        <w:widowControl w:val="0"/>
        <w:kinsoku/>
        <w:wordWrap/>
        <w:overflowPunct/>
        <w:topLinePunct w:val="0"/>
        <w:bidi w:val="0"/>
        <w:snapToGrid/>
        <w:spacing w:line="600" w:lineRule="exact"/>
        <w:ind w:firstLine="643" w:firstLineChars="200"/>
        <w:textAlignment w:val="auto"/>
        <w:outlineLvl w:val="2"/>
        <w:rPr>
          <w:rFonts w:hint="default" w:ascii="Times New Roman" w:hAnsi="Times New Roman" w:eastAsia="仿宋_GB2312" w:cs="Times New Roman"/>
          <w:sz w:val="32"/>
          <w:szCs w:val="32"/>
        </w:rPr>
      </w:pPr>
      <w:bookmarkStart w:id="46" w:name="_Toc15377222"/>
      <w:r>
        <w:rPr>
          <w:rFonts w:hint="default" w:ascii="Times New Roman" w:hAnsi="Times New Roman" w:eastAsia="仿宋_GB2312" w:cs="Times New Roman"/>
          <w:b/>
          <w:sz w:val="32"/>
          <w:szCs w:val="32"/>
        </w:rPr>
        <w:t>（一）机关运行经费支出情况</w:t>
      </w:r>
      <w:bookmarkEnd w:id="46"/>
    </w:p>
    <w:p>
      <w:pPr>
        <w:pStyle w:val="2"/>
        <w:keepNext w:val="0"/>
        <w:keepLines w:val="0"/>
        <w:pageBreakBefore w:val="0"/>
        <w:widowControl w:val="0"/>
        <w:kinsoku/>
        <w:wordWrap/>
        <w:overflowPunct/>
        <w:topLinePunct w:val="0"/>
        <w:bidi w:val="0"/>
        <w:snapToGrid/>
        <w:spacing w:beforeLines="0"/>
        <w:ind w:firstLine="800" w:firstLineChars="250"/>
        <w:textAlignment w:val="auto"/>
        <w:rPr>
          <w:rFonts w:hint="default" w:ascii="Times New Roman" w:hAnsi="Times New Roman" w:eastAsia="仿宋_GB2312" w:cs="Times New Roman"/>
        </w:rPr>
      </w:pPr>
      <w:r>
        <w:rPr>
          <w:rFonts w:hint="default" w:ascii="Times New Roman" w:hAnsi="Times New Roman" w:eastAsia="仿宋_GB2312" w:cs="Times New Roman"/>
          <w:sz w:val="32"/>
          <w:szCs w:val="32"/>
        </w:rPr>
        <w:t>2022年</w:t>
      </w:r>
      <w:r>
        <w:rPr>
          <w:rFonts w:hint="default" w:ascii="Times New Roman" w:hAnsi="Times New Roman" w:eastAsia="仿宋_GB2312" w:cs="Times New Roman"/>
        </w:rPr>
        <w:t>，仁和生态环境监测站属公益一类事业单位，</w:t>
      </w:r>
      <w:r>
        <w:rPr>
          <w:rFonts w:hint="default" w:ascii="Times New Roman" w:hAnsi="Times New Roman" w:eastAsia="仿宋_GB2312" w:cs="Times New Roman"/>
          <w:lang w:eastAsia="zh-CN"/>
        </w:rPr>
        <w:t>按要求不产生机关运行经费</w:t>
      </w:r>
      <w:r>
        <w:rPr>
          <w:rFonts w:hint="default" w:ascii="Times New Roman" w:hAnsi="Times New Roman" w:eastAsia="仿宋_GB2312" w:cs="Times New Roman"/>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left"/>
        <w:textAlignment w:val="auto"/>
        <w:outlineLvl w:val="2"/>
        <w:rPr>
          <w:rFonts w:hint="default" w:ascii="Times New Roman" w:hAnsi="Times New Roman" w:eastAsia="仿宋_GB2312" w:cs="Times New Roman"/>
          <w:b/>
          <w:sz w:val="32"/>
          <w:szCs w:val="32"/>
        </w:rPr>
      </w:pPr>
      <w:bookmarkStart w:id="47" w:name="_Toc15377223"/>
      <w:r>
        <w:rPr>
          <w:rFonts w:hint="default" w:ascii="Times New Roman" w:hAnsi="Times New Roman" w:eastAsia="仿宋_GB2312" w:cs="Times New Roman"/>
          <w:b/>
          <w:sz w:val="32"/>
          <w:szCs w:val="32"/>
        </w:rPr>
        <w:t>（二）政府采购支出情况</w:t>
      </w:r>
      <w:bookmarkEnd w:id="47"/>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w:t>
      </w:r>
      <w:r>
        <w:rPr>
          <w:rFonts w:hint="default" w:ascii="Times New Roman" w:hAnsi="Times New Roman" w:eastAsia="仿宋_GB2312" w:cs="Times New Roman"/>
          <w:sz w:val="32"/>
          <w:szCs w:val="32"/>
          <w:lang w:eastAsia="zh-CN"/>
        </w:rPr>
        <w:t>仁和生态环境监测站</w:t>
      </w:r>
      <w:r>
        <w:rPr>
          <w:rFonts w:hint="default" w:ascii="Times New Roman" w:hAnsi="Times New Roman" w:eastAsia="仿宋_GB2312" w:cs="Times New Roman"/>
          <w:sz w:val="32"/>
          <w:szCs w:val="32"/>
        </w:rPr>
        <w:t>政府采购支出总额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万元，其中：政府采购货物支出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万元、政府采购工程支出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万元、政府采购服务支出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left"/>
        <w:textAlignment w:val="auto"/>
        <w:outlineLvl w:val="2"/>
        <w:rPr>
          <w:rFonts w:hint="default" w:ascii="Times New Roman" w:hAnsi="Times New Roman" w:eastAsia="仿宋_GB2312" w:cs="Times New Roman"/>
          <w:b/>
          <w:sz w:val="32"/>
          <w:szCs w:val="32"/>
        </w:rPr>
      </w:pPr>
      <w:bookmarkStart w:id="48" w:name="_Toc15377224"/>
      <w:r>
        <w:rPr>
          <w:rFonts w:hint="default" w:ascii="Times New Roman" w:hAnsi="Times New Roman" w:eastAsia="仿宋_GB2312" w:cs="Times New Roman"/>
          <w:b/>
          <w:sz w:val="32"/>
          <w:szCs w:val="32"/>
        </w:rPr>
        <w:t>（三）国有资产占有使用情况</w:t>
      </w:r>
      <w:bookmarkEnd w:id="48"/>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截至2022年12月31日，</w:t>
      </w:r>
      <w:r>
        <w:rPr>
          <w:rFonts w:hint="default" w:ascii="Times New Roman" w:hAnsi="Times New Roman" w:eastAsia="仿宋_GB2312" w:cs="Times New Roman"/>
          <w:sz w:val="32"/>
          <w:szCs w:val="32"/>
          <w:lang w:eastAsia="zh-CN"/>
        </w:rPr>
        <w:t>仁和生态环境监测站</w:t>
      </w:r>
      <w:r>
        <w:rPr>
          <w:rFonts w:hint="default" w:ascii="Times New Roman" w:hAnsi="Times New Roman" w:eastAsia="仿宋_GB2312" w:cs="Times New Roman"/>
          <w:sz w:val="32"/>
          <w:szCs w:val="32"/>
        </w:rPr>
        <w:t>共有车辆</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辆。单价100万元以上专用设备</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台（套）。</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left"/>
        <w:textAlignment w:val="auto"/>
        <w:outlineLvl w:val="2"/>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（四）预算绩效管理情况</w:t>
      </w:r>
    </w:p>
    <w:p>
      <w:pPr>
        <w:pStyle w:val="2"/>
        <w:keepNext w:val="0"/>
        <w:keepLines w:val="0"/>
        <w:pageBreakBefore w:val="0"/>
        <w:widowControl w:val="0"/>
        <w:kinsoku/>
        <w:wordWrap/>
        <w:overflowPunct/>
        <w:topLinePunct w:val="0"/>
        <w:bidi w:val="0"/>
        <w:snapToGrid/>
        <w:spacing w:beforeLines="0"/>
        <w:ind w:firstLine="640" w:firstLineChars="200"/>
        <w:textAlignment w:val="auto"/>
        <w:rPr>
          <w:rFonts w:hint="default" w:ascii="Times New Roman" w:hAnsi="Times New Roman" w:eastAsia="仿宋_GB2312" w:cs="Times New Roman"/>
          <w:highlight w:val="yellow"/>
        </w:rPr>
      </w:pPr>
      <w:r>
        <w:rPr>
          <w:rFonts w:hint="default" w:ascii="Times New Roman" w:hAnsi="Times New Roman" w:eastAsia="仿宋_GB2312" w:cs="Times New Roman"/>
          <w:sz w:val="32"/>
          <w:szCs w:val="32"/>
        </w:rPr>
        <w:t>根据预算绩效管理要求，本单位在2022年度预算编制阶段，组织对带薪年休假经费（事业）</w:t>
      </w:r>
      <w:r>
        <w:rPr>
          <w:rFonts w:hint="default" w:ascii="Times New Roman" w:hAnsi="Times New Roman" w:eastAsia="仿宋_GB2312" w:cs="Times New Roman"/>
          <w:sz w:val="32"/>
          <w:szCs w:val="32"/>
          <w:lang w:eastAsia="zh-CN"/>
        </w:rPr>
        <w:t>、住房公积金（事业）、在职医疗补助（事业）、其他社会保障缴费（事业）、</w:t>
      </w:r>
      <w:r>
        <w:rPr>
          <w:rFonts w:hint="default" w:ascii="Times New Roman" w:hAnsi="Times New Roman" w:eastAsia="仿宋_GB2312" w:cs="Times New Roman"/>
          <w:sz w:val="32"/>
          <w:szCs w:val="32"/>
        </w:rPr>
        <w:t>基本医疗保险（事业）等</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个项目开展了预算事前绩效评估，对</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个项目编制了绩效目标，预算执行过程中，选取</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个项目开展绩效监控，组织对</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个项目开展绩效自评，绩效自评表详见第四部分附件。</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3"/>
        </w:numPr>
        <w:spacing w:line="600" w:lineRule="exact"/>
        <w:ind w:firstLine="660" w:firstLineChars="150"/>
        <w:jc w:val="center"/>
        <w:outlineLvl w:val="0"/>
        <w:rPr>
          <w:rStyle w:val="24"/>
          <w:rFonts w:ascii="黑体" w:hAnsi="黑体" w:eastAsia="黑体"/>
          <w:b w:val="0"/>
        </w:rPr>
      </w:pPr>
      <w:bookmarkStart w:id="49" w:name="_Toc15396613"/>
      <w:bookmarkStart w:id="50" w:name="_Toc15377225"/>
      <w:r>
        <w:rPr>
          <w:rFonts w:hint="eastAsia" w:ascii="黑体" w:hAnsi="黑体" w:eastAsia="黑体"/>
          <w:sz w:val="44"/>
          <w:szCs w:val="44"/>
        </w:rPr>
        <w:t>名</w:t>
      </w:r>
      <w:r>
        <w:rPr>
          <w:rStyle w:val="24"/>
          <w:rFonts w:hint="eastAsia" w:ascii="黑体" w:hAnsi="黑体" w:eastAsia="黑体"/>
          <w:b w:val="0"/>
        </w:rPr>
        <w:t>词解释</w:t>
      </w:r>
      <w:bookmarkEnd w:id="49"/>
      <w:bookmarkEnd w:id="50"/>
    </w:p>
    <w:p>
      <w:pPr>
        <w:spacing w:line="600" w:lineRule="exact"/>
        <w:jc w:val="left"/>
        <w:rPr>
          <w:rFonts w:ascii="宋体"/>
          <w:b/>
          <w:sz w:val="44"/>
          <w:szCs w:val="44"/>
        </w:rPr>
      </w:pPr>
    </w:p>
    <w:p>
      <w:pPr>
        <w:pStyle w:val="22"/>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1.财政拨款收入：指单位从同级财政部门取得的财政预算资金。</w:t>
      </w:r>
    </w:p>
    <w:p>
      <w:pPr>
        <w:pStyle w:val="22"/>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.其他收入：指单位取得的除上述收入以外的各项收入。主要是</w:t>
      </w:r>
      <w:r>
        <w:rPr>
          <w:rFonts w:hint="default" w:ascii="Times New Roman" w:hAnsi="Times New Roman" w:eastAsia="仿宋_GB2312" w:cs="Times New Roman"/>
          <w:color w:val="auto"/>
          <w:sz w:val="32"/>
          <w:szCs w:val="32"/>
          <w:lang w:eastAsia="zh-CN"/>
        </w:rPr>
        <w:t>仁和区财政安排资金</w:t>
      </w:r>
      <w:r>
        <w:rPr>
          <w:rFonts w:hint="default" w:ascii="Times New Roman" w:hAnsi="Times New Roman" w:eastAsia="仿宋_GB2312" w:cs="Times New Roman"/>
          <w:color w:val="auto"/>
          <w:sz w:val="32"/>
          <w:szCs w:val="32"/>
        </w:rPr>
        <w:t xml:space="preserve">等。 </w:t>
      </w:r>
    </w:p>
    <w:p>
      <w:pPr>
        <w:pStyle w:val="22"/>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 xml:space="preserve">.年初结转和结余：指以前年度尚未完成、结转到本年按有关规定继续使用的资金。 </w:t>
      </w:r>
    </w:p>
    <w:p>
      <w:pPr>
        <w:pStyle w:val="22"/>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.年末结转和结余：指单位按有关规定结转到下年或以后年度继续使用的资金。</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.社会保障和就业（类）行政事业单位养老（款）事业单位离退休（项）：指</w:t>
      </w:r>
      <w:r>
        <w:rPr>
          <w:rFonts w:hint="default" w:ascii="Times New Roman" w:hAnsi="Times New Roman" w:eastAsia="仿宋_GB2312" w:cs="Times New Roman"/>
          <w:color w:val="000000"/>
          <w:sz w:val="32"/>
          <w:szCs w:val="32"/>
        </w:rPr>
        <w:t>事业开支的离退休经费</w:t>
      </w:r>
      <w:r>
        <w:rPr>
          <w:rFonts w:hint="default" w:ascii="Times New Roman" w:hAnsi="Times New Roman" w:eastAsia="仿宋_GB2312" w:cs="Times New Roman"/>
          <w:sz w:val="32"/>
          <w:szCs w:val="32"/>
        </w:rPr>
        <w:t>。</w:t>
      </w:r>
    </w:p>
    <w:p>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rPr>
        <w:t xml:space="preserve"> 社会保障和就业（类）行政事业单位养老（款）机关事业单位基本养老保险缴费支出（项）：指机关事业单位实施养老保险制度由单位缴纳的基本养老保险支出。</w:t>
      </w:r>
    </w:p>
    <w:p>
      <w:pPr>
        <w:spacing w:line="55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.卫生健康（类）行政事业单位医疗（款）公务员医疗补助（项）：指财政部门集中安排的公务员医疗补助经费。</w:t>
      </w:r>
    </w:p>
    <w:p>
      <w:pPr>
        <w:spacing w:line="55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节能环保（类）环境保护管理事务（款）其他环境保护管理事务支出（项）：指除行政运行、一般行政管理事务、环境保护宣传、环境保护法规规划及标准、环境国际合作及履约、环境保护行政许可以外其他用于环境保护管理事务方面的支出。</w:t>
      </w:r>
    </w:p>
    <w:p>
      <w:pPr>
        <w:spacing w:line="55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.节能环保（类）污染防治（款）其他污染防治支出（项）：指除大气、水体、噪声、固体废弃物与化学品、放射源和放射性废物监管、辐射以外其他用于污染防治方面的支出。</w:t>
      </w:r>
    </w:p>
    <w:p>
      <w:pPr>
        <w:spacing w:line="55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rPr>
        <w:t>.住房保障（类）住房改革（款）住房公积金（项）：指行政事业单位按人力资源和社会保障部、财政部规定的基本工资和津贴补贴以及规定比例为职工缴纳的住房公积金。</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.基本支出：指为保障机构正常运转、完成日常工作任务而发生的人员支出和公用支出。</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 xml:space="preserve">.项目支出：指在基本支出之外为完成特定行政任务和事业发展目标所发生的支出。 </w:t>
      </w:r>
    </w:p>
    <w:p>
      <w:pPr>
        <w:pStyle w:val="22"/>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13</w:t>
      </w:r>
      <w:r>
        <w:rPr>
          <w:rFonts w:hint="default" w:ascii="Times New Roman" w:hAnsi="Times New Roman" w:eastAsia="仿宋_GB2312" w:cs="Times New Roman"/>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cs="黑体"/>
          <w:color w:val="auto"/>
          <w:sz w:val="32"/>
          <w:szCs w:val="32"/>
        </w:rPr>
      </w:pPr>
    </w:p>
    <w:p>
      <w:pPr>
        <w:spacing w:line="600" w:lineRule="exact"/>
        <w:jc w:val="center"/>
        <w:outlineLvl w:val="0"/>
        <w:rPr>
          <w:rStyle w:val="24"/>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24"/>
          <w:rFonts w:hint="eastAsia" w:ascii="黑体" w:hAnsi="黑体" w:eastAsia="黑体"/>
          <w:b w:val="0"/>
        </w:rPr>
        <w:t>四部分 附件</w:t>
      </w:r>
      <w:bookmarkEnd w:id="52"/>
    </w:p>
    <w:p>
      <w:pPr>
        <w:spacing w:line="572" w:lineRule="exact"/>
        <w:jc w:val="left"/>
        <w:outlineLvl w:val="0"/>
        <w:rPr>
          <w:rFonts w:ascii="仿宋_GB2312" w:hAnsi="仿宋_GB2312" w:eastAsia="仿宋_GB2312" w:cs="仿宋_GB2312"/>
          <w:sz w:val="32"/>
          <w:szCs w:val="32"/>
        </w:rPr>
      </w:pPr>
    </w:p>
    <w:p>
      <w:pPr>
        <w:spacing w:line="600" w:lineRule="exact"/>
        <w:jc w:val="center"/>
        <w:outlineLvl w:val="0"/>
        <w:rPr>
          <w:rFonts w:hint="default" w:ascii="Times New Roman" w:hAnsi="Times New Roman" w:eastAsia="仿宋_GB2312" w:cs="Times New Roman"/>
          <w:kern w:val="0"/>
          <w:sz w:val="32"/>
          <w:szCs w:val="32"/>
        </w:rPr>
      </w:pPr>
      <w:bookmarkStart w:id="53" w:name="_Toc15396618"/>
      <w:r>
        <w:rPr>
          <w:rFonts w:hint="default" w:ascii="Times New Roman" w:hAnsi="Times New Roman" w:eastAsia="仿宋_GB2312" w:cs="Times New Roman"/>
          <w:kern w:val="0"/>
          <w:sz w:val="32"/>
          <w:szCs w:val="32"/>
        </w:rPr>
        <w:t>部门预算项目支出绩效自评表（2022年度）</w:t>
      </w:r>
    </w:p>
    <w:p>
      <w:pPr>
        <w:spacing w:line="600" w:lineRule="exact"/>
        <w:jc w:val="left"/>
        <w:outlineLvl w:val="0"/>
        <w:rPr>
          <w:rFonts w:ascii="仿宋_GB2312" w:hAnsi="Calibri" w:eastAsia="仿宋_GB2312" w:cs="仿宋"/>
          <w:kern w:val="0"/>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4"/>
          <w:rFonts w:hint="eastAsia" w:ascii="黑体" w:hAnsi="黑体" w:eastAsia="黑体"/>
          <w:b w:val="0"/>
        </w:rPr>
        <w:t>五部分 附表</w:t>
      </w:r>
      <w:bookmarkEnd w:id="51"/>
      <w:bookmarkEnd w:id="53"/>
      <w:bookmarkStart w:id="54" w:name="_Toc15396619"/>
    </w:p>
    <w:p>
      <w:pPr>
        <w:pStyle w:val="4"/>
        <w:rPr>
          <w:rFonts w:hint="default" w:ascii="Times New Roman" w:hAnsi="Times New Roman" w:eastAsia="仿宋_GB2312" w:cs="Times New Roman"/>
        </w:rPr>
      </w:pPr>
      <w:r>
        <w:rPr>
          <w:rFonts w:hint="default" w:ascii="Times New Roman" w:hAnsi="Times New Roman" w:eastAsia="仿宋_GB2312" w:cs="Times New Roman"/>
          <w:b w:val="0"/>
        </w:rPr>
        <w:t>一、收</w:t>
      </w:r>
      <w:r>
        <w:rPr>
          <w:rStyle w:val="25"/>
          <w:rFonts w:hint="default" w:ascii="Times New Roman" w:hAnsi="Times New Roman" w:eastAsia="仿宋_GB2312" w:cs="Times New Roman"/>
          <w:b w:val="0"/>
          <w:bCs w:val="0"/>
        </w:rPr>
        <w:t>入支出决算总表</w:t>
      </w:r>
      <w:bookmarkEnd w:id="54"/>
    </w:p>
    <w:p>
      <w:pPr>
        <w:pStyle w:val="4"/>
        <w:rPr>
          <w:rFonts w:hint="default" w:ascii="Times New Roman" w:hAnsi="Times New Roman" w:eastAsia="仿宋_GB2312" w:cs="Times New Roman"/>
        </w:rPr>
      </w:pPr>
      <w:bookmarkStart w:id="55" w:name="_Toc15396620"/>
      <w:r>
        <w:rPr>
          <w:rFonts w:hint="default" w:ascii="Times New Roman" w:hAnsi="Times New Roman" w:eastAsia="仿宋_GB2312" w:cs="Times New Roman"/>
          <w:b w:val="0"/>
        </w:rPr>
        <w:t>二、收</w:t>
      </w:r>
      <w:r>
        <w:rPr>
          <w:rStyle w:val="25"/>
          <w:rFonts w:hint="default" w:ascii="Times New Roman" w:hAnsi="Times New Roman" w:eastAsia="仿宋_GB2312" w:cs="Times New Roman"/>
          <w:b w:val="0"/>
          <w:bCs w:val="0"/>
        </w:rPr>
        <w:t>入决算表</w:t>
      </w:r>
      <w:bookmarkEnd w:id="55"/>
    </w:p>
    <w:p>
      <w:pPr>
        <w:pStyle w:val="4"/>
        <w:rPr>
          <w:rFonts w:hint="default" w:ascii="Times New Roman" w:hAnsi="Times New Roman" w:eastAsia="仿宋_GB2312" w:cs="Times New Roman"/>
        </w:rPr>
      </w:pPr>
      <w:bookmarkStart w:id="56" w:name="_Toc15396621"/>
      <w:r>
        <w:rPr>
          <w:rStyle w:val="25"/>
          <w:rFonts w:hint="default" w:ascii="Times New Roman" w:hAnsi="Times New Roman" w:eastAsia="仿宋_GB2312" w:cs="Times New Roman"/>
          <w:b w:val="0"/>
          <w:bCs w:val="0"/>
        </w:rPr>
        <w:t>三、</w:t>
      </w:r>
      <w:r>
        <w:rPr>
          <w:rFonts w:hint="default" w:ascii="Times New Roman" w:hAnsi="Times New Roman" w:eastAsia="仿宋_GB2312" w:cs="Times New Roman"/>
          <w:b w:val="0"/>
        </w:rPr>
        <w:t>支</w:t>
      </w:r>
      <w:r>
        <w:rPr>
          <w:rStyle w:val="25"/>
          <w:rFonts w:hint="default" w:ascii="Times New Roman" w:hAnsi="Times New Roman" w:eastAsia="仿宋_GB2312" w:cs="Times New Roman"/>
          <w:b w:val="0"/>
          <w:bCs w:val="0"/>
        </w:rPr>
        <w:t>出决算表</w:t>
      </w:r>
      <w:bookmarkEnd w:id="56"/>
    </w:p>
    <w:p>
      <w:pPr>
        <w:pStyle w:val="4"/>
        <w:rPr>
          <w:rFonts w:hint="default" w:ascii="Times New Roman" w:hAnsi="Times New Roman" w:eastAsia="仿宋_GB2312" w:cs="Times New Roman"/>
          <w:b w:val="0"/>
        </w:rPr>
      </w:pPr>
      <w:bookmarkStart w:id="57" w:name="_Toc15396622"/>
      <w:r>
        <w:rPr>
          <w:rStyle w:val="25"/>
          <w:rFonts w:hint="default" w:ascii="Times New Roman" w:hAnsi="Times New Roman" w:eastAsia="仿宋_GB2312" w:cs="Times New Roman"/>
          <w:b w:val="0"/>
          <w:bCs w:val="0"/>
        </w:rPr>
        <w:t>四、</w:t>
      </w:r>
      <w:r>
        <w:rPr>
          <w:rFonts w:hint="default" w:ascii="Times New Roman" w:hAnsi="Times New Roman" w:eastAsia="仿宋_GB2312" w:cs="Times New Roman"/>
          <w:b w:val="0"/>
        </w:rPr>
        <w:t>财</w:t>
      </w:r>
      <w:r>
        <w:rPr>
          <w:rStyle w:val="25"/>
          <w:rFonts w:hint="default" w:ascii="Times New Roman" w:hAnsi="Times New Roman" w:eastAsia="仿宋_GB2312" w:cs="Times New Roman"/>
          <w:b w:val="0"/>
          <w:bCs w:val="0"/>
        </w:rPr>
        <w:t>政拨款收入支出决算总表</w:t>
      </w:r>
      <w:bookmarkEnd w:id="57"/>
    </w:p>
    <w:p>
      <w:pPr>
        <w:pStyle w:val="4"/>
        <w:rPr>
          <w:rStyle w:val="25"/>
          <w:rFonts w:hint="default" w:ascii="Times New Roman" w:hAnsi="Times New Roman" w:eastAsia="仿宋_GB2312" w:cs="Times New Roman"/>
          <w:b w:val="0"/>
          <w:bCs w:val="0"/>
        </w:rPr>
      </w:pPr>
      <w:bookmarkStart w:id="58" w:name="_Toc15396623"/>
      <w:r>
        <w:rPr>
          <w:rStyle w:val="25"/>
          <w:rFonts w:hint="default" w:ascii="Times New Roman" w:hAnsi="Times New Roman" w:eastAsia="仿宋_GB2312" w:cs="Times New Roman"/>
          <w:b w:val="0"/>
          <w:bCs w:val="0"/>
        </w:rPr>
        <w:t>五、</w:t>
      </w:r>
      <w:r>
        <w:rPr>
          <w:rFonts w:hint="default" w:ascii="Times New Roman" w:hAnsi="Times New Roman" w:eastAsia="仿宋_GB2312" w:cs="Times New Roman"/>
          <w:b w:val="0"/>
        </w:rPr>
        <w:t>财</w:t>
      </w:r>
      <w:r>
        <w:rPr>
          <w:rStyle w:val="25"/>
          <w:rFonts w:hint="default" w:ascii="Times New Roman" w:hAnsi="Times New Roman" w:eastAsia="仿宋_GB2312" w:cs="Times New Roman"/>
          <w:b w:val="0"/>
          <w:bCs w:val="0"/>
        </w:rPr>
        <w:t>政拨款支出决算明细表</w:t>
      </w:r>
      <w:bookmarkEnd w:id="58"/>
      <w:bookmarkStart w:id="59" w:name="_Toc15396624"/>
    </w:p>
    <w:p>
      <w:pPr>
        <w:pStyle w:val="4"/>
        <w:rPr>
          <w:rFonts w:hint="default" w:ascii="Times New Roman" w:hAnsi="Times New Roman" w:eastAsia="仿宋_GB2312" w:cs="Times New Roman"/>
        </w:rPr>
      </w:pPr>
      <w:r>
        <w:rPr>
          <w:rStyle w:val="25"/>
          <w:rFonts w:hint="default" w:ascii="Times New Roman" w:hAnsi="Times New Roman" w:eastAsia="仿宋_GB2312" w:cs="Times New Roman"/>
          <w:b w:val="0"/>
          <w:bCs w:val="0"/>
        </w:rPr>
        <w:t>六、</w:t>
      </w:r>
      <w:r>
        <w:rPr>
          <w:rFonts w:hint="default" w:ascii="Times New Roman" w:hAnsi="Times New Roman" w:eastAsia="仿宋_GB2312" w:cs="Times New Roman"/>
          <w:b w:val="0"/>
        </w:rPr>
        <w:t>一</w:t>
      </w:r>
      <w:r>
        <w:rPr>
          <w:rStyle w:val="25"/>
          <w:rFonts w:hint="default" w:ascii="Times New Roman" w:hAnsi="Times New Roman" w:eastAsia="仿宋_GB2312" w:cs="Times New Roman"/>
          <w:b w:val="0"/>
          <w:bCs w:val="0"/>
        </w:rPr>
        <w:t>般公共预算财政拨款支出决算表</w:t>
      </w:r>
      <w:bookmarkEnd w:id="59"/>
    </w:p>
    <w:p>
      <w:pPr>
        <w:pStyle w:val="4"/>
        <w:rPr>
          <w:rFonts w:hint="default" w:ascii="Times New Roman" w:hAnsi="Times New Roman" w:eastAsia="仿宋_GB2312" w:cs="Times New Roman"/>
        </w:rPr>
      </w:pPr>
      <w:bookmarkStart w:id="60" w:name="_Toc15396625"/>
      <w:r>
        <w:rPr>
          <w:rStyle w:val="25"/>
          <w:rFonts w:hint="default" w:ascii="Times New Roman" w:hAnsi="Times New Roman" w:eastAsia="仿宋_GB2312" w:cs="Times New Roman"/>
          <w:b w:val="0"/>
          <w:bCs w:val="0"/>
        </w:rPr>
        <w:t>七、</w:t>
      </w:r>
      <w:r>
        <w:rPr>
          <w:rFonts w:hint="default" w:ascii="Times New Roman" w:hAnsi="Times New Roman" w:eastAsia="仿宋_GB2312" w:cs="Times New Roman"/>
          <w:b w:val="0"/>
        </w:rPr>
        <w:t>一</w:t>
      </w:r>
      <w:r>
        <w:rPr>
          <w:rStyle w:val="25"/>
          <w:rFonts w:hint="default" w:ascii="Times New Roman" w:hAnsi="Times New Roman" w:eastAsia="仿宋_GB2312" w:cs="Times New Roman"/>
          <w:b w:val="0"/>
          <w:bCs w:val="0"/>
        </w:rPr>
        <w:t>般公共预算财政拨款支出决算明细表</w:t>
      </w:r>
      <w:bookmarkEnd w:id="60"/>
    </w:p>
    <w:p>
      <w:pPr>
        <w:pStyle w:val="4"/>
        <w:rPr>
          <w:rFonts w:hint="default" w:ascii="Times New Roman" w:hAnsi="Times New Roman" w:eastAsia="仿宋_GB2312" w:cs="Times New Roman"/>
        </w:rPr>
      </w:pPr>
      <w:bookmarkStart w:id="61" w:name="_Toc15396626"/>
      <w:r>
        <w:rPr>
          <w:rStyle w:val="25"/>
          <w:rFonts w:hint="default" w:ascii="Times New Roman" w:hAnsi="Times New Roman" w:eastAsia="仿宋_GB2312" w:cs="Times New Roman"/>
          <w:b w:val="0"/>
          <w:bCs w:val="0"/>
        </w:rPr>
        <w:t>八、</w:t>
      </w:r>
      <w:r>
        <w:rPr>
          <w:rFonts w:hint="default" w:ascii="Times New Roman" w:hAnsi="Times New Roman" w:eastAsia="仿宋_GB2312" w:cs="Times New Roman"/>
          <w:b w:val="0"/>
        </w:rPr>
        <w:t>一</w:t>
      </w:r>
      <w:r>
        <w:rPr>
          <w:rStyle w:val="25"/>
          <w:rFonts w:hint="default" w:ascii="Times New Roman" w:hAnsi="Times New Roman" w:eastAsia="仿宋_GB2312" w:cs="Times New Roman"/>
          <w:b w:val="0"/>
          <w:bCs w:val="0"/>
        </w:rPr>
        <w:t>般公共预算财政拨款基本支出决算表</w:t>
      </w:r>
      <w:bookmarkEnd w:id="61"/>
    </w:p>
    <w:p>
      <w:pPr>
        <w:pStyle w:val="4"/>
        <w:rPr>
          <w:rFonts w:hint="default" w:ascii="Times New Roman" w:hAnsi="Times New Roman" w:eastAsia="仿宋_GB2312" w:cs="Times New Roman"/>
        </w:rPr>
      </w:pPr>
      <w:bookmarkStart w:id="62" w:name="_Toc15396627"/>
      <w:r>
        <w:rPr>
          <w:rStyle w:val="25"/>
          <w:rFonts w:hint="default" w:ascii="Times New Roman" w:hAnsi="Times New Roman" w:eastAsia="仿宋_GB2312" w:cs="Times New Roman"/>
          <w:b w:val="0"/>
          <w:bCs w:val="0"/>
        </w:rPr>
        <w:t>九、</w:t>
      </w:r>
      <w:r>
        <w:rPr>
          <w:rFonts w:hint="default" w:ascii="Times New Roman" w:hAnsi="Times New Roman" w:eastAsia="仿宋_GB2312" w:cs="Times New Roman"/>
          <w:b w:val="0"/>
        </w:rPr>
        <w:t>一</w:t>
      </w:r>
      <w:r>
        <w:rPr>
          <w:rStyle w:val="25"/>
          <w:rFonts w:hint="default" w:ascii="Times New Roman" w:hAnsi="Times New Roman" w:eastAsia="仿宋_GB2312" w:cs="Times New Roman"/>
          <w:b w:val="0"/>
          <w:bCs w:val="0"/>
        </w:rPr>
        <w:t>般公共预算财政拨款项目支出决算表</w:t>
      </w:r>
      <w:bookmarkEnd w:id="62"/>
    </w:p>
    <w:p>
      <w:pPr>
        <w:pStyle w:val="4"/>
        <w:rPr>
          <w:rFonts w:hint="default" w:ascii="Times New Roman" w:hAnsi="Times New Roman" w:eastAsia="仿宋_GB2312" w:cs="Times New Roman"/>
        </w:rPr>
      </w:pPr>
      <w:bookmarkStart w:id="63" w:name="_Toc15396628"/>
      <w:r>
        <w:rPr>
          <w:rStyle w:val="25"/>
          <w:rFonts w:hint="default" w:ascii="Times New Roman" w:hAnsi="Times New Roman" w:eastAsia="仿宋_GB2312" w:cs="Times New Roman"/>
          <w:b w:val="0"/>
          <w:bCs w:val="0"/>
        </w:rPr>
        <w:t>十、</w:t>
      </w:r>
      <w:bookmarkEnd w:id="63"/>
      <w:r>
        <w:rPr>
          <w:rFonts w:hint="default" w:ascii="Times New Roman" w:hAnsi="Times New Roman" w:eastAsia="仿宋_GB2312" w:cs="Times New Roman"/>
          <w:b w:val="0"/>
        </w:rPr>
        <w:t>政</w:t>
      </w:r>
      <w:r>
        <w:rPr>
          <w:rStyle w:val="25"/>
          <w:rFonts w:hint="default" w:ascii="Times New Roman" w:hAnsi="Times New Roman" w:eastAsia="仿宋_GB2312" w:cs="Times New Roman"/>
          <w:b w:val="0"/>
          <w:bCs w:val="0"/>
        </w:rPr>
        <w:t>府性基金预算财政拨款收入支出决算表</w:t>
      </w:r>
    </w:p>
    <w:p>
      <w:pPr>
        <w:pStyle w:val="4"/>
        <w:rPr>
          <w:rFonts w:hint="default" w:ascii="Times New Roman" w:hAnsi="Times New Roman" w:eastAsia="仿宋_GB2312" w:cs="Times New Roman"/>
        </w:rPr>
      </w:pPr>
      <w:bookmarkStart w:id="64" w:name="_Toc15396629"/>
      <w:r>
        <w:rPr>
          <w:rStyle w:val="25"/>
          <w:rFonts w:hint="default" w:ascii="Times New Roman" w:hAnsi="Times New Roman" w:eastAsia="仿宋_GB2312" w:cs="Times New Roman"/>
          <w:b w:val="0"/>
          <w:bCs w:val="0"/>
        </w:rPr>
        <w:t>十一、</w:t>
      </w:r>
      <w:bookmarkEnd w:id="64"/>
      <w:r>
        <w:rPr>
          <w:rFonts w:hint="default" w:ascii="Times New Roman" w:hAnsi="Times New Roman" w:eastAsia="仿宋_GB2312" w:cs="Times New Roman"/>
          <w:b w:val="0"/>
        </w:rPr>
        <w:t>国</w:t>
      </w:r>
      <w:r>
        <w:rPr>
          <w:rStyle w:val="25"/>
          <w:rFonts w:hint="default" w:ascii="Times New Roman" w:hAnsi="Times New Roman" w:eastAsia="仿宋_GB2312" w:cs="Times New Roman"/>
          <w:b w:val="0"/>
          <w:bCs w:val="0"/>
        </w:rPr>
        <w:t>有资本经营预算财政拨款收入支出决算表</w:t>
      </w:r>
    </w:p>
    <w:p>
      <w:pPr>
        <w:pStyle w:val="4"/>
        <w:rPr>
          <w:rFonts w:hint="default" w:ascii="Times New Roman" w:hAnsi="Times New Roman" w:eastAsia="仿宋_GB2312" w:cs="Times New Roman"/>
        </w:rPr>
      </w:pPr>
      <w:bookmarkStart w:id="65" w:name="_Toc15396630"/>
      <w:r>
        <w:rPr>
          <w:rStyle w:val="25"/>
          <w:rFonts w:hint="default" w:ascii="Times New Roman" w:hAnsi="Times New Roman" w:eastAsia="仿宋_GB2312" w:cs="Times New Roman"/>
          <w:b w:val="0"/>
          <w:bCs w:val="0"/>
        </w:rPr>
        <w:t>十二、</w:t>
      </w:r>
      <w:bookmarkEnd w:id="65"/>
      <w:r>
        <w:rPr>
          <w:rStyle w:val="25"/>
          <w:rFonts w:hint="default" w:ascii="Times New Roman" w:hAnsi="Times New Roman" w:eastAsia="仿宋_GB2312" w:cs="Times New Roman"/>
          <w:b w:val="0"/>
          <w:bCs w:val="0"/>
        </w:rPr>
        <w:t>国有资本经营预算财政拨款支出决算表</w:t>
      </w:r>
    </w:p>
    <w:p>
      <w:pPr>
        <w:pStyle w:val="4"/>
        <w:rPr>
          <w:rFonts w:hint="default" w:ascii="Times New Roman" w:hAnsi="Times New Roman" w:eastAsia="仿宋_GB2312" w:cs="Times New Roman"/>
        </w:rPr>
      </w:pPr>
      <w:bookmarkStart w:id="66" w:name="_Toc15396631"/>
      <w:r>
        <w:rPr>
          <w:rStyle w:val="25"/>
          <w:rFonts w:hint="default" w:ascii="Times New Roman" w:hAnsi="Times New Roman" w:eastAsia="仿宋_GB2312" w:cs="Times New Roman"/>
          <w:b w:val="0"/>
          <w:bCs w:val="0"/>
        </w:rPr>
        <w:t>十三、</w:t>
      </w:r>
      <w:bookmarkEnd w:id="66"/>
      <w:r>
        <w:rPr>
          <w:rStyle w:val="25"/>
          <w:rFonts w:hint="default" w:ascii="Times New Roman" w:hAnsi="Times New Roman" w:eastAsia="仿宋_GB2312" w:cs="Times New Roman"/>
          <w:b w:val="0"/>
          <w:bCs w:val="0"/>
        </w:rPr>
        <w:t>财政拨款“三公”经费支出决算表</w:t>
      </w:r>
    </w:p>
    <w:sectPr>
      <w:footerReference r:id="rId11" w:type="first"/>
      <w:footerReference r:id="rId10"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8"/>
                                <w:jc w:val="center"/>
                              </w:pP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sdt>
                    <w:sdtPr>
                      <w:id w:val="-1994781956"/>
                    </w:sdtPr>
                    <w:sdtContent>
                      <w:p>
                        <w:pPr>
                          <w:pStyle w:val="8"/>
                          <w:jc w:val="center"/>
                        </w:pPr>
                      </w:p>
                    </w:sdtContent>
                  </w:sdt>
                  <w:p>
                    <w:pPr>
                      <w:pStyle w:val="2"/>
                    </w:pPr>
                  </w:p>
                </w:txbxContent>
              </v:textbox>
            </v:shape>
          </w:pict>
        </mc:Fallback>
      </mc:AlternateContent>
    </w:r>
  </w:p>
  <w:p>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8"/>
                                <w:jc w:val="cente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PAGE   \* MERGEFORMAT</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zh-CN"/>
                                </w:rPr>
                                <w:t>16</w:t>
                              </w:r>
                              <w:r>
                                <w:rPr>
                                  <w:rFonts w:hint="eastAsia" w:asciiTheme="minorEastAsia" w:hAnsiTheme="minorEastAsia" w:eastAsiaTheme="minorEastAsia" w:cstheme="minorEastAsia"/>
                                  <w:sz w:val="24"/>
                                  <w:szCs w:val="24"/>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sdt>
                    <w:sdtPr>
                      <w:id w:val="-1994781956"/>
                    </w:sdtPr>
                    <w:sdtContent>
                      <w:p>
                        <w:pPr>
                          <w:pStyle w:val="8"/>
                          <w:jc w:val="cente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PAGE   \* MERGEFORMAT</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zh-CN"/>
                          </w:rPr>
                          <w:t>16</w:t>
                        </w:r>
                        <w:r>
                          <w:rPr>
                            <w:rFonts w:hint="eastAsia" w:asciiTheme="minorEastAsia" w:hAnsiTheme="minorEastAsia" w:eastAsiaTheme="minorEastAsia" w:cstheme="minorEastAsia"/>
                            <w:sz w:val="24"/>
                            <w:szCs w:val="24"/>
                          </w:rPr>
                          <w:fldChar w:fldCharType="end"/>
                        </w:r>
                      </w:p>
                    </w:sdtContent>
                  </w:sdt>
                  <w:p>
                    <w:pPr>
                      <w:pStyle w:val="2"/>
                    </w:pPr>
                  </w:p>
                </w:txbxContent>
              </v:textbox>
            </v:shape>
          </w:pict>
        </mc:Fallback>
      </mc:AlternateContent>
    </w:r>
  </w:p>
  <w:p>
    <w:pPr>
      <w:pStyle w:val="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8"/>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53F0FA12"/>
    <w:multiLevelType w:val="singleLevel"/>
    <w:tmpl w:val="53F0FA12"/>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3D30"/>
    <w:rsid w:val="00114E9B"/>
    <w:rsid w:val="00123991"/>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950"/>
    <w:rsid w:val="00260C38"/>
    <w:rsid w:val="00260C9E"/>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64B39"/>
    <w:rsid w:val="00471401"/>
    <w:rsid w:val="00473F31"/>
    <w:rsid w:val="0048263A"/>
    <w:rsid w:val="00485945"/>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460DF"/>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641D5"/>
    <w:rsid w:val="0097099F"/>
    <w:rsid w:val="00971997"/>
    <w:rsid w:val="00971FFC"/>
    <w:rsid w:val="00980214"/>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35860"/>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7524A"/>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E4322D"/>
    <w:rsid w:val="02BB070B"/>
    <w:rsid w:val="03CC1C66"/>
    <w:rsid w:val="04152E2B"/>
    <w:rsid w:val="053A62B5"/>
    <w:rsid w:val="05507DD8"/>
    <w:rsid w:val="05927F74"/>
    <w:rsid w:val="073253BC"/>
    <w:rsid w:val="077465C2"/>
    <w:rsid w:val="081F6C92"/>
    <w:rsid w:val="09B00B7A"/>
    <w:rsid w:val="0A2032A3"/>
    <w:rsid w:val="0A26445B"/>
    <w:rsid w:val="0AD942E5"/>
    <w:rsid w:val="0AE619C5"/>
    <w:rsid w:val="0B8A37D8"/>
    <w:rsid w:val="0C4B1466"/>
    <w:rsid w:val="0D7F1D75"/>
    <w:rsid w:val="0F375E2F"/>
    <w:rsid w:val="10C055FF"/>
    <w:rsid w:val="10F5378A"/>
    <w:rsid w:val="110742FC"/>
    <w:rsid w:val="118107EC"/>
    <w:rsid w:val="11DD6519"/>
    <w:rsid w:val="12784578"/>
    <w:rsid w:val="13234622"/>
    <w:rsid w:val="16BB723D"/>
    <w:rsid w:val="17C90E83"/>
    <w:rsid w:val="18015F3F"/>
    <w:rsid w:val="1BE8440E"/>
    <w:rsid w:val="1CEE2661"/>
    <w:rsid w:val="1D155CEE"/>
    <w:rsid w:val="1EB939E2"/>
    <w:rsid w:val="20365638"/>
    <w:rsid w:val="209665F4"/>
    <w:rsid w:val="20F57F95"/>
    <w:rsid w:val="21514047"/>
    <w:rsid w:val="240371BF"/>
    <w:rsid w:val="246A4E99"/>
    <w:rsid w:val="24F27505"/>
    <w:rsid w:val="25711CC6"/>
    <w:rsid w:val="259719A7"/>
    <w:rsid w:val="25C741E6"/>
    <w:rsid w:val="27842671"/>
    <w:rsid w:val="27AE47EB"/>
    <w:rsid w:val="27E0085E"/>
    <w:rsid w:val="29FD04D3"/>
    <w:rsid w:val="2ABE7A3E"/>
    <w:rsid w:val="2CA234A8"/>
    <w:rsid w:val="2CAA39A1"/>
    <w:rsid w:val="2E8E1791"/>
    <w:rsid w:val="2EFA178C"/>
    <w:rsid w:val="2F1F0022"/>
    <w:rsid w:val="306C7B9E"/>
    <w:rsid w:val="30B46D73"/>
    <w:rsid w:val="319F7F4E"/>
    <w:rsid w:val="33737832"/>
    <w:rsid w:val="356A4B70"/>
    <w:rsid w:val="36112D2C"/>
    <w:rsid w:val="383D272C"/>
    <w:rsid w:val="39AE70AB"/>
    <w:rsid w:val="3C0C0783"/>
    <w:rsid w:val="3CBE7AC5"/>
    <w:rsid w:val="3DB60850"/>
    <w:rsid w:val="3E3C00D8"/>
    <w:rsid w:val="3F9F3A96"/>
    <w:rsid w:val="404B0EB4"/>
    <w:rsid w:val="412143E9"/>
    <w:rsid w:val="41376C9A"/>
    <w:rsid w:val="431F1DD0"/>
    <w:rsid w:val="44FB7845"/>
    <w:rsid w:val="46013827"/>
    <w:rsid w:val="48BF60AB"/>
    <w:rsid w:val="48E26215"/>
    <w:rsid w:val="49042E3A"/>
    <w:rsid w:val="493C27E9"/>
    <w:rsid w:val="496F39ED"/>
    <w:rsid w:val="49CC3306"/>
    <w:rsid w:val="49FF41D3"/>
    <w:rsid w:val="4AAD50E6"/>
    <w:rsid w:val="4BD54664"/>
    <w:rsid w:val="4BE068DB"/>
    <w:rsid w:val="4BF6002B"/>
    <w:rsid w:val="4CC25F36"/>
    <w:rsid w:val="4E1B6375"/>
    <w:rsid w:val="4ECE2238"/>
    <w:rsid w:val="51DB4B86"/>
    <w:rsid w:val="531A31B7"/>
    <w:rsid w:val="55106603"/>
    <w:rsid w:val="55333C3E"/>
    <w:rsid w:val="56A4345E"/>
    <w:rsid w:val="589D36C9"/>
    <w:rsid w:val="5B23176F"/>
    <w:rsid w:val="60BC0E35"/>
    <w:rsid w:val="64CA39A1"/>
    <w:rsid w:val="65352B0F"/>
    <w:rsid w:val="660174A0"/>
    <w:rsid w:val="67AC6406"/>
    <w:rsid w:val="69630ADE"/>
    <w:rsid w:val="69701FD3"/>
    <w:rsid w:val="69C02274"/>
    <w:rsid w:val="6AD50C82"/>
    <w:rsid w:val="6B3C7B92"/>
    <w:rsid w:val="6B521D04"/>
    <w:rsid w:val="6C4A05C8"/>
    <w:rsid w:val="6C643997"/>
    <w:rsid w:val="6D3B1A89"/>
    <w:rsid w:val="6F285903"/>
    <w:rsid w:val="708C0C08"/>
    <w:rsid w:val="70B723F9"/>
    <w:rsid w:val="711F3FA2"/>
    <w:rsid w:val="71BF4EC2"/>
    <w:rsid w:val="72734D90"/>
    <w:rsid w:val="7412278C"/>
    <w:rsid w:val="745E61C6"/>
    <w:rsid w:val="75D850EE"/>
    <w:rsid w:val="786C5D26"/>
    <w:rsid w:val="79650B19"/>
    <w:rsid w:val="79805C7A"/>
    <w:rsid w:val="79E7B28D"/>
    <w:rsid w:val="7B4C0DBA"/>
    <w:rsid w:val="7B734460"/>
    <w:rsid w:val="7BF97357"/>
    <w:rsid w:val="7DE157C5"/>
    <w:rsid w:val="7E7938AA"/>
    <w:rsid w:val="7F9F20EE"/>
    <w:rsid w:val="7FA94DEF"/>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字符"/>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字符"/>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字符"/>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字符"/>
    <w:basedOn w:val="13"/>
    <w:link w:val="3"/>
    <w:qFormat/>
    <w:uiPriority w:val="9"/>
    <w:rPr>
      <w:rFonts w:ascii="Times New Roman" w:hAnsi="Times New Roman"/>
      <w:b/>
      <w:bCs/>
      <w:kern w:val="44"/>
      <w:sz w:val="44"/>
      <w:szCs w:val="44"/>
    </w:rPr>
  </w:style>
  <w:style w:type="character" w:customStyle="1" w:styleId="25">
    <w:name w:val="标题 2 字符"/>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字符"/>
    <w:basedOn w:val="13"/>
    <w:link w:val="7"/>
    <w:semiHidden/>
    <w:qFormat/>
    <w:uiPriority w:val="99"/>
    <w:rPr>
      <w:rFonts w:ascii="Times New Roman" w:hAnsi="Times New Roman"/>
      <w:kern w:val="2"/>
      <w:sz w:val="18"/>
      <w:szCs w:val="18"/>
    </w:rPr>
  </w:style>
  <w:style w:type="character" w:customStyle="1" w:styleId="28">
    <w:name w:val="标题 3 字符"/>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chart" Target="charts/chart7.xml"/><Relationship Id="rId18" Type="http://schemas.openxmlformats.org/officeDocument/2006/relationships/chart" Target="charts/chart6.xml"/><Relationship Id="rId17" Type="http://schemas.openxmlformats.org/officeDocument/2006/relationships/chart" Target="charts/chart5.xml"/><Relationship Id="rId16" Type="http://schemas.openxmlformats.org/officeDocument/2006/relationships/chart" Target="charts/chart4.xml"/><Relationship Id="rId15" Type="http://schemas.openxmlformats.org/officeDocument/2006/relationships/chart" Target="charts/chart3.xml"/><Relationship Id="rId14" Type="http://schemas.openxmlformats.org/officeDocument/2006/relationships/chart" Target="charts/chart2.xml"/><Relationship Id="rId13" Type="http://schemas.openxmlformats.org/officeDocument/2006/relationships/chart" Target="charts/chart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收支总计</a:t>
            </a:r>
            <a:r>
              <a:rPr lang="en-US" altLang="zh-CN"/>
              <a:t>(</a:t>
            </a:r>
            <a:r>
              <a:rPr altLang="zh-CN"/>
              <a:t>万元</a:t>
            </a:r>
            <a:r>
              <a:rPr lang="en-US" altLang="zh-CN"/>
              <a:t>)</a:t>
            </a:r>
            <a:endParaRPr lang="en-US" altLang="zh-CN"/>
          </a:p>
        </c:rich>
      </c:tx>
      <c:layout/>
      <c:overlay val="0"/>
      <c:spPr>
        <a:noFill/>
        <a:ln>
          <a:noFill/>
        </a:ln>
        <a:effectLst/>
      </c:spPr>
    </c:title>
    <c:autoTitleDeleted val="0"/>
    <c:plotArea>
      <c:layout/>
      <c:barChart>
        <c:barDir val="col"/>
        <c:grouping val="stack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2022年</c:v>
                </c:pt>
              </c:strCache>
            </c:strRef>
          </c:cat>
          <c:val>
            <c:numRef>
              <c:f>Sheet1!$B$2:$B$3</c:f>
              <c:numCache>
                <c:formatCode>General</c:formatCode>
                <c:ptCount val="2"/>
                <c:pt idx="0">
                  <c:v>314.52</c:v>
                </c:pt>
                <c:pt idx="1">
                  <c:v>297.94</c:v>
                </c:pt>
              </c:numCache>
            </c:numRef>
          </c:val>
        </c:ser>
        <c:dLbls>
          <c:showLegendKey val="0"/>
          <c:showVal val="1"/>
          <c:showCatName val="0"/>
          <c:showSerName val="0"/>
          <c:showPercent val="0"/>
          <c:showBubbleSize val="0"/>
        </c:dLbls>
        <c:gapWidth val="150"/>
        <c:overlap val="100"/>
        <c:axId val="649409898"/>
        <c:axId val="204633432"/>
      </c:barChart>
      <c:catAx>
        <c:axId val="64940989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4633432"/>
        <c:crosses val="autoZero"/>
        <c:auto val="1"/>
        <c:lblAlgn val="ctr"/>
        <c:lblOffset val="100"/>
        <c:noMultiLvlLbl val="0"/>
      </c:catAx>
      <c:valAx>
        <c:axId val="204633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940989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本年收入</a:t>
            </a:r>
            <a:r>
              <a:rPr lang="en-US" altLang="zh-CN"/>
              <a:t>(</a:t>
            </a:r>
            <a:r>
              <a:rPr altLang="zh-CN"/>
              <a:t>万元</a:t>
            </a:r>
            <a:r>
              <a:rPr lang="en-US" altLang="zh-CN"/>
              <a:t>)</a:t>
            </a:r>
            <a:endParaRPr lang="en-US" altLang="zh-CN"/>
          </a:p>
        </c:rich>
      </c:tx>
      <c:layout/>
      <c:overlay val="0"/>
      <c:spPr>
        <a:noFill/>
        <a:ln>
          <a:noFill/>
        </a:ln>
        <a:effectLst/>
      </c:spPr>
    </c:title>
    <c:autoTitleDeleted val="0"/>
    <c:plotArea>
      <c:layout/>
      <c:pieChart>
        <c:varyColors val="1"/>
        <c:ser>
          <c:idx val="0"/>
          <c:order val="0"/>
          <c:tx>
            <c:strRef>
              <c:f>Sheet1!$B$1</c:f>
              <c:strCache>
                <c:ptCount val="1"/>
                <c:pt idx="0">
                  <c:v>本年收入(万元)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Sheet1!$A$2:$A$3</c15:sqref>
                  </c15:fullRef>
                </c:ext>
              </c:extLst>
              <c:f>Sheet1!$A$2:$A$3</c:f>
              <c:strCache>
                <c:ptCount val="2"/>
                <c:pt idx="0">
                  <c:v>一般公共预算财政拨款收入</c:v>
                </c:pt>
                <c:pt idx="1">
                  <c:v>其他收入</c:v>
                </c:pt>
              </c:strCache>
            </c:strRef>
          </c:cat>
          <c:val>
            <c:numRef>
              <c:extLst>
                <c:ext xmlns:c15="http://schemas.microsoft.com/office/drawing/2012/chart" uri="{02D57815-91ED-43cb-92C2-25804820EDAC}">
                  <c15:fullRef>
                    <c15:sqref>Sheet1!$B$2:$B$3</c15:sqref>
                  </c15:fullRef>
                </c:ext>
              </c:extLst>
              <c:f>Sheet1!$B$2:$B$3</c:f>
              <c:numCache>
                <c:formatCode>General</c:formatCode>
                <c:ptCount val="2"/>
                <c:pt idx="0">
                  <c:v>205.89</c:v>
                </c:pt>
                <c:pt idx="1">
                  <c:v>85.98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247780408404854"/>
          <c:y val="0.89622641509434"/>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本年支出(万元)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251.57</c:v>
                </c:pt>
                <c:pt idx="1">
                  <c:v>46.37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zh-CN"/>
              <a:t>财政拨款收支决算总计</a:t>
            </a:r>
            <a:r>
              <a:rPr lang="en-US" altLang="zh-CN"/>
              <a:t>(</a:t>
            </a:r>
            <a:r>
              <a:rPr altLang="zh-CN"/>
              <a:t>万元</a:t>
            </a:r>
            <a:r>
              <a:rPr lang="en-US" altLang="zh-CN"/>
              <a:t>)</a:t>
            </a:r>
            <a:endParaRPr lang="en-US" altLang="zh-CN"/>
          </a:p>
        </c:rich>
      </c:tx>
      <c:layout/>
      <c:overlay val="0"/>
      <c:spPr>
        <a:noFill/>
        <a:ln>
          <a:noFill/>
        </a:ln>
        <a:effectLst/>
      </c:spPr>
    </c:title>
    <c:autoTitleDeleted val="0"/>
    <c:plotArea>
      <c:layout/>
      <c:barChart>
        <c:barDir val="col"/>
        <c:grouping val="stacked"/>
        <c:varyColors val="0"/>
        <c:ser>
          <c:idx val="0"/>
          <c:order val="0"/>
          <c:tx>
            <c:strRef>
              <c:f>Sheet1!$B$1</c:f>
              <c:strCache>
                <c:ptCount val="1"/>
                <c:pt idx="0">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2022年</c:v>
                </c:pt>
              </c:strCache>
            </c:strRef>
          </c:cat>
          <c:val>
            <c:numRef>
              <c:f>Sheet1!$B$2:$B$3</c:f>
              <c:numCache>
                <c:formatCode>General</c:formatCode>
                <c:ptCount val="2"/>
                <c:pt idx="0">
                  <c:v>179.18</c:v>
                </c:pt>
                <c:pt idx="1">
                  <c:v>211.96</c:v>
                </c:pt>
              </c:numCache>
            </c:numRef>
          </c:val>
        </c:ser>
        <c:dLbls>
          <c:showLegendKey val="0"/>
          <c:showVal val="1"/>
          <c:showCatName val="0"/>
          <c:showSerName val="0"/>
          <c:showPercent val="0"/>
          <c:showBubbleSize val="0"/>
        </c:dLbls>
        <c:gapWidth val="150"/>
        <c:overlap val="100"/>
        <c:axId val="189233806"/>
        <c:axId val="628108015"/>
      </c:barChart>
      <c:catAx>
        <c:axId val="189233806"/>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28108015"/>
        <c:crosses val="autoZero"/>
        <c:auto val="1"/>
        <c:lblAlgn val="ctr"/>
        <c:lblOffset val="100"/>
        <c:noMultiLvlLbl val="0"/>
      </c:catAx>
      <c:valAx>
        <c:axId val="6281080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923380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a:t>
            </a:r>
            <a:r>
              <a:rPr lang="en-US" altLang="zh-CN"/>
              <a:t>(</a:t>
            </a:r>
            <a:r>
              <a:rPr altLang="zh-CN"/>
              <a:t>万元</a:t>
            </a:r>
            <a:r>
              <a:rPr lang="en-US" altLang="zh-CN"/>
              <a:t>)</a:t>
            </a:r>
            <a:endParaRPr lang="en-US" altLang="zh-CN"/>
          </a:p>
        </c:rich>
      </c:tx>
      <c:layout/>
      <c:overlay val="0"/>
      <c:spPr>
        <a:noFill/>
        <a:ln>
          <a:noFill/>
        </a:ln>
        <a:effectLst/>
      </c:spPr>
    </c:title>
    <c:autoTitleDeleted val="0"/>
    <c:plotArea>
      <c:layout/>
      <c:barChart>
        <c:barDir val="col"/>
        <c:grouping val="stacked"/>
        <c:varyColors val="0"/>
        <c:ser>
          <c:idx val="0"/>
          <c:order val="0"/>
          <c:tx>
            <c:strRef>
              <c:f>Sheet1!$B$1</c:f>
              <c:strCache>
                <c:ptCount val="1"/>
                <c:pt idx="0">
                  <c:v>一般公共预算财政拨款支出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2022年</c:v>
                </c:pt>
              </c:strCache>
            </c:strRef>
          </c:cat>
          <c:val>
            <c:numRef>
              <c:f>Sheet1!$B$2:$B$3</c:f>
              <c:numCache>
                <c:formatCode>General</c:formatCode>
                <c:ptCount val="2"/>
                <c:pt idx="0">
                  <c:v>179.18</c:v>
                </c:pt>
                <c:pt idx="1">
                  <c:v>211.96</c:v>
                </c:pt>
              </c:numCache>
            </c:numRef>
          </c:val>
        </c:ser>
        <c:dLbls>
          <c:showLegendKey val="0"/>
          <c:showVal val="1"/>
          <c:showCatName val="0"/>
          <c:showSerName val="0"/>
          <c:showPercent val="0"/>
          <c:showBubbleSize val="0"/>
        </c:dLbls>
        <c:gapWidth val="150"/>
        <c:overlap val="100"/>
        <c:axId val="907767366"/>
        <c:axId val="197329763"/>
      </c:barChart>
      <c:catAx>
        <c:axId val="90776736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7329763"/>
        <c:crosses val="autoZero"/>
        <c:auto val="1"/>
        <c:lblAlgn val="ctr"/>
        <c:lblOffset val="100"/>
        <c:noMultiLvlLbl val="0"/>
      </c:catAx>
      <c:valAx>
        <c:axId val="1973297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0776736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a:t>
            </a:r>
            <a:r>
              <a:rPr lang="en-US" altLang="zh-CN"/>
              <a:t>(</a:t>
            </a:r>
            <a:r>
              <a:rPr altLang="zh-CN"/>
              <a:t>万元</a:t>
            </a:r>
            <a:r>
              <a:rPr lang="en-US" altLang="zh-CN"/>
              <a:t>)</a:t>
            </a:r>
            <a:endParaRPr lang="en-US" altLang="zh-CN"/>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社会保障和就业支出</c:v>
                </c:pt>
                <c:pt idx="1">
                  <c:v>节能环保支出</c:v>
                </c:pt>
                <c:pt idx="2">
                  <c:v>住房保障支出</c:v>
                </c:pt>
              </c:strCache>
            </c:strRef>
          </c:cat>
          <c:val>
            <c:numRef>
              <c:f>Sheet1!$B$2:$B$4</c:f>
              <c:numCache>
                <c:formatCode>General</c:formatCode>
                <c:ptCount val="3"/>
                <c:pt idx="0">
                  <c:v>16.57</c:v>
                </c:pt>
                <c:pt idx="1">
                  <c:v>175.24</c:v>
                </c:pt>
                <c:pt idx="2">
                  <c:v>20.15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a:t>
            </a:r>
            <a:r>
              <a:rPr altLang="en-US"/>
              <a:t>三公</a:t>
            </a:r>
            <a:r>
              <a:rPr lang="en-US" altLang="zh-CN"/>
              <a:t>”</a:t>
            </a:r>
            <a:r>
              <a:rPr altLang="en-US"/>
              <a:t>经费财政拨款支出</a:t>
            </a:r>
            <a:r>
              <a:rPr lang="en-US" altLang="zh-CN"/>
              <a:t>(</a:t>
            </a:r>
            <a:r>
              <a:rPr altLang="zh-CN"/>
              <a:t>单位：万元</a:t>
            </a:r>
            <a:r>
              <a:rPr lang="en-US" altLang="zh-CN"/>
              <a:t>)</a:t>
            </a:r>
            <a:endParaRPr lang="en-US" altLang="zh-CN"/>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0</c:v>
                </c:pt>
                <c:pt idx="2">
                  <c:v>0.07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17</Pages>
  <Words>881</Words>
  <Characters>5027</Characters>
  <Lines>41</Lines>
  <Paragraphs>11</Paragraphs>
  <TotalTime>3</TotalTime>
  <ScaleCrop>false</ScaleCrop>
  <LinksUpToDate>false</LinksUpToDate>
  <CharactersWithSpaces>5897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王顺莉</cp:lastModifiedBy>
  <cp:lastPrinted>2023-08-29T03:23:00Z</cp:lastPrinted>
  <dcterms:modified xsi:type="dcterms:W3CDTF">2023-09-11T03:37:46Z</dcterms:modified>
  <dc:title>四川省***</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2256B97EC9D74AB6AC826673E21B7DD6</vt:lpwstr>
  </property>
</Properties>
</file>