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spacing w:line="600" w:lineRule="exact"/>
        <w:jc w:val="left"/>
        <w:textAlignment w:val="auto"/>
        <w:outlineLvl w:val="0"/>
        <w:rPr>
          <w:rFonts w:ascii="方正小标宋简体" w:hAnsi="宋体" w:eastAsia="方正小标宋简体"/>
          <w:szCs w:val="21"/>
        </w:rPr>
      </w:pPr>
      <w:bookmarkStart w:id="0" w:name="_Toc15306267"/>
    </w:p>
    <w:p>
      <w:pPr>
        <w:pageBreakBefore w:val="0"/>
        <w:widowControl w:val="0"/>
        <w:kinsoku/>
        <w:wordWrap/>
        <w:overflowPunct/>
        <w:topLinePunct w:val="0"/>
        <w:bidi w:val="0"/>
        <w:spacing w:line="600" w:lineRule="exact"/>
        <w:jc w:val="center"/>
        <w:textAlignment w:val="auto"/>
        <w:outlineLvl w:val="0"/>
        <w:rPr>
          <w:rFonts w:ascii="方正小标宋简体" w:hAnsi="宋体" w:eastAsia="方正小标宋简体"/>
          <w:sz w:val="72"/>
          <w:szCs w:val="72"/>
        </w:rPr>
      </w:pPr>
    </w:p>
    <w:p>
      <w:pPr>
        <w:pageBreakBefore w:val="0"/>
        <w:widowControl w:val="0"/>
        <w:kinsoku/>
        <w:wordWrap/>
        <w:overflowPunct/>
        <w:topLinePunct w:val="0"/>
        <w:bidi w:val="0"/>
        <w:spacing w:line="600" w:lineRule="exact"/>
        <w:jc w:val="center"/>
        <w:textAlignment w:val="auto"/>
        <w:outlineLvl w:val="0"/>
        <w:rPr>
          <w:rFonts w:ascii="方正小标宋简体" w:hAnsi="宋体" w:eastAsia="方正小标宋简体"/>
          <w:sz w:val="72"/>
          <w:szCs w:val="72"/>
        </w:rPr>
      </w:pPr>
    </w:p>
    <w:p>
      <w:pPr>
        <w:pageBreakBefore w:val="0"/>
        <w:widowControl w:val="0"/>
        <w:kinsoku/>
        <w:wordWrap/>
        <w:overflowPunct/>
        <w:topLinePunct w:val="0"/>
        <w:bidi w:val="0"/>
        <w:adjustRightInd w:val="0"/>
        <w:snapToGrid w:val="0"/>
        <w:spacing w:line="360" w:lineRule="auto"/>
        <w:jc w:val="center"/>
        <w:textAlignment w:val="auto"/>
        <w:outlineLvl w:val="0"/>
        <w:rPr>
          <w:rFonts w:hint="default" w:ascii="Times New Roman" w:hAnsi="Times New Roman" w:eastAsia="方正小标宋_GBK" w:cs="Times New Roman"/>
          <w:sz w:val="72"/>
          <w:szCs w:val="72"/>
        </w:rPr>
      </w:pPr>
      <w:bookmarkStart w:id="1" w:name="_Toc15396597"/>
      <w:bookmarkStart w:id="2" w:name="_Toc15396475"/>
      <w:bookmarkStart w:id="3" w:name="_Toc15377425"/>
      <w:bookmarkStart w:id="4" w:name="_Toc15378441"/>
      <w:bookmarkStart w:id="5" w:name="_Toc15377193"/>
      <w:r>
        <w:rPr>
          <w:rFonts w:hint="default" w:ascii="Times New Roman" w:hAnsi="Times New Roman" w:eastAsia="方正小标宋_GBK" w:cs="Times New Roman"/>
          <w:sz w:val="72"/>
          <w:szCs w:val="72"/>
        </w:rPr>
        <w:t>2022年度</w:t>
      </w:r>
      <w:bookmarkEnd w:id="1"/>
      <w:bookmarkEnd w:id="2"/>
      <w:bookmarkEnd w:id="3"/>
      <w:bookmarkEnd w:id="4"/>
      <w:bookmarkEnd w:id="5"/>
    </w:p>
    <w:p>
      <w:pPr>
        <w:pageBreakBefore w:val="0"/>
        <w:widowControl w:val="0"/>
        <w:kinsoku/>
        <w:wordWrap/>
        <w:overflowPunct/>
        <w:topLinePunct w:val="0"/>
        <w:bidi w:val="0"/>
        <w:adjustRightInd w:val="0"/>
        <w:snapToGrid w:val="0"/>
        <w:spacing w:line="360" w:lineRule="auto"/>
        <w:jc w:val="center"/>
        <w:textAlignment w:val="auto"/>
        <w:outlineLvl w:val="0"/>
        <w:rPr>
          <w:rFonts w:hint="default" w:ascii="Times New Roman" w:hAnsi="Times New Roman" w:eastAsia="方正小标宋_GBK" w:cs="Times New Roman"/>
          <w:sz w:val="72"/>
          <w:szCs w:val="72"/>
        </w:rPr>
      </w:pPr>
      <w:bookmarkStart w:id="6" w:name="_Toc15377194"/>
      <w:bookmarkStart w:id="7" w:name="_Toc15396476"/>
      <w:bookmarkStart w:id="8" w:name="_Toc15378442"/>
      <w:bookmarkStart w:id="9" w:name="_Toc15377426"/>
      <w:bookmarkStart w:id="10" w:name="_Toc15396598"/>
      <w:r>
        <w:rPr>
          <w:rFonts w:hint="default" w:ascii="Times New Roman" w:hAnsi="Times New Roman" w:eastAsia="方正小标宋_GBK" w:cs="Times New Roman"/>
          <w:sz w:val="72"/>
          <w:szCs w:val="72"/>
        </w:rPr>
        <w:t>攀枝花市</w:t>
      </w:r>
      <w:bookmarkEnd w:id="0"/>
      <w:bookmarkStart w:id="11" w:name="_Toc15306268"/>
      <w:r>
        <w:rPr>
          <w:rFonts w:hint="default" w:ascii="Times New Roman" w:hAnsi="Times New Roman" w:eastAsia="方正小标宋_GBK" w:cs="Times New Roman"/>
          <w:sz w:val="72"/>
          <w:szCs w:val="72"/>
          <w:lang w:eastAsia="zh-CN"/>
        </w:rPr>
        <w:t>西区生态环境局</w:t>
      </w:r>
      <w:r>
        <w:rPr>
          <w:rFonts w:hint="default" w:ascii="Times New Roman" w:hAnsi="Times New Roman" w:eastAsia="方正小标宋_GBK" w:cs="Times New Roman"/>
          <w:sz w:val="72"/>
          <w:szCs w:val="72"/>
        </w:rPr>
        <w:t>单位决算</w:t>
      </w:r>
      <w:bookmarkEnd w:id="6"/>
      <w:bookmarkEnd w:id="7"/>
      <w:bookmarkEnd w:id="8"/>
      <w:bookmarkEnd w:id="9"/>
      <w:bookmarkEnd w:id="10"/>
      <w:bookmarkEnd w:id="11"/>
    </w:p>
    <w:p>
      <w:pPr>
        <w:pageBreakBefore w:val="0"/>
        <w:widowControl w:val="0"/>
        <w:kinsoku/>
        <w:wordWrap/>
        <w:overflowPunct/>
        <w:topLinePunct w:val="0"/>
        <w:bidi w:val="0"/>
        <w:jc w:val="center"/>
        <w:textAlignment w:val="auto"/>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pageBreakBefore w:val="0"/>
        <w:widowControl w:val="0"/>
        <w:kinsoku/>
        <w:wordWrap/>
        <w:overflowPunct/>
        <w:topLinePunct w:val="0"/>
        <w:bidi w:val="0"/>
        <w:jc w:val="center"/>
        <w:textAlignment w:val="auto"/>
        <w:rPr>
          <w:rFonts w:ascii="黑体" w:hAnsi="黑体" w:eastAsia="黑体" w:cstheme="minorBidi"/>
          <w:sz w:val="28"/>
          <w:szCs w:val="28"/>
        </w:rPr>
      </w:pPr>
    </w:p>
    <w:p>
      <w:pPr>
        <w:pStyle w:val="10"/>
        <w:pageBreakBefore w:val="0"/>
        <w:widowControl w:val="0"/>
        <w:kinsoku/>
        <w:wordWrap/>
        <w:overflowPunct/>
        <w:topLinePunct w:val="0"/>
        <w:bidi w:val="0"/>
        <w:textAlignment w:val="auto"/>
        <w:rPr>
          <w:rFonts w:hint="eastAsia" w:eastAsia="仿宋_GB2312"/>
          <w:lang w:eastAsia="zh-CN"/>
        </w:rPr>
      </w:pPr>
      <w:r>
        <w:rPr>
          <w:rFonts w:hint="default" w:ascii="Times New Roman" w:hAnsi="Times New Roman" w:eastAsia="仿宋_GB2312" w:cs="Times New Roman"/>
        </w:rPr>
        <w:t>公开时间：2023年9月12日</w:t>
      </w:r>
      <w:r>
        <w:rPr>
          <w:rFonts w:hint="eastAsia" w:ascii="Times New Roman" w:hAnsi="Times New Roman" w:eastAsia="仿宋_GB2312" w:cs="Times New Roman"/>
          <w:lang w:val="en-US" w:eastAsia="zh-CN"/>
        </w:rPr>
        <w:t xml:space="preserve"> </w:t>
      </w:r>
      <w:bookmarkStart w:id="67" w:name="_GoBack"/>
      <w:bookmarkEnd w:id="67"/>
    </w:p>
    <w:p>
      <w:pPr>
        <w:pageBreakBefore w:val="0"/>
        <w:widowControl w:val="0"/>
        <w:kinsoku/>
        <w:wordWrap/>
        <w:overflowPunct/>
        <w:topLinePunct w:val="0"/>
        <w:bidi w:val="0"/>
        <w:textAlignment w:val="auto"/>
      </w:pPr>
    </w:p>
    <w:p>
      <w:pPr>
        <w:pStyle w:val="10"/>
        <w:pageBreakBefore w:val="0"/>
        <w:widowControl w:val="0"/>
        <w:kinsoku/>
        <w:wordWrap/>
        <w:overflowPunct/>
        <w:topLinePunct w:val="0"/>
        <w:bidi w:val="0"/>
        <w:adjustRightInd w:val="0"/>
        <w:snapToGrid w:val="0"/>
        <w:spacing w:before="0" w:line="440" w:lineRule="exact"/>
        <w:jc w:val="left"/>
        <w:textAlignment w:val="auto"/>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cstheme="minorBidi"/>
          <w:sz w:val="24"/>
          <w:szCs w:val="24"/>
        </w:rPr>
        <w:tab/>
      </w:r>
      <w:r>
        <w:rPr>
          <w:rFonts w:hint="eastAsia" w:cstheme="minorBidi"/>
          <w:sz w:val="24"/>
          <w:szCs w:val="24"/>
          <w:lang w:val="en-US" w:eastAsia="zh-CN"/>
        </w:rPr>
        <w:t>4</w:t>
      </w:r>
    </w:p>
    <w:p>
      <w:pPr>
        <w:pStyle w:val="11"/>
        <w:pageBreakBefore w:val="0"/>
        <w:widowControl w:val="0"/>
        <w:kinsoku/>
        <w:wordWrap/>
        <w:overflowPunct/>
        <w:topLinePunct w:val="0"/>
        <w:bidi w:val="0"/>
        <w:adjustRightInd w:val="0"/>
        <w:snapToGrid w:val="0"/>
        <w:spacing w:line="440" w:lineRule="exact"/>
        <w:jc w:val="left"/>
        <w:textAlignment w:val="auto"/>
        <w:rPr>
          <w:rFonts w:hint="eastAsia" w:eastAsia="宋体"/>
          <w:sz w:val="24"/>
          <w:lang w:val="en-US" w:eastAsia="zh-CN"/>
        </w:rPr>
      </w:pPr>
      <w:r>
        <w:rPr>
          <w:rFonts w:hint="eastAsia"/>
          <w:sz w:val="24"/>
        </w:rPr>
        <w:t>一、主要职责</w:t>
      </w:r>
      <w:r>
        <w:rPr>
          <w:rFonts w:cstheme="minorBidi"/>
          <w:sz w:val="24"/>
        </w:rPr>
        <w:tab/>
      </w:r>
      <w:r>
        <w:rPr>
          <w:rFonts w:hint="eastAsia" w:cstheme="minorBidi"/>
          <w:sz w:val="24"/>
          <w:lang w:val="en-US" w:eastAsia="zh-CN"/>
        </w:rPr>
        <w:t>4</w:t>
      </w:r>
    </w:p>
    <w:p>
      <w:pPr>
        <w:pStyle w:val="11"/>
        <w:pageBreakBefore w:val="0"/>
        <w:widowControl w:val="0"/>
        <w:kinsoku/>
        <w:wordWrap/>
        <w:overflowPunct/>
        <w:topLinePunct w:val="0"/>
        <w:bidi w:val="0"/>
        <w:adjustRightInd w:val="0"/>
        <w:snapToGrid w:val="0"/>
        <w:spacing w:line="440" w:lineRule="exact"/>
        <w:jc w:val="left"/>
        <w:textAlignment w:val="auto"/>
      </w:pPr>
      <w:r>
        <w:rPr>
          <w:rFonts w:hint="eastAsia"/>
          <w:sz w:val="24"/>
        </w:rPr>
        <w:t>二、机构设置</w:t>
      </w:r>
      <w:r>
        <w:rPr>
          <w:rFonts w:cstheme="minorBidi"/>
          <w:sz w:val="24"/>
        </w:rPr>
        <w:tab/>
      </w:r>
      <w:r>
        <w:rPr>
          <w:rFonts w:hint="eastAsia" w:cstheme="minorBidi"/>
          <w:sz w:val="24"/>
          <w:lang w:val="en-US" w:eastAsia="zh-CN"/>
        </w:rPr>
        <w:t>7</w:t>
      </w:r>
    </w:p>
    <w:p>
      <w:pPr>
        <w:pStyle w:val="10"/>
        <w:pageBreakBefore w:val="0"/>
        <w:widowControl w:val="0"/>
        <w:kinsoku/>
        <w:wordWrap/>
        <w:overflowPunct/>
        <w:topLinePunct w:val="0"/>
        <w:bidi w:val="0"/>
        <w:adjustRightInd w:val="0"/>
        <w:snapToGrid w:val="0"/>
        <w:spacing w:before="0" w:line="440" w:lineRule="exact"/>
        <w:jc w:val="left"/>
        <w:textAlignment w:val="auto"/>
        <w:rPr>
          <w:sz w:val="24"/>
          <w:szCs w:val="24"/>
        </w:rPr>
      </w:pPr>
      <w:r>
        <w:rPr>
          <w:rFonts w:hint="eastAsia"/>
          <w:sz w:val="24"/>
        </w:rPr>
        <w:t>第二部分 2022年度单位决算情况说明</w:t>
      </w:r>
      <w:r>
        <w:rPr>
          <w:rFonts w:cstheme="minorBidi"/>
          <w:sz w:val="24"/>
        </w:rPr>
        <w:tab/>
      </w:r>
      <w:r>
        <w:rPr>
          <w:rFonts w:hint="eastAsia" w:cstheme="minorBidi"/>
          <w:sz w:val="24"/>
          <w:lang w:val="en-US" w:eastAsia="zh-CN"/>
        </w:rPr>
        <w:t>9</w:t>
      </w:r>
    </w:p>
    <w:p>
      <w:pPr>
        <w:pStyle w:val="11"/>
        <w:pageBreakBefore w:val="0"/>
        <w:widowControl w:val="0"/>
        <w:kinsoku/>
        <w:wordWrap/>
        <w:overflowPunct/>
        <w:topLinePunct w:val="0"/>
        <w:bidi w:val="0"/>
        <w:adjustRightInd w:val="0"/>
        <w:snapToGrid w:val="0"/>
        <w:spacing w:line="440" w:lineRule="exact"/>
        <w:jc w:val="left"/>
        <w:textAlignment w:val="auto"/>
        <w:rPr>
          <w:rFonts w:ascii="仿宋" w:hAnsi="仿宋" w:eastAsia="仿宋" w:cstheme="minorBidi"/>
          <w:sz w:val="24"/>
        </w:rPr>
      </w:pPr>
      <w:r>
        <w:rPr>
          <w:rFonts w:hint="eastAsia"/>
          <w:sz w:val="24"/>
        </w:rPr>
        <w:t>一、收入支出决算总体情况说明</w:t>
      </w:r>
      <w:r>
        <w:rPr>
          <w:rFonts w:cstheme="minorBidi"/>
          <w:sz w:val="24"/>
        </w:rPr>
        <w:tab/>
      </w:r>
      <w:r>
        <w:rPr>
          <w:rFonts w:hint="eastAsia" w:cstheme="minorBidi"/>
          <w:sz w:val="24"/>
          <w:lang w:val="en-US" w:eastAsia="zh-CN"/>
        </w:rPr>
        <w:t>9</w:t>
      </w:r>
    </w:p>
    <w:p>
      <w:pPr>
        <w:pStyle w:val="11"/>
        <w:pageBreakBefore w:val="0"/>
        <w:widowControl w:val="0"/>
        <w:kinsoku/>
        <w:wordWrap/>
        <w:overflowPunct/>
        <w:topLinePunct w:val="0"/>
        <w:bidi w:val="0"/>
        <w:adjustRightInd w:val="0"/>
        <w:snapToGrid w:val="0"/>
        <w:spacing w:line="440" w:lineRule="exact"/>
        <w:jc w:val="left"/>
        <w:textAlignment w:val="auto"/>
        <w:rPr>
          <w:rFonts w:ascii="仿宋" w:hAnsi="仿宋" w:eastAsia="仿宋" w:cstheme="minorBidi"/>
          <w:sz w:val="24"/>
        </w:rPr>
      </w:pPr>
      <w:r>
        <w:rPr>
          <w:rFonts w:hint="eastAsia"/>
          <w:sz w:val="24"/>
        </w:rPr>
        <w:t>二、收入决算情况说明</w:t>
      </w:r>
      <w:r>
        <w:rPr>
          <w:rFonts w:cstheme="minorBidi"/>
          <w:sz w:val="24"/>
        </w:rPr>
        <w:tab/>
      </w:r>
      <w:r>
        <w:rPr>
          <w:rFonts w:hint="eastAsia" w:cstheme="minorBidi"/>
          <w:sz w:val="24"/>
          <w:lang w:val="en-US" w:eastAsia="zh-CN"/>
        </w:rPr>
        <w:t>9</w:t>
      </w:r>
    </w:p>
    <w:p>
      <w:pPr>
        <w:pStyle w:val="11"/>
        <w:pageBreakBefore w:val="0"/>
        <w:widowControl w:val="0"/>
        <w:kinsoku/>
        <w:wordWrap/>
        <w:overflowPunct/>
        <w:topLinePunct w:val="0"/>
        <w:bidi w:val="0"/>
        <w:adjustRightInd w:val="0"/>
        <w:snapToGrid w:val="0"/>
        <w:spacing w:line="440" w:lineRule="exact"/>
        <w:jc w:val="left"/>
        <w:textAlignment w:val="auto"/>
        <w:rPr>
          <w:rFonts w:hint="default" w:ascii="仿宋" w:hAnsi="仿宋" w:eastAsia="仿宋" w:cstheme="minorBidi"/>
          <w:sz w:val="24"/>
          <w:lang w:val="en-US"/>
        </w:rPr>
      </w:pPr>
      <w:r>
        <w:rPr>
          <w:rFonts w:hint="eastAsia"/>
          <w:sz w:val="24"/>
        </w:rPr>
        <w:t>三、支出决算情况说明</w:t>
      </w:r>
      <w:r>
        <w:rPr>
          <w:rFonts w:cstheme="minorBidi"/>
          <w:sz w:val="24"/>
        </w:rPr>
        <w:tab/>
      </w:r>
      <w:r>
        <w:rPr>
          <w:rFonts w:hint="eastAsia" w:cstheme="minorBidi"/>
          <w:sz w:val="24"/>
          <w:lang w:val="en-US" w:eastAsia="zh-CN"/>
        </w:rPr>
        <w:t>10</w:t>
      </w:r>
    </w:p>
    <w:p>
      <w:pPr>
        <w:pStyle w:val="11"/>
        <w:pageBreakBefore w:val="0"/>
        <w:widowControl w:val="0"/>
        <w:kinsoku/>
        <w:wordWrap/>
        <w:overflowPunct/>
        <w:topLinePunct w:val="0"/>
        <w:bidi w:val="0"/>
        <w:adjustRightInd w:val="0"/>
        <w:snapToGrid w:val="0"/>
        <w:spacing w:line="440" w:lineRule="exact"/>
        <w:jc w:val="left"/>
        <w:textAlignment w:val="auto"/>
        <w:rPr>
          <w:rFonts w:hint="default" w:ascii="仿宋" w:hAnsi="仿宋" w:eastAsia="仿宋" w:cstheme="minorBidi"/>
          <w:sz w:val="24"/>
          <w:lang w:val="en-US"/>
        </w:rPr>
      </w:pPr>
      <w:r>
        <w:rPr>
          <w:rFonts w:hint="eastAsia"/>
          <w:sz w:val="24"/>
        </w:rPr>
        <w:t>四、财政拨款收入支出决算总体情况说明</w:t>
      </w:r>
      <w:r>
        <w:rPr>
          <w:rFonts w:cstheme="minorBidi"/>
          <w:sz w:val="24"/>
        </w:rPr>
        <w:tab/>
      </w:r>
      <w:r>
        <w:rPr>
          <w:rFonts w:hint="eastAsia" w:cstheme="minorBidi"/>
          <w:sz w:val="24"/>
          <w:lang w:val="en-US" w:eastAsia="zh-CN"/>
        </w:rPr>
        <w:t>11</w:t>
      </w:r>
    </w:p>
    <w:p>
      <w:pPr>
        <w:pStyle w:val="11"/>
        <w:pageBreakBefore w:val="0"/>
        <w:widowControl w:val="0"/>
        <w:kinsoku/>
        <w:wordWrap/>
        <w:overflowPunct/>
        <w:topLinePunct w:val="0"/>
        <w:bidi w:val="0"/>
        <w:adjustRightInd w:val="0"/>
        <w:snapToGrid w:val="0"/>
        <w:spacing w:line="440" w:lineRule="exact"/>
        <w:jc w:val="left"/>
        <w:textAlignment w:val="auto"/>
        <w:rPr>
          <w:rFonts w:hint="default" w:ascii="仿宋" w:hAnsi="仿宋" w:eastAsia="仿宋" w:cstheme="minorBidi"/>
          <w:sz w:val="24"/>
          <w:lang w:val="en-US"/>
        </w:rPr>
      </w:pPr>
      <w:r>
        <w:rPr>
          <w:rFonts w:hint="eastAsia"/>
          <w:sz w:val="24"/>
        </w:rPr>
        <w:t>五、一般公共预算财政拨款支出决算情况说明</w:t>
      </w:r>
      <w:r>
        <w:rPr>
          <w:rFonts w:cstheme="minorBidi"/>
          <w:sz w:val="24"/>
        </w:rPr>
        <w:tab/>
      </w:r>
      <w:r>
        <w:rPr>
          <w:rFonts w:hint="eastAsia" w:cstheme="minorBidi"/>
          <w:sz w:val="24"/>
          <w:lang w:val="en-US" w:eastAsia="zh-CN"/>
        </w:rPr>
        <w:t>12</w:t>
      </w:r>
    </w:p>
    <w:p>
      <w:pPr>
        <w:pStyle w:val="11"/>
        <w:pageBreakBefore w:val="0"/>
        <w:widowControl w:val="0"/>
        <w:kinsoku/>
        <w:wordWrap/>
        <w:overflowPunct/>
        <w:topLinePunct w:val="0"/>
        <w:bidi w:val="0"/>
        <w:adjustRightInd w:val="0"/>
        <w:snapToGrid w:val="0"/>
        <w:spacing w:line="440" w:lineRule="exact"/>
        <w:jc w:val="left"/>
        <w:textAlignment w:val="auto"/>
        <w:rPr>
          <w:rFonts w:hint="default" w:ascii="仿宋" w:hAnsi="仿宋" w:eastAsia="仿宋" w:cstheme="minorBidi"/>
          <w:sz w:val="24"/>
          <w:lang w:val="en-US"/>
        </w:rPr>
      </w:pPr>
      <w:r>
        <w:rPr>
          <w:rFonts w:hint="eastAsia"/>
          <w:sz w:val="24"/>
        </w:rPr>
        <w:t>六、一般公共预算财政拨款基本支出决算情况说明</w:t>
      </w:r>
      <w:r>
        <w:rPr>
          <w:rFonts w:cstheme="minorBidi"/>
          <w:sz w:val="24"/>
        </w:rPr>
        <w:tab/>
      </w:r>
      <w:r>
        <w:rPr>
          <w:rFonts w:hint="eastAsia" w:cstheme="minorBidi"/>
          <w:sz w:val="24"/>
          <w:lang w:val="en-US" w:eastAsia="zh-CN"/>
        </w:rPr>
        <w:t>13</w:t>
      </w:r>
    </w:p>
    <w:p>
      <w:pPr>
        <w:pStyle w:val="11"/>
        <w:pageBreakBefore w:val="0"/>
        <w:widowControl w:val="0"/>
        <w:kinsoku/>
        <w:wordWrap/>
        <w:overflowPunct/>
        <w:topLinePunct w:val="0"/>
        <w:bidi w:val="0"/>
        <w:adjustRightInd w:val="0"/>
        <w:snapToGrid w:val="0"/>
        <w:spacing w:line="440" w:lineRule="exact"/>
        <w:jc w:val="left"/>
        <w:textAlignment w:val="auto"/>
        <w:rPr>
          <w:rFonts w:hint="default" w:ascii="仿宋" w:hAnsi="仿宋" w:eastAsia="宋体" w:cstheme="minorBidi"/>
          <w:sz w:val="24"/>
          <w:lang w:val="en-US" w:eastAsia="zh-CN"/>
        </w:rPr>
      </w:pPr>
      <w:r>
        <w:rPr>
          <w:rFonts w:hint="eastAsia"/>
          <w:sz w:val="24"/>
        </w:rPr>
        <w:t>七、财政拨款“三公”经费支出决算情况说明</w:t>
      </w:r>
      <w:r>
        <w:rPr>
          <w:rFonts w:cstheme="minorBidi"/>
          <w:sz w:val="24"/>
        </w:rPr>
        <w:tab/>
      </w:r>
      <w:r>
        <w:rPr>
          <w:rFonts w:hint="eastAsia" w:cstheme="minorBidi"/>
          <w:sz w:val="24"/>
          <w:lang w:val="en-US" w:eastAsia="zh-CN"/>
        </w:rPr>
        <w:t>14</w:t>
      </w:r>
    </w:p>
    <w:p>
      <w:pPr>
        <w:pStyle w:val="11"/>
        <w:pageBreakBefore w:val="0"/>
        <w:widowControl w:val="0"/>
        <w:kinsoku/>
        <w:wordWrap/>
        <w:overflowPunct/>
        <w:topLinePunct w:val="0"/>
        <w:bidi w:val="0"/>
        <w:adjustRightInd w:val="0"/>
        <w:snapToGrid w:val="0"/>
        <w:spacing w:line="440" w:lineRule="exact"/>
        <w:jc w:val="left"/>
        <w:textAlignment w:val="auto"/>
        <w:rPr>
          <w:rFonts w:hint="default" w:ascii="仿宋" w:hAnsi="仿宋" w:eastAsia="仿宋" w:cstheme="minorBidi"/>
          <w:sz w:val="24"/>
          <w:lang w:val="en-US"/>
        </w:rPr>
      </w:pPr>
      <w:r>
        <w:rPr>
          <w:rFonts w:hint="eastAsia"/>
          <w:sz w:val="24"/>
        </w:rPr>
        <w:t>八、政府性基金预算支出决算情况说明</w:t>
      </w:r>
      <w:r>
        <w:rPr>
          <w:rFonts w:cstheme="minorBidi"/>
          <w:sz w:val="24"/>
        </w:rPr>
        <w:tab/>
      </w:r>
      <w:r>
        <w:rPr>
          <w:rFonts w:hint="eastAsia" w:cstheme="minorBidi"/>
          <w:sz w:val="24"/>
          <w:lang w:val="en-US" w:eastAsia="zh-CN"/>
        </w:rPr>
        <w:t>16</w:t>
      </w:r>
    </w:p>
    <w:p>
      <w:pPr>
        <w:pStyle w:val="11"/>
        <w:pageBreakBefore w:val="0"/>
        <w:widowControl w:val="0"/>
        <w:kinsoku/>
        <w:wordWrap/>
        <w:overflowPunct/>
        <w:topLinePunct w:val="0"/>
        <w:bidi w:val="0"/>
        <w:adjustRightInd w:val="0"/>
        <w:snapToGrid w:val="0"/>
        <w:spacing w:line="440" w:lineRule="exact"/>
        <w:jc w:val="left"/>
        <w:textAlignment w:val="auto"/>
        <w:rPr>
          <w:rFonts w:hint="default"/>
          <w:sz w:val="24"/>
          <w:lang w:val="en-US"/>
        </w:rPr>
      </w:pPr>
      <w:r>
        <w:rPr>
          <w:rFonts w:hint="eastAsia"/>
          <w:sz w:val="24"/>
        </w:rPr>
        <w:t>九、国有资本经营预算支出决算情况说明</w:t>
      </w:r>
      <w:r>
        <w:rPr>
          <w:rFonts w:cstheme="minorBidi"/>
          <w:sz w:val="24"/>
        </w:rPr>
        <w:tab/>
      </w:r>
      <w:r>
        <w:rPr>
          <w:rFonts w:hint="eastAsia" w:cstheme="minorBidi"/>
          <w:sz w:val="24"/>
          <w:lang w:val="en-US" w:eastAsia="zh-CN"/>
        </w:rPr>
        <w:t>16</w:t>
      </w:r>
    </w:p>
    <w:p>
      <w:pPr>
        <w:pStyle w:val="11"/>
        <w:pageBreakBefore w:val="0"/>
        <w:widowControl w:val="0"/>
        <w:kinsoku/>
        <w:wordWrap/>
        <w:overflowPunct/>
        <w:topLinePunct w:val="0"/>
        <w:bidi w:val="0"/>
        <w:adjustRightInd w:val="0"/>
        <w:snapToGrid w:val="0"/>
        <w:spacing w:line="440" w:lineRule="exact"/>
        <w:jc w:val="left"/>
        <w:textAlignment w:val="auto"/>
        <w:rPr>
          <w:rFonts w:hint="default"/>
          <w:sz w:val="24"/>
          <w:lang w:val="en-US"/>
        </w:rPr>
      </w:pPr>
      <w:r>
        <w:rPr>
          <w:rFonts w:hint="eastAsia"/>
          <w:sz w:val="24"/>
        </w:rPr>
        <w:t>十、其他重要事项的情况说明</w:t>
      </w:r>
      <w:r>
        <w:rPr>
          <w:rFonts w:cstheme="minorBidi"/>
          <w:sz w:val="24"/>
        </w:rPr>
        <w:tab/>
      </w:r>
      <w:r>
        <w:rPr>
          <w:rFonts w:hint="eastAsia" w:cstheme="minorBidi"/>
          <w:sz w:val="24"/>
          <w:lang w:val="en-US" w:eastAsia="zh-CN"/>
        </w:rPr>
        <w:t>16</w:t>
      </w:r>
    </w:p>
    <w:p>
      <w:pPr>
        <w:pStyle w:val="10"/>
        <w:pageBreakBefore w:val="0"/>
        <w:widowControl w:val="0"/>
        <w:kinsoku/>
        <w:wordWrap/>
        <w:overflowPunct/>
        <w:topLinePunct w:val="0"/>
        <w:bidi w:val="0"/>
        <w:adjustRightInd w:val="0"/>
        <w:snapToGrid w:val="0"/>
        <w:spacing w:before="0" w:line="440" w:lineRule="exact"/>
        <w:jc w:val="left"/>
        <w:textAlignment w:val="auto"/>
        <w:rPr>
          <w:rFonts w:hint="default" w:cstheme="minorBidi"/>
          <w:sz w:val="24"/>
          <w:szCs w:val="24"/>
          <w:lang w:val="en-US"/>
        </w:rPr>
      </w:pPr>
      <w:r>
        <w:rPr>
          <w:rFonts w:hint="eastAsia"/>
          <w:sz w:val="24"/>
        </w:rPr>
        <w:t>第三部分</w:t>
      </w:r>
      <w:r>
        <w:rPr>
          <w:sz w:val="24"/>
        </w:rPr>
        <w:t xml:space="preserve"> </w:t>
      </w:r>
      <w:r>
        <w:rPr>
          <w:rFonts w:hint="eastAsia"/>
          <w:sz w:val="24"/>
        </w:rPr>
        <w:t>名词解释</w:t>
      </w:r>
      <w:r>
        <w:rPr>
          <w:rFonts w:cstheme="minorBidi"/>
          <w:sz w:val="24"/>
        </w:rPr>
        <w:tab/>
      </w:r>
      <w:r>
        <w:rPr>
          <w:rFonts w:hint="eastAsia" w:cstheme="minorBidi"/>
          <w:sz w:val="24"/>
          <w:lang w:val="en-US" w:eastAsia="zh-CN"/>
        </w:rPr>
        <w:t>18</w:t>
      </w:r>
    </w:p>
    <w:p>
      <w:pPr>
        <w:pStyle w:val="10"/>
        <w:pageBreakBefore w:val="0"/>
        <w:widowControl w:val="0"/>
        <w:kinsoku/>
        <w:wordWrap/>
        <w:overflowPunct/>
        <w:topLinePunct w:val="0"/>
        <w:bidi w:val="0"/>
        <w:adjustRightInd w:val="0"/>
        <w:snapToGrid w:val="0"/>
        <w:spacing w:before="0" w:line="440" w:lineRule="exact"/>
        <w:jc w:val="left"/>
        <w:textAlignment w:val="auto"/>
        <w:rPr>
          <w:rFonts w:hint="default" w:cstheme="minorBidi"/>
          <w:sz w:val="24"/>
          <w:szCs w:val="24"/>
          <w:lang w:val="en-US"/>
        </w:rPr>
      </w:pPr>
      <w:r>
        <w:rPr>
          <w:rFonts w:hint="eastAsia"/>
          <w:sz w:val="24"/>
        </w:rPr>
        <w:t>第四部分</w:t>
      </w:r>
      <w:r>
        <w:rPr>
          <w:sz w:val="24"/>
        </w:rPr>
        <w:t xml:space="preserve"> </w:t>
      </w:r>
      <w:r>
        <w:rPr>
          <w:rFonts w:hint="eastAsia"/>
          <w:sz w:val="24"/>
        </w:rPr>
        <w:t>附件</w:t>
      </w:r>
      <w:r>
        <w:rPr>
          <w:rFonts w:cstheme="minorBidi"/>
          <w:sz w:val="24"/>
        </w:rPr>
        <w:tab/>
      </w:r>
      <w:r>
        <w:rPr>
          <w:rFonts w:hint="eastAsia" w:cstheme="minorBidi"/>
          <w:sz w:val="24"/>
          <w:lang w:val="en-US" w:eastAsia="zh-CN"/>
        </w:rPr>
        <w:t>20</w:t>
      </w:r>
    </w:p>
    <w:p>
      <w:pPr>
        <w:pStyle w:val="10"/>
        <w:pageBreakBefore w:val="0"/>
        <w:widowControl w:val="0"/>
        <w:kinsoku/>
        <w:wordWrap/>
        <w:overflowPunct/>
        <w:topLinePunct w:val="0"/>
        <w:bidi w:val="0"/>
        <w:adjustRightInd w:val="0"/>
        <w:snapToGrid w:val="0"/>
        <w:spacing w:before="0" w:line="440" w:lineRule="exact"/>
        <w:jc w:val="left"/>
        <w:textAlignment w:val="auto"/>
        <w:rPr>
          <w:rFonts w:hint="default" w:cstheme="minorBidi"/>
          <w:sz w:val="24"/>
          <w:szCs w:val="24"/>
          <w:lang w:val="en-US"/>
        </w:rPr>
      </w:pPr>
      <w:r>
        <w:rPr>
          <w:rFonts w:hint="eastAsia"/>
          <w:sz w:val="24"/>
        </w:rPr>
        <w:t>第五部分</w:t>
      </w:r>
      <w:r>
        <w:rPr>
          <w:sz w:val="24"/>
        </w:rPr>
        <w:t xml:space="preserve"> </w:t>
      </w:r>
      <w:r>
        <w:rPr>
          <w:rFonts w:hint="eastAsia"/>
          <w:sz w:val="24"/>
        </w:rPr>
        <w:t>附表</w:t>
      </w:r>
      <w:r>
        <w:rPr>
          <w:rFonts w:cstheme="minorBidi"/>
          <w:sz w:val="24"/>
        </w:rPr>
        <w:tab/>
      </w:r>
      <w:r>
        <w:rPr>
          <w:rFonts w:hint="eastAsia" w:cstheme="minorBidi"/>
          <w:sz w:val="24"/>
          <w:lang w:val="en-US" w:eastAsia="zh-CN"/>
        </w:rPr>
        <w:t>21</w:t>
      </w:r>
    </w:p>
    <w:p>
      <w:pPr>
        <w:pStyle w:val="11"/>
        <w:pageBreakBefore w:val="0"/>
        <w:widowControl w:val="0"/>
        <w:kinsoku/>
        <w:wordWrap/>
        <w:overflowPunct/>
        <w:topLinePunct w:val="0"/>
        <w:bidi w:val="0"/>
        <w:adjustRightInd w:val="0"/>
        <w:snapToGrid w:val="0"/>
        <w:spacing w:line="440" w:lineRule="exact"/>
        <w:jc w:val="left"/>
        <w:textAlignment w:val="auto"/>
        <w:rPr>
          <w:sz w:val="24"/>
        </w:rPr>
      </w:pPr>
      <w:r>
        <w:rPr>
          <w:rFonts w:hint="eastAsia"/>
          <w:sz w:val="24"/>
        </w:rPr>
        <w:t>一、收入支出决算总表</w:t>
      </w:r>
      <w:r>
        <w:rPr>
          <w:rFonts w:cstheme="minorBidi"/>
          <w:sz w:val="24"/>
        </w:rPr>
        <w:tab/>
      </w:r>
      <w:r>
        <w:rPr>
          <w:rFonts w:hint="eastAsia" w:cstheme="minorBidi"/>
          <w:sz w:val="24"/>
          <w:lang w:val="en-US" w:eastAsia="zh-CN"/>
        </w:rPr>
        <w:t>21</w:t>
      </w:r>
    </w:p>
    <w:p>
      <w:pPr>
        <w:pStyle w:val="11"/>
        <w:pageBreakBefore w:val="0"/>
        <w:widowControl w:val="0"/>
        <w:kinsoku/>
        <w:wordWrap/>
        <w:overflowPunct/>
        <w:topLinePunct w:val="0"/>
        <w:bidi w:val="0"/>
        <w:adjustRightInd w:val="0"/>
        <w:snapToGrid w:val="0"/>
        <w:spacing w:line="440" w:lineRule="exact"/>
        <w:jc w:val="left"/>
        <w:textAlignment w:val="auto"/>
        <w:rPr>
          <w:sz w:val="24"/>
        </w:rPr>
      </w:pPr>
      <w:r>
        <w:rPr>
          <w:rFonts w:hint="eastAsia"/>
          <w:sz w:val="24"/>
        </w:rPr>
        <w:t>二、收入决算表</w:t>
      </w:r>
      <w:r>
        <w:rPr>
          <w:rFonts w:cstheme="minorBidi"/>
          <w:sz w:val="24"/>
        </w:rPr>
        <w:tab/>
      </w:r>
      <w:r>
        <w:rPr>
          <w:rFonts w:hint="eastAsia" w:cstheme="minorBidi"/>
          <w:sz w:val="24"/>
          <w:lang w:val="en-US" w:eastAsia="zh-CN"/>
        </w:rPr>
        <w:t>21</w:t>
      </w:r>
    </w:p>
    <w:p>
      <w:pPr>
        <w:pStyle w:val="11"/>
        <w:pageBreakBefore w:val="0"/>
        <w:widowControl w:val="0"/>
        <w:kinsoku/>
        <w:wordWrap/>
        <w:overflowPunct/>
        <w:topLinePunct w:val="0"/>
        <w:bidi w:val="0"/>
        <w:adjustRightInd w:val="0"/>
        <w:snapToGrid w:val="0"/>
        <w:spacing w:line="440" w:lineRule="exact"/>
        <w:jc w:val="left"/>
        <w:textAlignment w:val="auto"/>
        <w:rPr>
          <w:sz w:val="24"/>
        </w:rPr>
      </w:pPr>
      <w:r>
        <w:rPr>
          <w:rFonts w:hint="eastAsia"/>
          <w:sz w:val="24"/>
        </w:rPr>
        <w:t>三、支出决算表</w:t>
      </w:r>
      <w:r>
        <w:rPr>
          <w:rFonts w:cstheme="minorBidi"/>
          <w:sz w:val="24"/>
        </w:rPr>
        <w:tab/>
      </w:r>
      <w:r>
        <w:rPr>
          <w:rFonts w:hint="eastAsia" w:cstheme="minorBidi"/>
          <w:sz w:val="24"/>
          <w:lang w:val="en-US" w:eastAsia="zh-CN"/>
        </w:rPr>
        <w:t>21</w:t>
      </w:r>
    </w:p>
    <w:p>
      <w:pPr>
        <w:pStyle w:val="11"/>
        <w:pageBreakBefore w:val="0"/>
        <w:widowControl w:val="0"/>
        <w:kinsoku/>
        <w:wordWrap/>
        <w:overflowPunct/>
        <w:topLinePunct w:val="0"/>
        <w:bidi w:val="0"/>
        <w:adjustRightInd w:val="0"/>
        <w:snapToGrid w:val="0"/>
        <w:spacing w:line="440" w:lineRule="exact"/>
        <w:jc w:val="left"/>
        <w:textAlignment w:val="auto"/>
        <w:rPr>
          <w:sz w:val="24"/>
        </w:rPr>
      </w:pPr>
      <w:r>
        <w:rPr>
          <w:rFonts w:hint="eastAsia"/>
          <w:sz w:val="24"/>
        </w:rPr>
        <w:t>四、财政拨款收入支出决算总表</w:t>
      </w:r>
      <w:r>
        <w:rPr>
          <w:rFonts w:cstheme="minorBidi"/>
          <w:sz w:val="24"/>
        </w:rPr>
        <w:tab/>
      </w:r>
      <w:r>
        <w:rPr>
          <w:rFonts w:hint="eastAsia" w:cstheme="minorBidi"/>
          <w:sz w:val="24"/>
          <w:lang w:val="en-US" w:eastAsia="zh-CN"/>
        </w:rPr>
        <w:t>21</w:t>
      </w:r>
    </w:p>
    <w:p>
      <w:pPr>
        <w:pStyle w:val="11"/>
        <w:pageBreakBefore w:val="0"/>
        <w:widowControl w:val="0"/>
        <w:kinsoku/>
        <w:wordWrap/>
        <w:overflowPunct/>
        <w:topLinePunct w:val="0"/>
        <w:bidi w:val="0"/>
        <w:adjustRightInd w:val="0"/>
        <w:snapToGrid w:val="0"/>
        <w:spacing w:line="440" w:lineRule="exact"/>
        <w:jc w:val="left"/>
        <w:textAlignment w:val="auto"/>
        <w:rPr>
          <w:sz w:val="24"/>
        </w:rPr>
      </w:pPr>
      <w:r>
        <w:rPr>
          <w:rFonts w:hint="eastAsia"/>
          <w:sz w:val="24"/>
        </w:rPr>
        <w:t>五、财政拨款支出决算明细表</w:t>
      </w:r>
      <w:r>
        <w:rPr>
          <w:rFonts w:cstheme="minorBidi"/>
          <w:sz w:val="24"/>
        </w:rPr>
        <w:tab/>
      </w:r>
      <w:r>
        <w:rPr>
          <w:rFonts w:hint="eastAsia" w:cstheme="minorBidi"/>
          <w:sz w:val="24"/>
          <w:lang w:val="en-US" w:eastAsia="zh-CN"/>
        </w:rPr>
        <w:t>21</w:t>
      </w:r>
    </w:p>
    <w:p>
      <w:pPr>
        <w:pStyle w:val="11"/>
        <w:pageBreakBefore w:val="0"/>
        <w:widowControl w:val="0"/>
        <w:kinsoku/>
        <w:wordWrap/>
        <w:overflowPunct/>
        <w:topLinePunct w:val="0"/>
        <w:bidi w:val="0"/>
        <w:adjustRightInd w:val="0"/>
        <w:snapToGrid w:val="0"/>
        <w:spacing w:line="440" w:lineRule="exact"/>
        <w:jc w:val="left"/>
        <w:textAlignment w:val="auto"/>
        <w:rPr>
          <w:sz w:val="24"/>
        </w:rPr>
      </w:pPr>
      <w:r>
        <w:rPr>
          <w:rFonts w:hint="eastAsia"/>
          <w:sz w:val="24"/>
        </w:rPr>
        <w:t>六、一般公共预算财政拨款支出决算表</w:t>
      </w:r>
      <w:r>
        <w:rPr>
          <w:rFonts w:cstheme="minorBidi"/>
          <w:sz w:val="24"/>
        </w:rPr>
        <w:tab/>
      </w:r>
      <w:r>
        <w:rPr>
          <w:rFonts w:hint="eastAsia" w:cstheme="minorBidi"/>
          <w:sz w:val="24"/>
          <w:lang w:val="en-US" w:eastAsia="zh-CN"/>
        </w:rPr>
        <w:t>21</w:t>
      </w:r>
    </w:p>
    <w:p>
      <w:pPr>
        <w:pStyle w:val="11"/>
        <w:pageBreakBefore w:val="0"/>
        <w:widowControl w:val="0"/>
        <w:kinsoku/>
        <w:wordWrap/>
        <w:overflowPunct/>
        <w:topLinePunct w:val="0"/>
        <w:bidi w:val="0"/>
        <w:adjustRightInd w:val="0"/>
        <w:snapToGrid w:val="0"/>
        <w:spacing w:line="440" w:lineRule="exact"/>
        <w:jc w:val="left"/>
        <w:textAlignment w:val="auto"/>
        <w:rPr>
          <w:sz w:val="24"/>
        </w:rPr>
      </w:pPr>
      <w:r>
        <w:rPr>
          <w:rFonts w:hint="eastAsia"/>
          <w:sz w:val="24"/>
        </w:rPr>
        <w:t>七、一般公共预算财政拨款支出决算明细表</w:t>
      </w:r>
      <w:r>
        <w:rPr>
          <w:rFonts w:cstheme="minorBidi"/>
          <w:sz w:val="24"/>
        </w:rPr>
        <w:tab/>
      </w:r>
      <w:r>
        <w:rPr>
          <w:rFonts w:hint="eastAsia" w:cstheme="minorBidi"/>
          <w:sz w:val="24"/>
          <w:lang w:val="en-US" w:eastAsia="zh-CN"/>
        </w:rPr>
        <w:t>21</w:t>
      </w:r>
    </w:p>
    <w:p>
      <w:pPr>
        <w:pStyle w:val="11"/>
        <w:pageBreakBefore w:val="0"/>
        <w:widowControl w:val="0"/>
        <w:kinsoku/>
        <w:wordWrap/>
        <w:overflowPunct/>
        <w:topLinePunct w:val="0"/>
        <w:bidi w:val="0"/>
        <w:adjustRightInd w:val="0"/>
        <w:snapToGrid w:val="0"/>
        <w:spacing w:line="440" w:lineRule="exact"/>
        <w:jc w:val="left"/>
        <w:textAlignment w:val="auto"/>
        <w:rPr>
          <w:sz w:val="24"/>
        </w:rPr>
      </w:pPr>
      <w:r>
        <w:rPr>
          <w:rFonts w:hint="eastAsia"/>
          <w:sz w:val="24"/>
        </w:rPr>
        <w:t>八、一般公共预算财政拨款基本支出决算明细表</w:t>
      </w:r>
      <w:r>
        <w:rPr>
          <w:rFonts w:cstheme="minorBidi"/>
          <w:sz w:val="24"/>
        </w:rPr>
        <w:tab/>
      </w:r>
      <w:r>
        <w:rPr>
          <w:rFonts w:hint="eastAsia" w:cstheme="minorBidi"/>
          <w:sz w:val="24"/>
          <w:lang w:val="en-US" w:eastAsia="zh-CN"/>
        </w:rPr>
        <w:t>21</w:t>
      </w:r>
    </w:p>
    <w:p>
      <w:pPr>
        <w:pStyle w:val="11"/>
        <w:pageBreakBefore w:val="0"/>
        <w:widowControl w:val="0"/>
        <w:kinsoku/>
        <w:wordWrap/>
        <w:overflowPunct/>
        <w:topLinePunct w:val="0"/>
        <w:bidi w:val="0"/>
        <w:adjustRightInd w:val="0"/>
        <w:snapToGrid w:val="0"/>
        <w:spacing w:line="440" w:lineRule="exact"/>
        <w:jc w:val="left"/>
        <w:textAlignment w:val="auto"/>
        <w:rPr>
          <w:sz w:val="24"/>
        </w:rPr>
      </w:pPr>
      <w:r>
        <w:rPr>
          <w:rFonts w:hint="eastAsia"/>
          <w:sz w:val="24"/>
        </w:rPr>
        <w:t>九、一般公共预算财政拨款项目支出决算表</w:t>
      </w:r>
      <w:r>
        <w:rPr>
          <w:rFonts w:cstheme="minorBidi"/>
          <w:sz w:val="24"/>
        </w:rPr>
        <w:tab/>
      </w:r>
      <w:r>
        <w:rPr>
          <w:rFonts w:hint="eastAsia" w:cstheme="minorBidi"/>
          <w:sz w:val="24"/>
          <w:lang w:val="en-US" w:eastAsia="zh-CN"/>
        </w:rPr>
        <w:t>21</w:t>
      </w:r>
    </w:p>
    <w:p>
      <w:pPr>
        <w:pStyle w:val="11"/>
        <w:pageBreakBefore w:val="0"/>
        <w:widowControl w:val="0"/>
        <w:kinsoku/>
        <w:wordWrap/>
        <w:overflowPunct/>
        <w:topLinePunct w:val="0"/>
        <w:bidi w:val="0"/>
        <w:adjustRightInd w:val="0"/>
        <w:snapToGrid w:val="0"/>
        <w:spacing w:line="440" w:lineRule="exact"/>
        <w:jc w:val="left"/>
        <w:textAlignment w:val="auto"/>
        <w:rPr>
          <w:sz w:val="24"/>
        </w:rPr>
      </w:pPr>
      <w:r>
        <w:rPr>
          <w:rFonts w:hint="eastAsia"/>
          <w:sz w:val="24"/>
        </w:rPr>
        <w:t>十、政府性基金预算财政拨款收入支出决算表</w:t>
      </w:r>
      <w:r>
        <w:rPr>
          <w:rFonts w:cstheme="minorBidi"/>
          <w:sz w:val="24"/>
        </w:rPr>
        <w:tab/>
      </w:r>
      <w:r>
        <w:rPr>
          <w:rFonts w:hint="eastAsia" w:cstheme="minorBidi"/>
          <w:sz w:val="24"/>
          <w:lang w:val="en-US" w:eastAsia="zh-CN"/>
        </w:rPr>
        <w:t>21</w:t>
      </w:r>
    </w:p>
    <w:p>
      <w:pPr>
        <w:pStyle w:val="11"/>
        <w:pageBreakBefore w:val="0"/>
        <w:widowControl w:val="0"/>
        <w:kinsoku/>
        <w:wordWrap/>
        <w:overflowPunct/>
        <w:topLinePunct w:val="0"/>
        <w:bidi w:val="0"/>
        <w:adjustRightInd w:val="0"/>
        <w:snapToGrid w:val="0"/>
        <w:spacing w:line="440" w:lineRule="exact"/>
        <w:jc w:val="left"/>
        <w:textAlignment w:val="auto"/>
        <w:rPr>
          <w:sz w:val="24"/>
        </w:rPr>
      </w:pPr>
      <w:r>
        <w:rPr>
          <w:rFonts w:hint="eastAsia"/>
          <w:sz w:val="24"/>
        </w:rPr>
        <w:t>十一、国有资本经营预算财政拨款收入支出决算表</w:t>
      </w:r>
      <w:r>
        <w:rPr>
          <w:rFonts w:cstheme="minorBidi"/>
          <w:sz w:val="24"/>
        </w:rPr>
        <w:tab/>
      </w:r>
      <w:r>
        <w:rPr>
          <w:rFonts w:hint="eastAsia" w:cstheme="minorBidi"/>
          <w:sz w:val="24"/>
          <w:lang w:val="en-US" w:eastAsia="zh-CN"/>
        </w:rPr>
        <w:t>21</w:t>
      </w:r>
    </w:p>
    <w:p>
      <w:pPr>
        <w:pStyle w:val="11"/>
        <w:pageBreakBefore w:val="0"/>
        <w:widowControl w:val="0"/>
        <w:kinsoku/>
        <w:wordWrap/>
        <w:overflowPunct/>
        <w:topLinePunct w:val="0"/>
        <w:bidi w:val="0"/>
        <w:adjustRightInd w:val="0"/>
        <w:snapToGrid w:val="0"/>
        <w:spacing w:line="440" w:lineRule="exact"/>
        <w:jc w:val="left"/>
        <w:textAlignment w:val="auto"/>
        <w:rPr>
          <w:sz w:val="24"/>
        </w:rPr>
      </w:pPr>
      <w:r>
        <w:rPr>
          <w:rFonts w:hint="eastAsia"/>
          <w:sz w:val="24"/>
        </w:rPr>
        <w:t>十二、国有资本经营预算财政拨款支出决算表</w:t>
      </w:r>
      <w:r>
        <w:rPr>
          <w:rFonts w:cstheme="minorBidi"/>
          <w:sz w:val="24"/>
        </w:rPr>
        <w:tab/>
      </w:r>
      <w:r>
        <w:rPr>
          <w:rFonts w:hint="eastAsia" w:cstheme="minorBidi"/>
          <w:sz w:val="24"/>
          <w:lang w:val="en-US" w:eastAsia="zh-CN"/>
        </w:rPr>
        <w:t>21</w:t>
      </w:r>
    </w:p>
    <w:p>
      <w:pPr>
        <w:pStyle w:val="11"/>
        <w:pageBreakBefore w:val="0"/>
        <w:widowControl w:val="0"/>
        <w:kinsoku/>
        <w:wordWrap/>
        <w:overflowPunct/>
        <w:topLinePunct w:val="0"/>
        <w:bidi w:val="0"/>
        <w:adjustRightInd w:val="0"/>
        <w:snapToGrid w:val="0"/>
        <w:spacing w:line="440" w:lineRule="exact"/>
        <w:jc w:val="left"/>
        <w:textAlignment w:val="auto"/>
        <w:rPr>
          <w:sz w:val="24"/>
        </w:rPr>
      </w:pPr>
      <w:r>
        <w:rPr>
          <w:rFonts w:hint="eastAsia"/>
          <w:sz w:val="24"/>
        </w:rPr>
        <w:t>十三、财政拨款“三公”经费支出决算表</w:t>
      </w:r>
      <w:r>
        <w:rPr>
          <w:rFonts w:cstheme="minorBidi"/>
          <w:sz w:val="24"/>
        </w:rPr>
        <w:tab/>
      </w:r>
      <w:r>
        <w:rPr>
          <w:rFonts w:hint="eastAsia" w:cstheme="minorBidi"/>
          <w:sz w:val="24"/>
          <w:lang w:val="en-US" w:eastAsia="zh-CN"/>
        </w:rPr>
        <w:t>21</w:t>
      </w:r>
    </w:p>
    <w:p>
      <w:pPr>
        <w:pageBreakBefore w:val="0"/>
        <w:widowControl w:val="0"/>
        <w:kinsoku/>
        <w:wordWrap/>
        <w:overflowPunct/>
        <w:topLinePunct w:val="0"/>
        <w:bidi w:val="0"/>
        <w:adjustRightInd w:val="0"/>
        <w:snapToGrid w:val="0"/>
        <w:spacing w:line="440" w:lineRule="exact"/>
        <w:ind w:firstLine="1320" w:firstLineChars="550"/>
        <w:jc w:val="left"/>
        <w:textAlignment w:val="auto"/>
        <w:rPr>
          <w:rFonts w:ascii="仿宋" w:hAnsi="仿宋" w:eastAsia="仿宋"/>
          <w:sz w:val="24"/>
        </w:rPr>
      </w:pPr>
    </w:p>
    <w:p>
      <w:pPr>
        <w:pageBreakBefore w:val="0"/>
        <w:widowControl w:val="0"/>
        <w:kinsoku/>
        <w:wordWrap/>
        <w:overflowPunct/>
        <w:topLinePunct w:val="0"/>
        <w:bidi w:val="0"/>
        <w:spacing w:line="440" w:lineRule="exact"/>
        <w:jc w:val="left"/>
        <w:textAlignment w:val="auto"/>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pageBreakBefore w:val="0"/>
        <w:widowControl w:val="0"/>
        <w:kinsoku/>
        <w:wordWrap/>
        <w:overflowPunct/>
        <w:topLinePunct w:val="0"/>
        <w:bidi w:val="0"/>
        <w:jc w:val="center"/>
        <w:textAlignment w:val="auto"/>
        <w:rPr>
          <w:rStyle w:val="25"/>
          <w:rFonts w:ascii="黑体" w:hAnsi="黑体" w:eastAsia="黑体"/>
          <w:b/>
          <w:bCs w:val="0"/>
        </w:rPr>
      </w:pPr>
      <w:r>
        <w:rPr>
          <w:rFonts w:hint="eastAsia" w:ascii="黑体" w:hAnsi="黑体" w:eastAsia="黑体"/>
          <w:b w:val="0"/>
        </w:rPr>
        <w:t>第一部分 单位</w:t>
      </w:r>
      <w:r>
        <w:rPr>
          <w:rStyle w:val="25"/>
          <w:rFonts w:hint="eastAsia" w:ascii="黑体" w:hAnsi="黑体" w:eastAsia="黑体"/>
          <w:b w:val="0"/>
          <w:bCs w:val="0"/>
        </w:rPr>
        <w:t>概况</w:t>
      </w:r>
      <w:bookmarkEnd w:id="12"/>
      <w:bookmarkEnd w:id="13"/>
    </w:p>
    <w:p>
      <w:pPr>
        <w:pStyle w:val="4"/>
        <w:pageBreakBefore w:val="0"/>
        <w:widowControl w:val="0"/>
        <w:numPr>
          <w:ilvl w:val="0"/>
          <w:numId w:val="0"/>
        </w:numPr>
        <w:kinsoku/>
        <w:wordWrap/>
        <w:overflowPunct/>
        <w:topLinePunct w:val="0"/>
        <w:bidi w:val="0"/>
        <w:ind w:firstLine="640" w:firstLineChars="200"/>
        <w:textAlignment w:val="auto"/>
        <w:rPr>
          <w:rStyle w:val="26"/>
          <w:rFonts w:ascii="黑体" w:hAnsi="黑体" w:eastAsia="黑体"/>
          <w:b w:val="0"/>
          <w:bCs w:val="0"/>
        </w:rPr>
      </w:pPr>
      <w:bookmarkStart w:id="14" w:name="_Toc15396600"/>
      <w:bookmarkStart w:id="15" w:name="_Toc15377197"/>
      <w:r>
        <w:rPr>
          <w:rStyle w:val="26"/>
          <w:rFonts w:hint="eastAsia" w:ascii="黑体" w:hAnsi="黑体" w:eastAsia="黑体"/>
          <w:b w:val="0"/>
          <w:bCs w:val="0"/>
          <w:lang w:eastAsia="zh-CN"/>
        </w:rPr>
        <w:t>一、</w:t>
      </w:r>
      <w:r>
        <w:rPr>
          <w:rStyle w:val="26"/>
          <w:rFonts w:hint="eastAsia" w:ascii="黑体" w:hAnsi="黑体" w:eastAsia="黑体"/>
          <w:b w:val="0"/>
          <w:bCs w:val="0"/>
        </w:rPr>
        <w:t>主要职责</w:t>
      </w:r>
    </w:p>
    <w:p>
      <w:pPr>
        <w:pStyle w:val="12"/>
        <w:pageBreakBefore w:val="0"/>
        <w:widowControl w:val="0"/>
        <w:kinsoku/>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1.负责建立健全并执行各项生态环境基本制度。贯彻执行国家、省、市有关法律、法规、规章和政策，会同有关部门拟订并组织实施区域内生态环境政策、规划。组织编制环境功能区划，会同有关部门编制并监督实施重点区域、流域、饮用水水源地生态环境规划和水功能区划，参与制定与区域内生态环境相关的经济、技术、资源配置和产业政策。参与拟订并贯彻执行区域内主体功能区划。</w:t>
      </w:r>
    </w:p>
    <w:p>
      <w:pPr>
        <w:pStyle w:val="12"/>
        <w:pageBreakBefore w:val="0"/>
        <w:widowControl w:val="0"/>
        <w:kinsoku/>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2.负责区域内较大及以下生态环境问题的统筹协调和监督管理。牵头协调区域内较大及以下突发生态环境事件和生态破坏事件的调查处理，指导协调区域内生态环境事件的应急、预警工作，参与实施生态环境损害赔偿制度，协调解决有关跨区域环境污染纠纷。统筹协调区域内生态环境保护工作。</w:t>
      </w:r>
    </w:p>
    <w:p>
      <w:pPr>
        <w:pStyle w:val="12"/>
        <w:pageBreakBefore w:val="0"/>
        <w:widowControl w:val="0"/>
        <w:kinsoku/>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3.负责监督管理区域内减排目标的落实。组织实施区域内各类污染物排放总量控制和排污许可证制度，提出实施总量控制的污染物控制指标，督查、督办、核查污染物减排任务完成情况。实施生态环境目标责任制。</w:t>
      </w:r>
    </w:p>
    <w:p>
      <w:pPr>
        <w:pStyle w:val="12"/>
        <w:pageBreakBefore w:val="0"/>
        <w:widowControl w:val="0"/>
        <w:kinsoku/>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4.负责提出区域内生态环境领域财政专项资金安排的建议。参与指导推动区域内循环经济和生态环保产业发展。</w:t>
      </w:r>
    </w:p>
    <w:p>
      <w:pPr>
        <w:pStyle w:val="12"/>
        <w:pageBreakBefore w:val="0"/>
        <w:widowControl w:val="0"/>
        <w:kinsoku/>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5.负责区域内生态环境污染防治的监督管理。组织制定并监督实施区域内大气、水、土壤、噪声、光、恶臭、固体废物、化学品、机动车等的污染防治管理制度。参与排污口设置管理工作，负责流域水环境保护工作，组织指导流域水环境治理。会同有关部门监督管理饮用水水源地生态环境保护工作，组织指导城乡生态环境综合整治工作，组织指导农业面源污染治理工作。监督指导区域大气环境保护工作，牵头建立区域大气污染联防联控协作机制并监督实施。按职责分工组织开展区域内强制性清洁生产审核工作。</w:t>
      </w:r>
    </w:p>
    <w:p>
      <w:pPr>
        <w:pStyle w:val="12"/>
        <w:pageBreakBefore w:val="0"/>
        <w:widowControl w:val="0"/>
        <w:kinsoku/>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6.指导协调和监督区域内生态保护修复工作。监督实施区域内生态保护规划，监督对生态环境有影响的自然资源开发利用活动、重要生态环境建设和生态破坏恢复工作。组织、指导绿色生态示范创建工作。监督实施区域内各类自然保护地生态环境监督制度，承担自然保护地、生态保护红线相关监管工作。监督野生动植物保护、湿地生态环境保护、荒漠化防治等工作。指导协调和监督农村生态环境保护，监督生物技术环境安全，牵头生物物种（含遗传资源）工作，组织协调生物多样性保护工作，参与生态保护补偿工作。</w:t>
      </w:r>
    </w:p>
    <w:p>
      <w:pPr>
        <w:pStyle w:val="12"/>
        <w:pageBreakBefore w:val="0"/>
        <w:widowControl w:val="0"/>
        <w:kinsoku/>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7.负责区域内核与辐射安全的监督管理。贯彻执行国家、省核与辐射安全法律、法规、规章、政策、规划和技术标准。负责辐射环境事故应急处理工作，参与核事故应急处理。监督管理放射源与射线装置安全，监督管理区域内核技术应用、电磁辐射、伴有放射性矿产资源开发利用中的污染防治。负责核与辐射建设项目“三同时”（同时设计、同时施工、同时投产使用）管理工作，参与对核材料的管制和民用核安全设备的设计、制造、安装和无损检验活动的监督管理。负责核与辐射环境监测和执法工作。参与反生化、核与辐射恐怖事件的防范和处理。</w:t>
      </w:r>
    </w:p>
    <w:p>
      <w:pPr>
        <w:pStyle w:val="12"/>
        <w:pageBreakBefore w:val="0"/>
        <w:widowControl w:val="0"/>
        <w:kinsoku/>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8.负责区域内生态环境准入的监督管理。根据授权对建设项目环境影响评价文件进行审批，按规定审查开发建设区域、规划、项目环境影响评价文件。组织实施区域内生态环境准入清单。</w:t>
      </w:r>
    </w:p>
    <w:p>
      <w:pPr>
        <w:pStyle w:val="12"/>
        <w:pageBreakBefore w:val="0"/>
        <w:widowControl w:val="0"/>
        <w:kinsoku/>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9.负责区域内生态环境监测、统计和信息发布工作。监督执行国家、省颁布的各类环境标准，组织实施环境监测制度和规范相关工作。会同有关部门统一规划区域内生态环境质量监测站点设置，组织实施污染源监督性监测、执法监测、温室气体减排监测和应急监测，按要求做好生态环境质量监测相关工作。对区域生态环境质量状况进行调查评价、预警预测,参与建设和管理生态环境监测网和生态环境信息网。负责区域内生态环境质量考核和生态环境统计工作。实行生态环境质量公告制度，统一发布区域内生态环境综合性报告和重大环境信息。</w:t>
      </w:r>
    </w:p>
    <w:p>
      <w:pPr>
        <w:pStyle w:val="12"/>
        <w:pageBreakBefore w:val="0"/>
        <w:widowControl w:val="0"/>
        <w:kinsoku/>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10.负责应对气候变化工作。组织实施国家、省应对气候变化及温室气体减排重大战略、规划和政策，组织实施区域内应对气候变化的规划和政策措施。</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11.组织开展中央、省环保督察反馈问题的整改。贯彻执行中央、省生态环境保护督察制度。督促协调产业园区、乡镇（街道）和区域内有关部门整改突出环境问题。</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12.负责区域内生态环境监督执法。组织开展区域内生态环境保护执法检查，根据授权查处生态环境违法问题。监督实施建设项目生态环境保护设施“三同时”制度。</w:t>
      </w:r>
    </w:p>
    <w:p>
      <w:pPr>
        <w:pStyle w:val="12"/>
        <w:pageBreakBefore w:val="0"/>
        <w:widowControl w:val="0"/>
        <w:kinsoku/>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13.组织指导和协调区域内生态环境宣传教育工作。制定并组织实施区域内生态环境保护宣传教育有关规划和计划。推动社会组织和公众参与生态环境保护。会同有关部门依法对区域内保护和改善生态环境有显著成绩的单位和个人给予表扬和奖励。</w:t>
      </w:r>
    </w:p>
    <w:p>
      <w:pPr>
        <w:pStyle w:val="12"/>
        <w:pageBreakBefore w:val="0"/>
        <w:widowControl w:val="0"/>
        <w:kinsoku/>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14.开展生态环境科技工作。管理区域内生态环境保护科技成果并推广应用。组织开展生态环境重大科学研究和技术工程示范，推动生态环境技术管理体系建设。</w:t>
      </w:r>
    </w:p>
    <w:p>
      <w:pPr>
        <w:pStyle w:val="12"/>
        <w:pageBreakBefore w:val="0"/>
        <w:widowControl w:val="0"/>
        <w:kinsoku/>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sz w:val="32"/>
          <w:szCs w:val="32"/>
        </w:rPr>
        <w:t>15.负责职责范围内安全生产和职业健康等工作。</w:t>
      </w:r>
    </w:p>
    <w:p>
      <w:pPr>
        <w:pStyle w:val="12"/>
        <w:pageBreakBefore w:val="0"/>
        <w:widowControl w:val="0"/>
        <w:kinsoku/>
        <w:wordWrap/>
        <w:overflowPunct/>
        <w:topLinePunct w:val="0"/>
        <w:bidi w:val="0"/>
        <w:spacing w:before="0" w:beforeAutospacing="0" w:after="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333333"/>
          <w:sz w:val="32"/>
          <w:szCs w:val="32"/>
        </w:rPr>
        <w:t>16.职能转变。统一行使区域内生态和城乡各类污染排放监管职责，按照国家、省确定的综合行政执法改革要求承担与此对应的行政执法职责，负责区域内生态环境质量监测、调查评价和考核，切实履行监管责任，加强事中事后监管，全面落实大气、水、土壤污染防治行动计划，强化固体废物、化学品、重金属污染防治监督管理。构建政府为主导、企业为主体、社会组织和公众共同参与的生态环境治理体系，实施最严格的生态环境保护制度，严守生态保护红线和环境质量底线，坚决打好污染防治攻坚战，筑牢长江上游生态屏障，保障生态安全。</w:t>
      </w:r>
    </w:p>
    <w:p>
      <w:pPr>
        <w:pStyle w:val="4"/>
        <w:pageBreakBefore w:val="0"/>
        <w:widowControl w:val="0"/>
        <w:kinsoku/>
        <w:wordWrap/>
        <w:overflowPunct/>
        <w:topLinePunct w:val="0"/>
        <w:bidi w:val="0"/>
        <w:ind w:firstLine="640" w:firstLineChars="200"/>
        <w:textAlignment w:val="auto"/>
        <w:rPr>
          <w:rFonts w:ascii="黑体" w:hAnsi="黑体" w:eastAsia="黑体"/>
          <w:b w:val="0"/>
        </w:rPr>
      </w:pPr>
      <w:r>
        <w:rPr>
          <w:rFonts w:hint="eastAsia" w:ascii="黑体" w:hAnsi="黑体" w:eastAsia="黑体"/>
          <w:b w:val="0"/>
        </w:rPr>
        <w:t>二、机构设置</w:t>
      </w:r>
    </w:p>
    <w:bookmarkEnd w:id="14"/>
    <w:bookmarkEnd w:id="15"/>
    <w:p>
      <w:pPr>
        <w:pageBreakBefore w:val="0"/>
        <w:widowControl w:val="0"/>
        <w:kinsoku/>
        <w:wordWrap/>
        <w:overflowPunct/>
        <w:topLinePunct w:val="0"/>
        <w:bidi w:val="0"/>
        <w:ind w:firstLine="640" w:firstLineChars="200"/>
        <w:jc w:val="left"/>
        <w:textAlignment w:val="auto"/>
        <w:rPr>
          <w:rFonts w:hint="default" w:ascii="Times New Roman" w:hAnsi="Times New Roman" w:eastAsia="仿宋_GB2312" w:cs="Times New Roman"/>
          <w:sz w:val="32"/>
          <w:szCs w:val="32"/>
          <w:lang w:eastAsia="zh-CN"/>
        </w:rPr>
      </w:pPr>
      <w:r>
        <w:rPr>
          <w:rFonts w:hint="eastAsia" w:eastAsia="仿宋_GB2312" w:cs="Times New Roman"/>
          <w:sz w:val="32"/>
          <w:szCs w:val="32"/>
          <w:lang w:eastAsia="zh-CN"/>
        </w:rPr>
        <w:t>攀枝花市西区</w:t>
      </w:r>
      <w:r>
        <w:rPr>
          <w:rFonts w:hint="default" w:ascii="Times New Roman" w:hAnsi="Times New Roman" w:eastAsia="仿宋_GB2312" w:cs="Times New Roman"/>
          <w:sz w:val="32"/>
          <w:szCs w:val="32"/>
          <w:lang w:eastAsia="zh-CN"/>
        </w:rPr>
        <w:t>生态环境局属二级预算单位，内设机构为办公室、综合业务股、</w:t>
      </w:r>
      <w:r>
        <w:rPr>
          <w:rFonts w:hint="eastAsia" w:eastAsia="仿宋_GB2312" w:cs="Times New Roman"/>
          <w:sz w:val="32"/>
          <w:szCs w:val="32"/>
          <w:lang w:eastAsia="zh-CN"/>
        </w:rPr>
        <w:t>督查</w:t>
      </w:r>
      <w:r>
        <w:rPr>
          <w:rFonts w:hint="default" w:ascii="Times New Roman" w:hAnsi="Times New Roman" w:eastAsia="仿宋_GB2312" w:cs="Times New Roman"/>
          <w:sz w:val="32"/>
          <w:szCs w:val="32"/>
          <w:lang w:eastAsia="zh-CN"/>
        </w:rPr>
        <w:t>股。共核定行政编制职数7名，科级领导职数4名。</w:t>
      </w:r>
    </w:p>
    <w:p>
      <w:pPr>
        <w:pageBreakBefore w:val="0"/>
        <w:widowControl w:val="0"/>
        <w:kinsoku/>
        <w:wordWrap/>
        <w:overflowPunct/>
        <w:topLinePunct w:val="0"/>
        <w:bidi w:val="0"/>
        <w:ind w:firstLine="640" w:firstLineChars="200"/>
        <w:jc w:val="left"/>
        <w:textAlignment w:val="auto"/>
        <w:rPr>
          <w:rFonts w:ascii="仿宋" w:hAnsi="仿宋" w:eastAsia="仿宋"/>
          <w:kern w:val="0"/>
          <w:sz w:val="32"/>
          <w:szCs w:val="32"/>
        </w:rPr>
      </w:pPr>
      <w:r>
        <w:rPr>
          <w:rFonts w:hint="default" w:ascii="Times New Roman" w:hAnsi="Times New Roman" w:eastAsia="仿宋_GB2312" w:cs="Times New Roman"/>
          <w:sz w:val="32"/>
          <w:szCs w:val="32"/>
          <w:lang w:eastAsia="zh-CN"/>
        </w:rPr>
        <w:t>纳入</w:t>
      </w:r>
      <w:r>
        <w:rPr>
          <w:rFonts w:hint="eastAsia" w:eastAsia="仿宋_GB2312" w:cs="Times New Roman"/>
          <w:sz w:val="32"/>
          <w:szCs w:val="32"/>
          <w:lang w:eastAsia="zh-CN"/>
        </w:rPr>
        <w:t>西区</w:t>
      </w:r>
      <w:r>
        <w:rPr>
          <w:rFonts w:hint="default" w:ascii="Times New Roman" w:hAnsi="Times New Roman" w:eastAsia="仿宋_GB2312" w:cs="Times New Roman"/>
          <w:sz w:val="32"/>
          <w:szCs w:val="32"/>
          <w:lang w:eastAsia="zh-CN"/>
        </w:rPr>
        <w:t>生态环境局2022年度部门决算编制范围的独立编制机构包括：1.攀枝花市</w:t>
      </w:r>
      <w:r>
        <w:rPr>
          <w:rFonts w:hint="eastAsia" w:eastAsia="仿宋_GB2312" w:cs="Times New Roman"/>
          <w:sz w:val="32"/>
          <w:szCs w:val="32"/>
          <w:lang w:eastAsia="zh-CN"/>
        </w:rPr>
        <w:t>西区</w:t>
      </w:r>
      <w:r>
        <w:rPr>
          <w:rFonts w:hint="default" w:ascii="Times New Roman" w:hAnsi="Times New Roman" w:eastAsia="仿宋_GB2312" w:cs="Times New Roman"/>
          <w:sz w:val="32"/>
          <w:szCs w:val="32"/>
          <w:lang w:eastAsia="zh-CN"/>
        </w:rPr>
        <w:t>生态环境局；2.攀枝花市生态环境保护综合行政执法支队</w:t>
      </w:r>
      <w:r>
        <w:rPr>
          <w:rFonts w:hint="eastAsia" w:eastAsia="仿宋_GB2312" w:cs="Times New Roman"/>
          <w:sz w:val="32"/>
          <w:szCs w:val="32"/>
          <w:lang w:eastAsia="zh-CN"/>
        </w:rPr>
        <w:t>西区</w:t>
      </w:r>
      <w:r>
        <w:rPr>
          <w:rFonts w:hint="default" w:ascii="Times New Roman" w:hAnsi="Times New Roman" w:eastAsia="仿宋_GB2312" w:cs="Times New Roman"/>
          <w:sz w:val="32"/>
          <w:szCs w:val="32"/>
          <w:lang w:eastAsia="zh-CN"/>
        </w:rPr>
        <w:t>大队。</w:t>
      </w:r>
      <w:r>
        <w:rPr>
          <w:rFonts w:ascii="仿宋" w:hAnsi="仿宋" w:eastAsia="仿宋"/>
          <w:sz w:val="32"/>
          <w:szCs w:val="32"/>
        </w:rPr>
        <w:br w:type="page"/>
      </w:r>
    </w:p>
    <w:p>
      <w:pPr>
        <w:pStyle w:val="3"/>
        <w:pageBreakBefore w:val="0"/>
        <w:widowControl w:val="0"/>
        <w:kinsoku/>
        <w:wordWrap/>
        <w:overflowPunct/>
        <w:topLinePunct w:val="0"/>
        <w:bidi w:val="0"/>
        <w:ind w:right="440"/>
        <w:jc w:val="center"/>
        <w:textAlignment w:val="auto"/>
        <w:rPr>
          <w:rStyle w:val="25"/>
          <w:rFonts w:ascii="黑体" w:hAnsi="黑体" w:eastAsia="黑体"/>
          <w:b w:val="0"/>
          <w:bCs/>
        </w:rPr>
      </w:pPr>
      <w:bookmarkStart w:id="16" w:name="_Toc15396602"/>
      <w:bookmarkStart w:id="17" w:name="_Toc15377204"/>
      <w:r>
        <w:rPr>
          <w:rFonts w:hint="eastAsia" w:ascii="黑体" w:hAnsi="黑体" w:eastAsia="黑体"/>
          <w:b w:val="0"/>
        </w:rPr>
        <w:t>第二部分 2022年度</w:t>
      </w:r>
      <w:r>
        <w:rPr>
          <w:rStyle w:val="25"/>
          <w:rFonts w:hint="eastAsia" w:ascii="黑体" w:hAnsi="黑体" w:eastAsia="黑体"/>
          <w:b w:val="0"/>
          <w:bCs/>
        </w:rPr>
        <w:t>单位决算情况说明</w:t>
      </w:r>
      <w:bookmarkEnd w:id="16"/>
      <w:bookmarkEnd w:id="17"/>
    </w:p>
    <w:p>
      <w:pPr>
        <w:pageBreakBefore w:val="0"/>
        <w:widowControl w:val="0"/>
        <w:kinsoku/>
        <w:wordWrap/>
        <w:overflowPunct/>
        <w:topLinePunct w:val="0"/>
        <w:bidi w:val="0"/>
        <w:textAlignment w:val="auto"/>
      </w:pPr>
    </w:p>
    <w:p>
      <w:pPr>
        <w:pStyle w:val="24"/>
        <w:pageBreakBefore w:val="0"/>
        <w:widowControl w:val="0"/>
        <w:numPr>
          <w:ilvl w:val="0"/>
          <w:numId w:val="1"/>
        </w:numPr>
        <w:kinsoku/>
        <w:wordWrap/>
        <w:overflowPunct/>
        <w:topLinePunct w:val="0"/>
        <w:bidi w:val="0"/>
        <w:spacing w:line="600" w:lineRule="exact"/>
        <w:ind w:firstLineChars="0"/>
        <w:textAlignment w:val="auto"/>
        <w:outlineLvl w:val="1"/>
        <w:rPr>
          <w:rStyle w:val="26"/>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6"/>
          <w:rFonts w:hint="eastAsia" w:ascii="黑体" w:hAnsi="黑体" w:eastAsia="黑体"/>
          <w:b w:val="0"/>
        </w:rPr>
        <w:t>入支出决算总体情况说明</w:t>
      </w:r>
      <w:bookmarkEnd w:id="18"/>
      <w:bookmarkEnd w:id="19"/>
    </w:p>
    <w:p>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2022年度</w:t>
      </w:r>
      <w:r>
        <w:rPr>
          <w:rFonts w:hint="default" w:ascii="Times New Roman" w:hAnsi="Times New Roman" w:eastAsia="仿宋_GB2312" w:cs="Times New Roman"/>
          <w:sz w:val="32"/>
          <w:szCs w:val="32"/>
          <w:lang w:eastAsia="zh-CN"/>
        </w:rPr>
        <w:t>收入总计</w:t>
      </w:r>
      <w:r>
        <w:rPr>
          <w:rFonts w:hint="default" w:ascii="Times New Roman" w:hAnsi="Times New Roman" w:eastAsia="仿宋_GB2312" w:cs="Times New Roman"/>
          <w:sz w:val="32"/>
          <w:szCs w:val="32"/>
          <w:lang w:val="en-US" w:eastAsia="zh-CN"/>
        </w:rPr>
        <w:t>893.50万元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支出</w:t>
      </w:r>
      <w:r>
        <w:rPr>
          <w:rFonts w:hint="default" w:ascii="Times New Roman" w:hAnsi="Times New Roman" w:eastAsia="仿宋_GB2312" w:cs="Times New Roman"/>
          <w:sz w:val="32"/>
          <w:szCs w:val="32"/>
        </w:rPr>
        <w:t>总计</w:t>
      </w:r>
      <w:r>
        <w:rPr>
          <w:rFonts w:hint="default" w:ascii="Times New Roman" w:hAnsi="Times New Roman" w:eastAsia="仿宋_GB2312" w:cs="Times New Roman"/>
          <w:sz w:val="32"/>
          <w:szCs w:val="32"/>
          <w:lang w:val="en-US" w:eastAsia="zh-CN"/>
        </w:rPr>
        <w:t>1042.42</w:t>
      </w:r>
      <w:r>
        <w:rPr>
          <w:rFonts w:hint="default" w:ascii="Times New Roman" w:hAnsi="Times New Roman" w:eastAsia="仿宋_GB2312" w:cs="Times New Roman"/>
          <w:sz w:val="32"/>
          <w:szCs w:val="32"/>
        </w:rPr>
        <w:t>万元。与2021年相比，</w:t>
      </w:r>
      <w:r>
        <w:rPr>
          <w:rFonts w:hint="default" w:ascii="Times New Roman" w:hAnsi="Times New Roman" w:eastAsia="仿宋_GB2312" w:cs="Times New Roman"/>
          <w:sz w:val="32"/>
          <w:szCs w:val="32"/>
          <w:lang w:eastAsia="zh-CN"/>
        </w:rPr>
        <w:t>收入增加</w:t>
      </w:r>
      <w:r>
        <w:rPr>
          <w:rFonts w:hint="default" w:ascii="Times New Roman" w:hAnsi="Times New Roman" w:eastAsia="仿宋_GB2312" w:cs="Times New Roman"/>
          <w:sz w:val="32"/>
          <w:szCs w:val="32"/>
          <w:lang w:val="en-US" w:eastAsia="zh-CN"/>
        </w:rPr>
        <w:t>157.82万元，支出增加137.34万元，收入增加21.45%，支出增加15.17%。主要变动原因是2022年度环保类项目增加。</w:t>
      </w:r>
    </w:p>
    <w:p>
      <w:pPr>
        <w:pageBreakBefore w:val="0"/>
        <w:widowControl w:val="0"/>
        <w:kinsoku/>
        <w:wordWrap/>
        <w:overflowPunct/>
        <w:topLinePunct w:val="0"/>
        <w:bidi w:val="0"/>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drawing>
          <wp:anchor distT="0" distB="0" distL="114300" distR="114300" simplePos="0" relativeHeight="251658240" behindDoc="0" locked="0" layoutInCell="1" allowOverlap="1">
            <wp:simplePos x="0" y="0"/>
            <wp:positionH relativeFrom="column">
              <wp:posOffset>280670</wp:posOffset>
            </wp:positionH>
            <wp:positionV relativeFrom="paragraph">
              <wp:posOffset>139700</wp:posOffset>
            </wp:positionV>
            <wp:extent cx="4737100" cy="2514600"/>
            <wp:effectExtent l="4445" t="4445" r="20955" b="1460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pageBreakBefore w:val="0"/>
        <w:widowControl w:val="0"/>
        <w:kinsoku/>
        <w:wordWrap/>
        <w:overflowPunct/>
        <w:topLinePunct w:val="0"/>
        <w:bidi w:val="0"/>
        <w:textAlignment w:val="auto"/>
        <w:rPr>
          <w:rFonts w:hint="eastAsia" w:ascii="仿宋_GB2312" w:eastAsia="仿宋_GB2312"/>
          <w:sz w:val="32"/>
          <w:szCs w:val="32"/>
          <w:lang w:eastAsia="zh-CN"/>
        </w:rPr>
      </w:pPr>
    </w:p>
    <w:p>
      <w:pPr>
        <w:pStyle w:val="2"/>
        <w:pageBreakBefore w:val="0"/>
        <w:widowControl w:val="0"/>
        <w:kinsoku/>
        <w:wordWrap/>
        <w:overflowPunct/>
        <w:topLinePunct w:val="0"/>
        <w:bidi w:val="0"/>
        <w:textAlignment w:val="auto"/>
        <w:rPr>
          <w:rFonts w:hint="eastAsia" w:ascii="仿宋_GB2312" w:eastAsia="仿宋_GB2312"/>
          <w:sz w:val="32"/>
          <w:szCs w:val="32"/>
          <w:lang w:eastAsia="zh-CN"/>
        </w:rPr>
      </w:pPr>
    </w:p>
    <w:p>
      <w:pPr>
        <w:pStyle w:val="2"/>
        <w:pageBreakBefore w:val="0"/>
        <w:widowControl w:val="0"/>
        <w:kinsoku/>
        <w:wordWrap/>
        <w:overflowPunct/>
        <w:topLinePunct w:val="0"/>
        <w:bidi w:val="0"/>
        <w:textAlignment w:val="auto"/>
        <w:rPr>
          <w:rFonts w:hint="eastAsia" w:ascii="仿宋_GB2312" w:eastAsia="仿宋_GB2312"/>
          <w:sz w:val="32"/>
          <w:szCs w:val="32"/>
          <w:lang w:eastAsia="zh-CN"/>
        </w:rPr>
      </w:pPr>
    </w:p>
    <w:p>
      <w:pPr>
        <w:pStyle w:val="2"/>
        <w:pageBreakBefore w:val="0"/>
        <w:widowControl w:val="0"/>
        <w:kinsoku/>
        <w:wordWrap/>
        <w:overflowPunct/>
        <w:topLinePunct w:val="0"/>
        <w:bidi w:val="0"/>
        <w:ind w:firstLine="640" w:firstLineChars="200"/>
        <w:textAlignment w:val="auto"/>
        <w:rPr>
          <w:rFonts w:hint="eastAsia" w:ascii="仿宋_GB2312" w:eastAsia="仿宋_GB2312"/>
          <w:sz w:val="32"/>
          <w:szCs w:val="32"/>
          <w:lang w:eastAsia="zh-CN"/>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r>
        <w:rPr>
          <w:rFonts w:hint="eastAsia" w:ascii="仿宋" w:hAnsi="仿宋" w:eastAsia="仿宋"/>
          <w:sz w:val="32"/>
          <w:szCs w:val="32"/>
          <w:lang w:val="en-US" w:eastAsia="zh-CN"/>
        </w:rPr>
        <w:t xml:space="preserve">  单位：万元</w:t>
      </w:r>
      <w:r>
        <w:rPr>
          <w:rFonts w:hint="eastAsia" w:ascii="仿宋" w:hAnsi="仿宋" w:eastAsia="仿宋"/>
          <w:sz w:val="32"/>
          <w:szCs w:val="32"/>
        </w:rPr>
        <w:t>）</w:t>
      </w:r>
    </w:p>
    <w:p>
      <w:pPr>
        <w:pStyle w:val="24"/>
        <w:pageBreakBefore w:val="0"/>
        <w:widowControl w:val="0"/>
        <w:numPr>
          <w:ilvl w:val="0"/>
          <w:numId w:val="1"/>
        </w:numPr>
        <w:kinsoku/>
        <w:wordWrap/>
        <w:overflowPunct/>
        <w:topLinePunct w:val="0"/>
        <w:bidi w:val="0"/>
        <w:spacing w:line="600" w:lineRule="exact"/>
        <w:ind w:firstLineChars="0"/>
        <w:textAlignment w:val="auto"/>
        <w:outlineLvl w:val="1"/>
        <w:rPr>
          <w:rStyle w:val="26"/>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6"/>
          <w:rFonts w:hint="eastAsia" w:ascii="黑体" w:hAnsi="黑体" w:eastAsia="黑体"/>
          <w:b w:val="0"/>
        </w:rPr>
        <w:t>入决算情况说明</w:t>
      </w:r>
      <w:bookmarkEnd w:id="20"/>
      <w:bookmarkEnd w:id="21"/>
    </w:p>
    <w:p>
      <w:pPr>
        <w:pageBreakBefore w:val="0"/>
        <w:widowControl w:val="0"/>
        <w:kinsoku/>
        <w:wordWrap/>
        <w:overflowPunct/>
        <w:topLinePunct w:val="0"/>
        <w:bidi w:val="0"/>
        <w:spacing w:line="60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2022年本年收入合计</w:t>
      </w:r>
      <w:r>
        <w:rPr>
          <w:rFonts w:hint="default" w:ascii="Times New Roman" w:hAnsi="Times New Roman" w:eastAsia="仿宋_GB2312" w:cs="Times New Roman"/>
          <w:sz w:val="32"/>
          <w:szCs w:val="32"/>
          <w:lang w:val="en-US" w:eastAsia="zh-CN"/>
        </w:rPr>
        <w:t>893.50</w:t>
      </w:r>
      <w:r>
        <w:rPr>
          <w:rFonts w:hint="default" w:ascii="Times New Roman" w:hAnsi="Times New Roman" w:eastAsia="仿宋_GB2312" w:cs="Times New Roman"/>
          <w:sz w:val="32"/>
          <w:szCs w:val="32"/>
        </w:rPr>
        <w:t>万元，其中：一般公共预算财政拨款收入</w:t>
      </w:r>
      <w:r>
        <w:rPr>
          <w:rFonts w:hint="default" w:ascii="Times New Roman" w:hAnsi="Times New Roman" w:eastAsia="仿宋_GB2312" w:cs="Times New Roman"/>
          <w:sz w:val="32"/>
          <w:szCs w:val="32"/>
          <w:lang w:val="en-US" w:eastAsia="zh-CN"/>
        </w:rPr>
        <w:t>343.34</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38.43</w:t>
      </w:r>
      <w:r>
        <w:rPr>
          <w:rFonts w:hint="default" w:ascii="Times New Roman" w:hAnsi="Times New Roman" w:eastAsia="仿宋_GB2312" w:cs="Times New Roman"/>
          <w:sz w:val="32"/>
          <w:szCs w:val="32"/>
        </w:rPr>
        <w:t>%；政府性基金预算财政拨款收入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%；国有资本经营预算财政拨款收入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%；上级补助收入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%；事业收入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%；经营收入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%；附属单位上缴收入</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%；其他收入</w:t>
      </w:r>
      <w:r>
        <w:rPr>
          <w:rFonts w:hint="default" w:ascii="Times New Roman" w:hAnsi="Times New Roman" w:eastAsia="仿宋_GB2312" w:cs="Times New Roman"/>
          <w:sz w:val="32"/>
          <w:szCs w:val="32"/>
          <w:lang w:val="en-US" w:eastAsia="zh-CN"/>
        </w:rPr>
        <w:t>550.16</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61.57</w:t>
      </w:r>
      <w:r>
        <w:rPr>
          <w:rFonts w:hint="default" w:ascii="Times New Roman" w:hAnsi="Times New Roman" w:eastAsia="仿宋_GB2312" w:cs="Times New Roman"/>
          <w:sz w:val="32"/>
          <w:szCs w:val="32"/>
        </w:rPr>
        <w:t>%。</w:t>
      </w:r>
    </w:p>
    <w:p>
      <w:pPr>
        <w:pStyle w:val="2"/>
        <w:rPr>
          <w:rFonts w:hint="eastAsia" w:ascii="仿宋" w:hAnsi="仿宋" w:eastAsia="仿宋"/>
          <w:sz w:val="32"/>
          <w:szCs w:val="32"/>
        </w:rPr>
      </w:pPr>
      <w:r>
        <w:rPr>
          <w:rFonts w:hint="eastAsia" w:ascii="仿宋_GB2312" w:eastAsia="仿宋_GB2312"/>
          <w:sz w:val="32"/>
          <w:szCs w:val="32"/>
          <w:lang w:eastAsia="zh-CN"/>
        </w:rPr>
        <w:drawing>
          <wp:anchor distT="0" distB="0" distL="114300" distR="114300" simplePos="0" relativeHeight="251659264" behindDoc="0" locked="0" layoutInCell="1" allowOverlap="1">
            <wp:simplePos x="0" y="0"/>
            <wp:positionH relativeFrom="column">
              <wp:posOffset>499745</wp:posOffset>
            </wp:positionH>
            <wp:positionV relativeFrom="paragraph">
              <wp:posOffset>139700</wp:posOffset>
            </wp:positionV>
            <wp:extent cx="4557395" cy="2449195"/>
            <wp:effectExtent l="4445" t="4445" r="10160" b="22860"/>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ageBreakBefore w:val="0"/>
        <w:widowControl w:val="0"/>
        <w:kinsoku/>
        <w:wordWrap/>
        <w:overflowPunct/>
        <w:topLinePunct w:val="0"/>
        <w:bidi w:val="0"/>
        <w:spacing w:line="600" w:lineRule="exact"/>
        <w:ind w:firstLine="1600" w:firstLineChars="500"/>
        <w:textAlignment w:val="auto"/>
        <w:rPr>
          <w:rFonts w:hint="eastAsia" w:ascii="仿宋" w:hAnsi="仿宋" w:eastAsia="仿宋"/>
          <w:sz w:val="32"/>
          <w:szCs w:val="32"/>
        </w:rPr>
      </w:pPr>
      <w:r>
        <w:rPr>
          <w:rFonts w:hint="eastAsia" w:ascii="仿宋" w:hAnsi="仿宋" w:eastAsia="仿宋"/>
          <w:sz w:val="32"/>
          <w:szCs w:val="32"/>
        </w:rPr>
        <w:t>（图2：收入决算结构图</w:t>
      </w:r>
      <w:r>
        <w:rPr>
          <w:rFonts w:hint="eastAsia" w:ascii="仿宋" w:hAnsi="仿宋" w:eastAsia="仿宋"/>
          <w:sz w:val="32"/>
          <w:szCs w:val="32"/>
          <w:lang w:val="en-US" w:eastAsia="zh-CN"/>
        </w:rPr>
        <w:t xml:space="preserve">  单位：万元</w:t>
      </w:r>
      <w:r>
        <w:rPr>
          <w:rFonts w:hint="eastAsia" w:ascii="仿宋" w:hAnsi="仿宋" w:eastAsia="仿宋"/>
          <w:sz w:val="32"/>
          <w:szCs w:val="32"/>
        </w:rPr>
        <w:t>）</w:t>
      </w:r>
    </w:p>
    <w:p>
      <w:pPr>
        <w:pStyle w:val="24"/>
        <w:pageBreakBefore w:val="0"/>
        <w:widowControl w:val="0"/>
        <w:numPr>
          <w:ilvl w:val="0"/>
          <w:numId w:val="0"/>
        </w:numPr>
        <w:kinsoku/>
        <w:wordWrap/>
        <w:overflowPunct/>
        <w:topLinePunct w:val="0"/>
        <w:bidi w:val="0"/>
        <w:spacing w:line="600" w:lineRule="exact"/>
        <w:ind w:left="640" w:leftChars="0"/>
        <w:textAlignment w:val="auto"/>
        <w:outlineLvl w:val="1"/>
        <w:rPr>
          <w:rStyle w:val="26"/>
          <w:rFonts w:ascii="黑体" w:hAnsi="黑体" w:eastAsia="黑体"/>
          <w:b w:val="0"/>
        </w:rPr>
      </w:pPr>
      <w:bookmarkStart w:id="22" w:name="_Toc15396605"/>
      <w:bookmarkStart w:id="23" w:name="_Toc15377207"/>
      <w:r>
        <w:rPr>
          <w:rFonts w:hint="eastAsia" w:ascii="黑体" w:hAnsi="黑体" w:eastAsia="黑体"/>
          <w:sz w:val="32"/>
          <w:szCs w:val="32"/>
          <w:lang w:eastAsia="zh-CN"/>
        </w:rPr>
        <w:t>三、</w:t>
      </w:r>
      <w:r>
        <w:rPr>
          <w:rFonts w:hint="eastAsia" w:ascii="黑体" w:hAnsi="黑体" w:eastAsia="黑体"/>
          <w:sz w:val="32"/>
          <w:szCs w:val="32"/>
        </w:rPr>
        <w:t>支</w:t>
      </w:r>
      <w:r>
        <w:rPr>
          <w:rStyle w:val="26"/>
          <w:rFonts w:hint="eastAsia" w:ascii="黑体" w:hAnsi="黑体" w:eastAsia="黑体"/>
          <w:b w:val="0"/>
        </w:rPr>
        <w:t>出决算情况说明</w:t>
      </w:r>
      <w:bookmarkEnd w:id="22"/>
      <w:bookmarkEnd w:id="23"/>
    </w:p>
    <w:p>
      <w:pPr>
        <w:pageBreakBefore w:val="0"/>
        <w:widowControl w:val="0"/>
        <w:kinsoku/>
        <w:wordWrap/>
        <w:overflowPunct/>
        <w:topLinePunct w:val="0"/>
        <w:bidi w:val="0"/>
        <w:spacing w:line="600" w:lineRule="exact"/>
        <w:ind w:firstLine="640" w:firstLineChars="200"/>
        <w:textAlignment w:val="auto"/>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w:t>
      </w:r>
      <w:r>
        <w:rPr>
          <w:rFonts w:hint="eastAsia" w:ascii="仿宋" w:hAnsi="仿宋" w:eastAsia="仿宋"/>
          <w:sz w:val="32"/>
          <w:szCs w:val="32"/>
          <w:lang w:val="en-US" w:eastAsia="zh-CN"/>
        </w:rPr>
        <w:t>1042.42</w:t>
      </w:r>
      <w:r>
        <w:rPr>
          <w:rFonts w:hint="eastAsia" w:ascii="仿宋" w:hAnsi="仿宋" w:eastAsia="仿宋"/>
          <w:sz w:val="32"/>
          <w:szCs w:val="32"/>
        </w:rPr>
        <w:t>万元，其中：基本支出</w:t>
      </w:r>
      <w:r>
        <w:rPr>
          <w:rFonts w:hint="eastAsia" w:ascii="仿宋" w:hAnsi="仿宋" w:eastAsia="仿宋"/>
          <w:sz w:val="32"/>
          <w:szCs w:val="32"/>
          <w:lang w:val="en-US" w:eastAsia="zh-CN"/>
        </w:rPr>
        <w:t>419.83</w:t>
      </w:r>
      <w:r>
        <w:rPr>
          <w:rFonts w:hint="eastAsia" w:ascii="仿宋" w:hAnsi="仿宋" w:eastAsia="仿宋"/>
          <w:sz w:val="32"/>
          <w:szCs w:val="32"/>
        </w:rPr>
        <w:t>万元，占</w:t>
      </w:r>
      <w:r>
        <w:rPr>
          <w:rFonts w:hint="eastAsia" w:ascii="仿宋" w:hAnsi="仿宋" w:eastAsia="仿宋"/>
          <w:sz w:val="32"/>
          <w:szCs w:val="32"/>
          <w:lang w:val="en-US" w:eastAsia="zh-CN"/>
        </w:rPr>
        <w:t>40.27</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622.59</w:t>
      </w:r>
      <w:r>
        <w:rPr>
          <w:rFonts w:hint="eastAsia" w:ascii="仿宋" w:hAnsi="仿宋" w:eastAsia="仿宋"/>
          <w:sz w:val="32"/>
          <w:szCs w:val="32"/>
        </w:rPr>
        <w:t>万元，占</w:t>
      </w:r>
      <w:r>
        <w:rPr>
          <w:rFonts w:hint="eastAsia" w:ascii="仿宋" w:hAnsi="仿宋" w:eastAsia="仿宋"/>
          <w:sz w:val="32"/>
          <w:szCs w:val="32"/>
          <w:lang w:val="en-US" w:eastAsia="zh-CN"/>
        </w:rPr>
        <w:t>59.73</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pageBreakBefore w:val="0"/>
        <w:widowControl w:val="0"/>
        <w:kinsoku/>
        <w:wordWrap/>
        <w:overflowPunct/>
        <w:topLinePunct w:val="0"/>
        <w:bidi w:val="0"/>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0288" behindDoc="0" locked="0" layoutInCell="1" allowOverlap="1">
            <wp:simplePos x="0" y="0"/>
            <wp:positionH relativeFrom="column">
              <wp:posOffset>433070</wp:posOffset>
            </wp:positionH>
            <wp:positionV relativeFrom="paragraph">
              <wp:posOffset>90805</wp:posOffset>
            </wp:positionV>
            <wp:extent cx="4746625" cy="2266950"/>
            <wp:effectExtent l="4445" t="4445" r="11430" b="1460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ageBreakBefore w:val="0"/>
        <w:widowControl w:val="0"/>
        <w:kinsoku/>
        <w:wordWrap/>
        <w:overflowPunct/>
        <w:topLinePunct w:val="0"/>
        <w:bidi w:val="0"/>
        <w:spacing w:line="600" w:lineRule="exact"/>
        <w:ind w:firstLine="640" w:firstLineChars="200"/>
        <w:textAlignment w:val="auto"/>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ageBreakBefore w:val="0"/>
        <w:widowControl w:val="0"/>
        <w:kinsoku/>
        <w:wordWrap/>
        <w:overflowPunct/>
        <w:topLinePunct w:val="0"/>
        <w:bidi w:val="0"/>
        <w:spacing w:line="600" w:lineRule="exact"/>
        <w:ind w:firstLine="640" w:firstLineChars="200"/>
        <w:textAlignment w:val="auto"/>
        <w:rPr>
          <w:rFonts w:hint="eastAsia" w:ascii="仿宋" w:hAnsi="仿宋" w:eastAsia="仿宋"/>
          <w:sz w:val="32"/>
          <w:szCs w:val="32"/>
        </w:rPr>
      </w:pPr>
    </w:p>
    <w:p>
      <w:pPr>
        <w:pageBreakBefore w:val="0"/>
        <w:widowControl w:val="0"/>
        <w:kinsoku/>
        <w:wordWrap/>
        <w:overflowPunct/>
        <w:topLinePunct w:val="0"/>
        <w:bidi w:val="0"/>
        <w:spacing w:line="600" w:lineRule="exact"/>
        <w:ind w:firstLine="1280" w:firstLineChars="400"/>
        <w:textAlignment w:val="auto"/>
        <w:rPr>
          <w:rFonts w:hint="eastAsia" w:ascii="仿宋" w:hAnsi="仿宋" w:eastAsia="仿宋"/>
          <w:sz w:val="32"/>
          <w:szCs w:val="32"/>
        </w:rPr>
      </w:pPr>
      <w:r>
        <w:rPr>
          <w:rFonts w:hint="eastAsia" w:ascii="仿宋" w:hAnsi="仿宋" w:eastAsia="仿宋"/>
          <w:sz w:val="32"/>
          <w:szCs w:val="32"/>
        </w:rPr>
        <w:t>（图3：支出决算结构图</w:t>
      </w:r>
      <w:r>
        <w:rPr>
          <w:rFonts w:hint="eastAsia" w:ascii="仿宋" w:hAnsi="仿宋" w:eastAsia="仿宋"/>
          <w:sz w:val="32"/>
          <w:szCs w:val="32"/>
          <w:lang w:val="en-US" w:eastAsia="zh-CN"/>
        </w:rPr>
        <w:t xml:space="preserve">  单位：万元</w:t>
      </w:r>
      <w:r>
        <w:rPr>
          <w:rFonts w:hint="eastAsia" w:ascii="仿宋" w:hAnsi="仿宋" w:eastAsia="仿宋"/>
          <w:sz w:val="32"/>
          <w:szCs w:val="32"/>
        </w:rPr>
        <w:t>）</w:t>
      </w:r>
    </w:p>
    <w:p>
      <w:pPr>
        <w:pageBreakBefore w:val="0"/>
        <w:widowControl w:val="0"/>
        <w:kinsoku/>
        <w:wordWrap/>
        <w:overflowPunct/>
        <w:topLinePunct w:val="0"/>
        <w:bidi w:val="0"/>
        <w:spacing w:line="600" w:lineRule="exact"/>
        <w:ind w:firstLine="640" w:firstLineChars="200"/>
        <w:textAlignment w:val="auto"/>
        <w:outlineLvl w:val="1"/>
        <w:rPr>
          <w:rStyle w:val="26"/>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4"/>
      <w:bookmarkEnd w:id="25"/>
    </w:p>
    <w:p>
      <w:pPr>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2022年财政拨款收</w:t>
      </w:r>
      <w:r>
        <w:rPr>
          <w:rFonts w:hint="default" w:ascii="Times New Roman" w:hAnsi="Times New Roman" w:eastAsia="仿宋_GB2312" w:cs="Times New Roman"/>
          <w:sz w:val="32"/>
          <w:szCs w:val="32"/>
          <w:lang w:eastAsia="zh-CN"/>
        </w:rPr>
        <w:t>入</w:t>
      </w:r>
      <w:r>
        <w:rPr>
          <w:rFonts w:hint="default" w:ascii="Times New Roman" w:hAnsi="Times New Roman" w:eastAsia="仿宋_GB2312" w:cs="Times New Roman"/>
          <w:sz w:val="32"/>
          <w:szCs w:val="32"/>
          <w:lang w:val="en-US" w:eastAsia="zh-CN"/>
        </w:rPr>
        <w:t>893.50万元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支出</w:t>
      </w:r>
      <w:r>
        <w:rPr>
          <w:rFonts w:hint="default" w:ascii="Times New Roman" w:hAnsi="Times New Roman" w:eastAsia="仿宋_GB2312" w:cs="Times New Roman"/>
          <w:sz w:val="32"/>
          <w:szCs w:val="32"/>
          <w:lang w:val="en-US" w:eastAsia="zh-CN"/>
        </w:rPr>
        <w:t>1042.42</w:t>
      </w:r>
      <w:r>
        <w:rPr>
          <w:rFonts w:hint="default" w:ascii="Times New Roman" w:hAnsi="Times New Roman" w:eastAsia="仿宋_GB2312" w:cs="Times New Roman"/>
          <w:sz w:val="32"/>
          <w:szCs w:val="32"/>
        </w:rPr>
        <w:t>万元。与2021年相比，财政拨款收</w:t>
      </w:r>
      <w:r>
        <w:rPr>
          <w:rFonts w:hint="default" w:ascii="Times New Roman" w:hAnsi="Times New Roman" w:eastAsia="仿宋_GB2312" w:cs="Times New Roman"/>
          <w:sz w:val="32"/>
          <w:szCs w:val="32"/>
          <w:lang w:eastAsia="zh-CN"/>
        </w:rPr>
        <w:t>入增加</w:t>
      </w:r>
      <w:r>
        <w:rPr>
          <w:rFonts w:hint="default" w:ascii="Times New Roman" w:hAnsi="Times New Roman" w:eastAsia="仿宋_GB2312" w:cs="Times New Roman"/>
          <w:sz w:val="32"/>
          <w:szCs w:val="32"/>
          <w:lang w:val="en-US" w:eastAsia="zh-CN"/>
        </w:rPr>
        <w:t>157.82万元</w:t>
      </w:r>
      <w:r>
        <w:rPr>
          <w:rFonts w:hint="default" w:ascii="Times New Roman" w:hAnsi="Times New Roman" w:eastAsia="仿宋_GB2312" w:cs="Times New Roman"/>
          <w:sz w:val="32"/>
          <w:szCs w:val="32"/>
          <w:lang w:eastAsia="zh-CN"/>
        </w:rPr>
        <w:t>，支出</w:t>
      </w:r>
      <w:r>
        <w:rPr>
          <w:rFonts w:hint="default" w:ascii="Times New Roman" w:hAnsi="Times New Roman" w:eastAsia="仿宋_GB2312" w:cs="Times New Roman"/>
          <w:sz w:val="32"/>
          <w:szCs w:val="32"/>
        </w:rPr>
        <w:t>增加</w:t>
      </w:r>
      <w:r>
        <w:rPr>
          <w:rFonts w:hint="default" w:ascii="Times New Roman" w:hAnsi="Times New Roman" w:eastAsia="仿宋_GB2312" w:cs="Times New Roman"/>
          <w:sz w:val="32"/>
          <w:szCs w:val="32"/>
          <w:lang w:val="en-US" w:eastAsia="zh-CN"/>
        </w:rPr>
        <w:t>137.34</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收入增加</w:t>
      </w:r>
      <w:r>
        <w:rPr>
          <w:rFonts w:hint="default" w:ascii="Times New Roman" w:hAnsi="Times New Roman" w:eastAsia="仿宋_GB2312" w:cs="Times New Roman"/>
          <w:sz w:val="32"/>
          <w:szCs w:val="32"/>
          <w:lang w:val="en-US" w:eastAsia="zh-CN"/>
        </w:rPr>
        <w:t>21.45%，支出增加15.17%</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sz w:val="32"/>
          <w:szCs w:val="32"/>
          <w:lang w:val="en-US" w:eastAsia="zh-CN"/>
        </w:rPr>
        <w:t>2022年环保类项目增加。</w:t>
      </w:r>
    </w:p>
    <w:p>
      <w:pPr>
        <w:pStyle w:val="2"/>
        <w:pageBreakBefore w:val="0"/>
        <w:widowControl w:val="0"/>
        <w:kinsoku/>
        <w:wordWrap/>
        <w:overflowPunct/>
        <w:topLinePunct w:val="0"/>
        <w:bidi w:val="0"/>
        <w:textAlignment w:val="auto"/>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61312" behindDoc="0" locked="0" layoutInCell="1" allowOverlap="1">
            <wp:simplePos x="0" y="0"/>
            <wp:positionH relativeFrom="column">
              <wp:posOffset>394970</wp:posOffset>
            </wp:positionH>
            <wp:positionV relativeFrom="paragraph">
              <wp:posOffset>182880</wp:posOffset>
            </wp:positionV>
            <wp:extent cx="4747895" cy="2629535"/>
            <wp:effectExtent l="4445" t="4445" r="10160" b="13970"/>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2"/>
        <w:pageBreakBefore w:val="0"/>
        <w:widowControl w:val="0"/>
        <w:kinsoku/>
        <w:wordWrap/>
        <w:overflowPunct/>
        <w:topLinePunct w:val="0"/>
        <w:bidi w:val="0"/>
        <w:textAlignment w:val="auto"/>
        <w:rPr>
          <w:rFonts w:hint="eastAsia" w:ascii="仿宋" w:hAnsi="仿宋" w:eastAsia="仿宋"/>
          <w:sz w:val="32"/>
          <w:szCs w:val="32"/>
          <w:lang w:eastAsia="zh-CN"/>
        </w:rPr>
      </w:pPr>
    </w:p>
    <w:p>
      <w:pPr>
        <w:pStyle w:val="2"/>
        <w:pageBreakBefore w:val="0"/>
        <w:widowControl w:val="0"/>
        <w:kinsoku/>
        <w:wordWrap/>
        <w:overflowPunct/>
        <w:topLinePunct w:val="0"/>
        <w:bidi w:val="0"/>
        <w:textAlignment w:val="auto"/>
        <w:rPr>
          <w:rFonts w:hint="eastAsia" w:ascii="仿宋" w:hAnsi="仿宋" w:eastAsia="仿宋"/>
          <w:sz w:val="32"/>
          <w:szCs w:val="32"/>
          <w:lang w:eastAsia="zh-CN"/>
        </w:rPr>
      </w:pPr>
    </w:p>
    <w:p>
      <w:pPr>
        <w:pStyle w:val="2"/>
        <w:pageBreakBefore w:val="0"/>
        <w:widowControl w:val="0"/>
        <w:kinsoku/>
        <w:wordWrap/>
        <w:overflowPunct/>
        <w:topLinePunct w:val="0"/>
        <w:bidi w:val="0"/>
        <w:textAlignment w:val="auto"/>
        <w:rPr>
          <w:rFonts w:hint="eastAsia" w:ascii="仿宋" w:hAnsi="仿宋" w:eastAsia="仿宋"/>
          <w:sz w:val="32"/>
          <w:szCs w:val="32"/>
          <w:lang w:eastAsia="zh-CN"/>
        </w:rPr>
      </w:pPr>
    </w:p>
    <w:p>
      <w:pPr>
        <w:pStyle w:val="2"/>
        <w:pageBreakBefore w:val="0"/>
        <w:widowControl w:val="0"/>
        <w:kinsoku/>
        <w:wordWrap/>
        <w:overflowPunct/>
        <w:topLinePunct w:val="0"/>
        <w:bidi w:val="0"/>
        <w:textAlignment w:val="auto"/>
        <w:rPr>
          <w:rFonts w:hint="eastAsia" w:ascii="仿宋" w:hAnsi="仿宋" w:eastAsia="仿宋"/>
          <w:sz w:val="32"/>
          <w:szCs w:val="32"/>
          <w:lang w:eastAsia="zh-CN"/>
        </w:rPr>
      </w:pPr>
    </w:p>
    <w:p>
      <w:pPr>
        <w:pStyle w:val="2"/>
        <w:pageBreakBefore w:val="0"/>
        <w:widowControl w:val="0"/>
        <w:kinsoku/>
        <w:wordWrap/>
        <w:overflowPunct/>
        <w:topLinePunct w:val="0"/>
        <w:bidi w:val="0"/>
        <w:textAlignment w:val="auto"/>
        <w:rPr>
          <w:rFonts w:hint="eastAsia" w:ascii="仿宋" w:hAnsi="仿宋" w:eastAsia="仿宋"/>
          <w:sz w:val="32"/>
          <w:szCs w:val="32"/>
          <w:lang w:eastAsia="zh-CN"/>
        </w:rPr>
      </w:pPr>
    </w:p>
    <w:p>
      <w:pPr>
        <w:pageBreakBefore w:val="0"/>
        <w:widowControl w:val="0"/>
        <w:kinsoku/>
        <w:wordWrap/>
        <w:overflowPunct/>
        <w:topLinePunct w:val="0"/>
        <w:bidi w:val="0"/>
        <w:spacing w:line="600" w:lineRule="exact"/>
        <w:textAlignment w:val="auto"/>
        <w:rPr>
          <w:rFonts w:hint="eastAsia" w:ascii="仿宋" w:hAnsi="仿宋" w:eastAsia="仿宋"/>
          <w:sz w:val="32"/>
          <w:szCs w:val="32"/>
          <w:lang w:eastAsia="zh-CN"/>
        </w:rPr>
      </w:pPr>
      <w:r>
        <w:rPr>
          <w:rFonts w:hint="eastAsia" w:ascii="仿宋" w:hAnsi="仿宋" w:eastAsia="仿宋"/>
          <w:sz w:val="32"/>
          <w:szCs w:val="32"/>
        </w:rPr>
        <w:t>（图4：财政拨款收、支决算总计变动情况</w:t>
      </w:r>
      <w:r>
        <w:rPr>
          <w:rFonts w:hint="eastAsia" w:ascii="仿宋" w:hAnsi="仿宋" w:eastAsia="仿宋"/>
          <w:sz w:val="32"/>
          <w:szCs w:val="32"/>
          <w:lang w:val="en-US" w:eastAsia="zh-CN"/>
        </w:rPr>
        <w:t xml:space="preserve">  单位：万元</w:t>
      </w:r>
      <w:r>
        <w:rPr>
          <w:rFonts w:hint="eastAsia" w:ascii="仿宋" w:hAnsi="仿宋" w:eastAsia="仿宋"/>
          <w:sz w:val="32"/>
          <w:szCs w:val="32"/>
        </w:rPr>
        <w:t>）</w:t>
      </w:r>
    </w:p>
    <w:p>
      <w:pPr>
        <w:pageBreakBefore w:val="0"/>
        <w:widowControl w:val="0"/>
        <w:kinsoku/>
        <w:wordWrap/>
        <w:overflowPunct/>
        <w:topLinePunct w:val="0"/>
        <w:bidi w:val="0"/>
        <w:spacing w:line="600" w:lineRule="exact"/>
        <w:ind w:firstLine="640" w:firstLineChars="200"/>
        <w:textAlignment w:val="auto"/>
        <w:outlineLvl w:val="1"/>
        <w:rPr>
          <w:rStyle w:val="26"/>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26"/>
      <w:bookmarkEnd w:id="27"/>
    </w:p>
    <w:p>
      <w:pPr>
        <w:pageBreakBefore w:val="0"/>
        <w:widowControl w:val="0"/>
        <w:kinsoku/>
        <w:wordWrap/>
        <w:overflowPunct/>
        <w:topLinePunct w:val="0"/>
        <w:bidi w:val="0"/>
        <w:spacing w:line="600" w:lineRule="exact"/>
        <w:ind w:firstLine="643" w:firstLineChars="200"/>
        <w:textAlignment w:val="auto"/>
        <w:outlineLvl w:val="2"/>
        <w:rPr>
          <w:rFonts w:hint="default" w:ascii="Times New Roman" w:hAnsi="Times New Roman" w:eastAsia="仿宋_GB2312" w:cs="Times New Roman"/>
          <w:b/>
          <w:sz w:val="32"/>
          <w:szCs w:val="32"/>
        </w:rPr>
      </w:pPr>
      <w:bookmarkStart w:id="28" w:name="_Toc15377210"/>
      <w:r>
        <w:rPr>
          <w:rFonts w:hint="default" w:ascii="Times New Roman" w:hAnsi="Times New Roman" w:eastAsia="仿宋_GB2312" w:cs="Times New Roman"/>
          <w:b/>
          <w:sz w:val="32"/>
          <w:szCs w:val="32"/>
        </w:rPr>
        <w:t>（一）一般公共预算财政拨款支出决算总体情况</w:t>
      </w:r>
      <w:bookmarkEnd w:id="28"/>
    </w:p>
    <w:p>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2022年一般公共预算财政拨款支出</w:t>
      </w:r>
      <w:r>
        <w:rPr>
          <w:rFonts w:hint="default" w:ascii="Times New Roman" w:hAnsi="Times New Roman" w:eastAsia="仿宋_GB2312" w:cs="Times New Roman"/>
          <w:sz w:val="32"/>
          <w:szCs w:val="32"/>
          <w:lang w:val="en-US" w:eastAsia="zh-CN"/>
        </w:rPr>
        <w:t>352.71</w:t>
      </w:r>
      <w:r>
        <w:rPr>
          <w:rFonts w:hint="default" w:ascii="Times New Roman" w:hAnsi="Times New Roman" w:eastAsia="仿宋_GB2312" w:cs="Times New Roman"/>
          <w:sz w:val="32"/>
          <w:szCs w:val="32"/>
        </w:rPr>
        <w:t>万元，占本年支出合计的</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%。与2021年相比，一般公共预算财政拨款支出减少</w:t>
      </w:r>
      <w:r>
        <w:rPr>
          <w:rFonts w:hint="default" w:ascii="Times New Roman" w:hAnsi="Times New Roman" w:eastAsia="仿宋_GB2312" w:cs="Times New Roman"/>
          <w:sz w:val="32"/>
          <w:szCs w:val="32"/>
          <w:lang w:val="en-US" w:eastAsia="zh-CN"/>
        </w:rPr>
        <w:t>13.21</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3.61</w:t>
      </w:r>
      <w:r>
        <w:rPr>
          <w:rFonts w:hint="default" w:ascii="Times New Roman" w:hAnsi="Times New Roman" w:eastAsia="仿宋_GB2312" w:cs="Times New Roman"/>
          <w:sz w:val="32"/>
          <w:szCs w:val="32"/>
        </w:rPr>
        <w:t>%。主要变动原因是</w:t>
      </w:r>
      <w:r>
        <w:rPr>
          <w:rFonts w:hint="default" w:ascii="Times New Roman" w:hAnsi="Times New Roman" w:eastAsia="仿宋_GB2312" w:cs="Times New Roman"/>
          <w:sz w:val="32"/>
          <w:szCs w:val="32"/>
          <w:lang w:eastAsia="zh-CN"/>
        </w:rPr>
        <w:t>人员调动减少</w:t>
      </w:r>
      <w:r>
        <w:rPr>
          <w:rFonts w:hint="default" w:ascii="Times New Roman" w:hAnsi="Times New Roman" w:eastAsia="仿宋_GB2312" w:cs="Times New Roman"/>
          <w:sz w:val="32"/>
          <w:szCs w:val="32"/>
          <w:lang w:val="en-US" w:eastAsia="zh-CN"/>
        </w:rPr>
        <w:t>1人</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eastAsia" w:ascii="仿宋" w:hAnsi="仿宋" w:eastAsia="仿宋"/>
          <w:sz w:val="32"/>
          <w:szCs w:val="32"/>
          <w:lang w:eastAsia="zh-CN"/>
        </w:rPr>
        <w:drawing>
          <wp:anchor distT="0" distB="0" distL="114300" distR="114300" simplePos="0" relativeHeight="251662336" behindDoc="0" locked="0" layoutInCell="1" allowOverlap="1">
            <wp:simplePos x="0" y="0"/>
            <wp:positionH relativeFrom="column">
              <wp:posOffset>309245</wp:posOffset>
            </wp:positionH>
            <wp:positionV relativeFrom="paragraph">
              <wp:posOffset>116840</wp:posOffset>
            </wp:positionV>
            <wp:extent cx="4832350" cy="2028825"/>
            <wp:effectExtent l="4445" t="4445" r="20955" b="5080"/>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bidi w:val="0"/>
        <w:spacing w:line="600" w:lineRule="exact"/>
        <w:textAlignment w:val="auto"/>
        <w:rPr>
          <w:rFonts w:hint="default" w:ascii="Times New Roman" w:hAnsi="Times New Roman" w:eastAsia="仿宋_GB2312" w:cs="Times New Roman"/>
          <w:sz w:val="32"/>
          <w:szCs w:val="32"/>
        </w:rPr>
      </w:pPr>
    </w:p>
    <w:p>
      <w:pPr>
        <w:pageBreakBefore w:val="0"/>
        <w:widowControl w:val="0"/>
        <w:kinsoku/>
        <w:wordWrap/>
        <w:overflowPunct/>
        <w:topLinePunct w:val="0"/>
        <w:bidi w:val="0"/>
        <w:spacing w:line="600" w:lineRule="exact"/>
        <w:ind w:firstLine="720" w:firstLineChars="300"/>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（图5：一般公共预算财政拨款支出决算变动情况</w:t>
      </w:r>
      <w:r>
        <w:rPr>
          <w:rFonts w:hint="eastAsia" w:ascii="Times New Roman" w:hAnsi="Times New Roman" w:eastAsia="仿宋_GB2312" w:cs="Times New Roman"/>
          <w:sz w:val="24"/>
          <w:szCs w:val="24"/>
          <w:lang w:val="en-US" w:eastAsia="zh-CN"/>
        </w:rPr>
        <w:t xml:space="preserve"> </w:t>
      </w:r>
      <w:r>
        <w:rPr>
          <w:rFonts w:hint="eastAsia" w:ascii="Times New Roman" w:hAnsi="Times New Roman" w:eastAsia="仿宋_GB2312" w:cs="Times New Roman"/>
          <w:sz w:val="24"/>
          <w:szCs w:val="24"/>
          <w:lang w:eastAsia="zh-CN"/>
        </w:rPr>
        <w:t>单位：万元</w:t>
      </w:r>
      <w:r>
        <w:rPr>
          <w:rFonts w:hint="default" w:ascii="Times New Roman" w:hAnsi="Times New Roman" w:eastAsia="仿宋_GB2312" w:cs="Times New Roman"/>
          <w:sz w:val="24"/>
          <w:szCs w:val="24"/>
        </w:rPr>
        <w:t>）</w:t>
      </w:r>
    </w:p>
    <w:p>
      <w:pPr>
        <w:pageBreakBefore w:val="0"/>
        <w:widowControl w:val="0"/>
        <w:kinsoku/>
        <w:wordWrap/>
        <w:overflowPunct/>
        <w:topLinePunct w:val="0"/>
        <w:bidi w:val="0"/>
        <w:spacing w:line="600" w:lineRule="exact"/>
        <w:ind w:firstLine="643" w:firstLineChars="200"/>
        <w:textAlignment w:val="auto"/>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2022年一般公共预算财政拨款支出</w:t>
      </w:r>
      <w:r>
        <w:rPr>
          <w:rFonts w:hint="default" w:ascii="Times New Roman" w:hAnsi="Times New Roman" w:eastAsia="仿宋_GB2312" w:cs="Times New Roman"/>
          <w:sz w:val="32"/>
          <w:szCs w:val="32"/>
          <w:lang w:val="en-US" w:eastAsia="zh-CN"/>
        </w:rPr>
        <w:t>352.71</w:t>
      </w:r>
      <w:r>
        <w:rPr>
          <w:rFonts w:hint="default" w:ascii="Times New Roman" w:hAnsi="Times New Roman" w:eastAsia="仿宋_GB2312" w:cs="Times New Roman"/>
          <w:sz w:val="32"/>
          <w:szCs w:val="32"/>
        </w:rPr>
        <w:t>万元，主要用于以下方面</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社会保障和就业支出</w:t>
      </w:r>
      <w:r>
        <w:rPr>
          <w:rFonts w:hint="default" w:ascii="Times New Roman" w:hAnsi="Times New Roman" w:eastAsia="仿宋_GB2312" w:cs="Times New Roman"/>
          <w:b w:val="0"/>
          <w:bCs w:val="0"/>
          <w:sz w:val="32"/>
          <w:szCs w:val="32"/>
          <w:lang w:val="en-US" w:eastAsia="zh-CN"/>
        </w:rPr>
        <w:t>22.52</w:t>
      </w:r>
      <w:r>
        <w:rPr>
          <w:rFonts w:hint="default" w:ascii="Times New Roman" w:hAnsi="Times New Roman" w:eastAsia="仿宋_GB2312" w:cs="Times New Roman"/>
          <w:b w:val="0"/>
          <w:bCs w:val="0"/>
          <w:sz w:val="32"/>
          <w:szCs w:val="32"/>
        </w:rPr>
        <w:t>万元，占</w:t>
      </w:r>
      <w:r>
        <w:rPr>
          <w:rFonts w:hint="default" w:ascii="Times New Roman" w:hAnsi="Times New Roman" w:eastAsia="仿宋_GB2312" w:cs="Times New Roman"/>
          <w:b w:val="0"/>
          <w:bCs w:val="0"/>
          <w:sz w:val="32"/>
          <w:szCs w:val="32"/>
          <w:lang w:val="en-US" w:eastAsia="zh-CN"/>
        </w:rPr>
        <w:t>6.38</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eastAsia="zh-CN"/>
        </w:rPr>
        <w:t>节能环保</w:t>
      </w:r>
      <w:r>
        <w:rPr>
          <w:rFonts w:hint="default" w:ascii="Times New Roman" w:hAnsi="Times New Roman" w:eastAsia="仿宋_GB2312" w:cs="Times New Roman"/>
          <w:b w:val="0"/>
          <w:bCs w:val="0"/>
          <w:sz w:val="32"/>
          <w:szCs w:val="32"/>
        </w:rPr>
        <w:t>支出</w:t>
      </w:r>
      <w:r>
        <w:rPr>
          <w:rFonts w:hint="default" w:ascii="Times New Roman" w:hAnsi="Times New Roman" w:eastAsia="仿宋_GB2312" w:cs="Times New Roman"/>
          <w:b w:val="0"/>
          <w:bCs w:val="0"/>
          <w:sz w:val="32"/>
          <w:szCs w:val="32"/>
          <w:lang w:val="en-US" w:eastAsia="zh-CN"/>
        </w:rPr>
        <w:t>299.21</w:t>
      </w:r>
      <w:r>
        <w:rPr>
          <w:rFonts w:hint="default" w:ascii="Times New Roman" w:hAnsi="Times New Roman" w:eastAsia="仿宋_GB2312" w:cs="Times New Roman"/>
          <w:b w:val="0"/>
          <w:bCs w:val="0"/>
          <w:sz w:val="32"/>
          <w:szCs w:val="32"/>
        </w:rPr>
        <w:t>万元，占</w:t>
      </w:r>
      <w:r>
        <w:rPr>
          <w:rFonts w:hint="default" w:ascii="Times New Roman" w:hAnsi="Times New Roman" w:eastAsia="仿宋_GB2312" w:cs="Times New Roman"/>
          <w:b w:val="0"/>
          <w:bCs w:val="0"/>
          <w:sz w:val="32"/>
          <w:szCs w:val="32"/>
          <w:lang w:val="en-US" w:eastAsia="zh-CN"/>
        </w:rPr>
        <w:t>84.83</w:t>
      </w:r>
      <w:r>
        <w:rPr>
          <w:rFonts w:hint="default" w:ascii="Times New Roman" w:hAnsi="Times New Roman" w:eastAsia="仿宋_GB2312" w:cs="Times New Roman"/>
          <w:b w:val="0"/>
          <w:bCs w:val="0"/>
          <w:sz w:val="32"/>
          <w:szCs w:val="32"/>
        </w:rPr>
        <w:t>%；住房保障支出</w:t>
      </w:r>
      <w:r>
        <w:rPr>
          <w:rFonts w:hint="default" w:ascii="Times New Roman" w:hAnsi="Times New Roman" w:eastAsia="仿宋_GB2312" w:cs="Times New Roman"/>
          <w:b w:val="0"/>
          <w:bCs w:val="0"/>
          <w:sz w:val="32"/>
          <w:szCs w:val="32"/>
          <w:lang w:val="en-US" w:eastAsia="zh-CN"/>
        </w:rPr>
        <w:t>30.98</w:t>
      </w:r>
      <w:r>
        <w:rPr>
          <w:rFonts w:hint="default" w:ascii="Times New Roman" w:hAnsi="Times New Roman" w:eastAsia="仿宋_GB2312" w:cs="Times New Roman"/>
          <w:b w:val="0"/>
          <w:bCs w:val="0"/>
          <w:sz w:val="32"/>
          <w:szCs w:val="32"/>
        </w:rPr>
        <w:t>万元，占</w:t>
      </w:r>
      <w:r>
        <w:rPr>
          <w:rFonts w:hint="default" w:ascii="Times New Roman" w:hAnsi="Times New Roman" w:eastAsia="仿宋_GB2312" w:cs="Times New Roman"/>
          <w:b w:val="0"/>
          <w:bCs w:val="0"/>
          <w:sz w:val="32"/>
          <w:szCs w:val="32"/>
          <w:lang w:val="en-US" w:eastAsia="zh-CN"/>
        </w:rPr>
        <w:t>8.78</w:t>
      </w:r>
      <w:r>
        <w:rPr>
          <w:rFonts w:hint="default" w:ascii="Times New Roman" w:hAnsi="Times New Roman" w:eastAsia="仿宋_GB2312" w:cs="Times New Roman"/>
          <w:b w:val="0"/>
          <w:bCs w:val="0"/>
          <w:sz w:val="32"/>
          <w:szCs w:val="32"/>
        </w:rPr>
        <w:t>%。</w:t>
      </w:r>
    </w:p>
    <w:p>
      <w:pPr>
        <w:pStyle w:val="2"/>
        <w:pageBreakBefore w:val="0"/>
        <w:widowControl w:val="0"/>
        <w:kinsoku/>
        <w:wordWrap/>
        <w:overflowPunct/>
        <w:topLinePunct w:val="0"/>
        <w:bidi w:val="0"/>
        <w:textAlignment w:val="auto"/>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63360" behindDoc="0" locked="0" layoutInCell="1" allowOverlap="1">
            <wp:simplePos x="0" y="0"/>
            <wp:positionH relativeFrom="column">
              <wp:posOffset>356870</wp:posOffset>
            </wp:positionH>
            <wp:positionV relativeFrom="paragraph">
              <wp:posOffset>104140</wp:posOffset>
            </wp:positionV>
            <wp:extent cx="4899660" cy="2477135"/>
            <wp:effectExtent l="4445" t="4445" r="10795" b="13970"/>
            <wp:wrapNone/>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ageBreakBefore w:val="0"/>
        <w:widowControl w:val="0"/>
        <w:numPr>
          <w:ilvl w:val="0"/>
          <w:numId w:val="2"/>
        </w:numPr>
        <w:kinsoku/>
        <w:wordWrap/>
        <w:overflowPunct/>
        <w:topLinePunct w:val="0"/>
        <w:bidi w:val="0"/>
        <w:spacing w:line="600" w:lineRule="exact"/>
        <w:ind w:firstLine="643" w:firstLineChars="200"/>
        <w:textAlignment w:val="auto"/>
        <w:outlineLvl w:val="2"/>
        <w:rPr>
          <w:rFonts w:hint="eastAsia" w:ascii="仿宋" w:hAnsi="仿宋" w:eastAsia="仿宋"/>
          <w:b/>
          <w:sz w:val="32"/>
          <w:szCs w:val="32"/>
        </w:rPr>
      </w:pPr>
      <w:bookmarkStart w:id="30" w:name="_Toc15377212"/>
      <w:r>
        <w:rPr>
          <w:rFonts w:hint="eastAsia" w:ascii="仿宋" w:hAnsi="仿宋" w:eastAsia="仿宋"/>
          <w:b/>
          <w:sz w:val="32"/>
          <w:szCs w:val="32"/>
        </w:rPr>
        <w:t>一般公共预算财政拨款支出决算具体情况</w:t>
      </w:r>
      <w:bookmarkEnd w:id="30"/>
    </w:p>
    <w:p>
      <w:pPr>
        <w:pStyle w:val="2"/>
        <w:widowControl w:val="0"/>
        <w:numPr>
          <w:ilvl w:val="0"/>
          <w:numId w:val="0"/>
        </w:numPr>
        <w:spacing w:beforeLines="30"/>
        <w:jc w:val="both"/>
      </w:pPr>
    </w:p>
    <w:p>
      <w:pPr>
        <w:pStyle w:val="2"/>
        <w:widowControl w:val="0"/>
        <w:numPr>
          <w:ilvl w:val="0"/>
          <w:numId w:val="0"/>
        </w:numPr>
        <w:spacing w:beforeLines="30"/>
        <w:jc w:val="both"/>
      </w:pPr>
    </w:p>
    <w:p>
      <w:pPr>
        <w:pStyle w:val="2"/>
        <w:widowControl w:val="0"/>
        <w:numPr>
          <w:ilvl w:val="0"/>
          <w:numId w:val="0"/>
        </w:numPr>
        <w:spacing w:beforeLines="30"/>
        <w:jc w:val="both"/>
      </w:pPr>
    </w:p>
    <w:p>
      <w:pPr>
        <w:pStyle w:val="2"/>
        <w:widowControl w:val="0"/>
        <w:numPr>
          <w:ilvl w:val="0"/>
          <w:numId w:val="0"/>
        </w:numPr>
        <w:spacing w:beforeLines="30"/>
        <w:jc w:val="both"/>
      </w:pPr>
    </w:p>
    <w:p>
      <w:pPr>
        <w:pageBreakBefore w:val="0"/>
        <w:widowControl w:val="0"/>
        <w:kinsoku/>
        <w:wordWrap/>
        <w:overflowPunct/>
        <w:topLinePunct w:val="0"/>
        <w:bidi w:val="0"/>
        <w:spacing w:line="600" w:lineRule="exact"/>
        <w:textAlignment w:val="auto"/>
        <w:rPr>
          <w:rFonts w:ascii="仿宋" w:hAnsi="仿宋" w:eastAsia="仿宋"/>
          <w:sz w:val="32"/>
          <w:szCs w:val="32"/>
        </w:rPr>
      </w:pPr>
      <w:r>
        <w:rPr>
          <w:rFonts w:hint="eastAsia" w:ascii="仿宋" w:hAnsi="仿宋" w:eastAsia="仿宋"/>
          <w:sz w:val="32"/>
          <w:szCs w:val="32"/>
        </w:rPr>
        <w:t>（图6：一般公共预算财政拨款支出决算结构</w:t>
      </w:r>
      <w:r>
        <w:rPr>
          <w:rFonts w:hint="eastAsia" w:ascii="仿宋" w:hAnsi="仿宋" w:eastAsia="仿宋"/>
          <w:sz w:val="32"/>
          <w:szCs w:val="32"/>
          <w:lang w:eastAsia="zh-CN"/>
        </w:rPr>
        <w:t>单位：万元</w:t>
      </w:r>
      <w:r>
        <w:rPr>
          <w:rFonts w:hint="eastAsia" w:ascii="仿宋" w:hAnsi="仿宋" w:eastAsia="仿宋"/>
          <w:sz w:val="32"/>
          <w:szCs w:val="32"/>
        </w:rPr>
        <w:t>）</w:t>
      </w:r>
    </w:p>
    <w:p>
      <w:pPr>
        <w:pageBreakBefore w:val="0"/>
        <w:widowControl w:val="0"/>
        <w:kinsoku/>
        <w:wordWrap/>
        <w:overflowPunct/>
        <w:topLinePunct w:val="0"/>
        <w:bidi w:val="0"/>
        <w:spacing w:line="600" w:lineRule="exact"/>
        <w:ind w:firstLine="643" w:firstLineChars="200"/>
        <w:textAlignment w:val="auto"/>
        <w:outlineLvl w:val="2"/>
        <w:rPr>
          <w:rFonts w:hint="default" w:ascii="Times New Roman" w:hAnsi="Times New Roman" w:eastAsia="仿宋_GB2312" w:cs="Times New Roman"/>
          <w:sz w:val="32"/>
          <w:szCs w:val="32"/>
        </w:rPr>
      </w:pPr>
      <w:bookmarkStart w:id="31" w:name="_Toc15378460"/>
      <w:bookmarkStart w:id="32" w:name="_Toc15377213"/>
      <w:bookmarkStart w:id="33" w:name="_Toc15377444"/>
      <w:r>
        <w:rPr>
          <w:rFonts w:hint="default" w:ascii="Times New Roman" w:hAnsi="Times New Roman" w:eastAsia="仿宋_GB2312" w:cs="Times New Roman"/>
          <w:b/>
          <w:sz w:val="32"/>
          <w:szCs w:val="32"/>
        </w:rPr>
        <w:t>2022年一般公共预算支出决算数为</w:t>
      </w:r>
      <w:r>
        <w:rPr>
          <w:rFonts w:hint="default" w:ascii="Times New Roman" w:hAnsi="Times New Roman" w:eastAsia="仿宋_GB2312" w:cs="Times New Roman"/>
          <w:b/>
          <w:sz w:val="32"/>
          <w:szCs w:val="32"/>
          <w:lang w:val="en-US" w:eastAsia="zh-CN"/>
        </w:rPr>
        <w:t>352.71万元</w:t>
      </w:r>
      <w:r>
        <w:rPr>
          <w:rFonts w:hint="default" w:ascii="Times New Roman" w:hAnsi="Times New Roman" w:eastAsia="仿宋_GB2312" w:cs="Times New Roman"/>
          <w:sz w:val="32"/>
          <w:szCs w:val="32"/>
        </w:rPr>
        <w:t>，</w:t>
      </w:r>
      <w:r>
        <w:rPr>
          <w:rStyle w:val="15"/>
          <w:rFonts w:hint="default" w:ascii="Times New Roman" w:hAnsi="Times New Roman" w:eastAsia="仿宋_GB2312" w:cs="Times New Roman"/>
          <w:bCs/>
          <w:sz w:val="32"/>
          <w:szCs w:val="32"/>
        </w:rPr>
        <w:t>完成预算</w:t>
      </w:r>
      <w:r>
        <w:rPr>
          <w:rStyle w:val="15"/>
          <w:rFonts w:hint="default" w:ascii="Times New Roman" w:hAnsi="Times New Roman" w:eastAsia="仿宋_GB2312" w:cs="Times New Roman"/>
          <w:bCs/>
          <w:sz w:val="32"/>
          <w:szCs w:val="32"/>
          <w:lang w:val="en-US" w:eastAsia="zh-CN"/>
        </w:rPr>
        <w:t>100</w:t>
      </w:r>
      <w:r>
        <w:rPr>
          <w:rStyle w:val="15"/>
          <w:rFonts w:hint="default" w:ascii="Times New Roman" w:hAnsi="Times New Roman" w:eastAsia="仿宋_GB2312" w:cs="Times New Roman"/>
          <w:bCs/>
          <w:sz w:val="32"/>
          <w:szCs w:val="32"/>
        </w:rPr>
        <w:t>%。其中：</w:t>
      </w:r>
      <w:bookmarkEnd w:id="31"/>
      <w:bookmarkEnd w:id="32"/>
      <w:bookmarkEnd w:id="33"/>
    </w:p>
    <w:p>
      <w:pPr>
        <w:pageBreakBefore w:val="0"/>
        <w:widowControl w:val="0"/>
        <w:pBdr>
          <w:top w:val="single" w:color="FFFFFF" w:sz="4" w:space="0"/>
          <w:left w:val="single" w:color="FFFFFF" w:sz="4" w:space="31"/>
          <w:bottom w:val="single" w:color="FFFFFF" w:sz="4" w:space="30"/>
          <w:right w:val="single" w:color="FFFFFF" w:sz="4" w:space="0"/>
        </w:pBdr>
        <w:kinsoku/>
        <w:wordWrap/>
        <w:overflowPunct/>
        <w:topLinePunct w:val="0"/>
        <w:bidi w:val="0"/>
        <w:spacing w:line="560"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1.社会保障和就业（类）20805（款）2080505（项）: 支出决算为</w:t>
      </w:r>
      <w:r>
        <w:rPr>
          <w:rFonts w:hint="default" w:ascii="Times New Roman" w:hAnsi="Times New Roman" w:eastAsia="仿宋_GB2312" w:cs="Times New Roman"/>
          <w:sz w:val="33"/>
          <w:szCs w:val="33"/>
          <w:lang w:val="en-US" w:eastAsia="zh-CN"/>
        </w:rPr>
        <w:t>22.52</w:t>
      </w:r>
      <w:r>
        <w:rPr>
          <w:rFonts w:hint="default" w:ascii="Times New Roman" w:hAnsi="Times New Roman" w:eastAsia="仿宋_GB2312" w:cs="Times New Roman"/>
          <w:sz w:val="33"/>
          <w:szCs w:val="33"/>
        </w:rPr>
        <w:t>万元，完成预算100%，决算与预算数持平。</w:t>
      </w:r>
    </w:p>
    <w:p>
      <w:pPr>
        <w:pageBreakBefore w:val="0"/>
        <w:widowControl w:val="0"/>
        <w:pBdr>
          <w:top w:val="single" w:color="FFFFFF" w:sz="4" w:space="0"/>
          <w:left w:val="single" w:color="FFFFFF" w:sz="4" w:space="31"/>
          <w:bottom w:val="single" w:color="FFFFFF" w:sz="4" w:space="30"/>
          <w:right w:val="single" w:color="FFFFFF" w:sz="4" w:space="0"/>
        </w:pBdr>
        <w:kinsoku/>
        <w:wordWrap/>
        <w:overflowPunct/>
        <w:topLinePunct w:val="0"/>
        <w:bidi w:val="0"/>
        <w:spacing w:line="560" w:lineRule="exact"/>
        <w:ind w:firstLine="660" w:firstLineChars="200"/>
        <w:textAlignment w:val="auto"/>
        <w:rPr>
          <w:rFonts w:hint="default" w:ascii="Times New Roman" w:hAnsi="Times New Roman" w:eastAsia="仿宋_GB2312" w:cs="Times New Roman"/>
          <w:sz w:val="33"/>
          <w:szCs w:val="33"/>
          <w:lang w:eastAsia="zh-CN"/>
        </w:rPr>
      </w:pPr>
      <w:r>
        <w:rPr>
          <w:rFonts w:hint="default" w:ascii="Times New Roman" w:hAnsi="Times New Roman" w:eastAsia="仿宋_GB2312" w:cs="Times New Roman"/>
          <w:sz w:val="33"/>
          <w:szCs w:val="33"/>
        </w:rPr>
        <w:t>2.节能环保支出（类）21101（款）2110101（项）: 支出决算为</w:t>
      </w:r>
      <w:r>
        <w:rPr>
          <w:rFonts w:hint="default" w:ascii="Times New Roman" w:hAnsi="Times New Roman" w:eastAsia="仿宋_GB2312" w:cs="Times New Roman"/>
          <w:sz w:val="33"/>
          <w:szCs w:val="33"/>
          <w:lang w:val="en-US" w:eastAsia="zh-CN"/>
        </w:rPr>
        <w:t>256.06</w:t>
      </w:r>
      <w:r>
        <w:rPr>
          <w:rFonts w:hint="default" w:ascii="Times New Roman" w:hAnsi="Times New Roman" w:eastAsia="仿宋_GB2312" w:cs="Times New Roman"/>
          <w:sz w:val="33"/>
          <w:szCs w:val="33"/>
        </w:rPr>
        <w:t>万元，完成预算100%</w:t>
      </w:r>
      <w:r>
        <w:rPr>
          <w:rFonts w:hint="default" w:ascii="Times New Roman" w:hAnsi="Times New Roman" w:eastAsia="仿宋_GB2312" w:cs="Times New Roman"/>
          <w:sz w:val="33"/>
          <w:szCs w:val="33"/>
          <w:lang w:eastAsia="zh-CN"/>
        </w:rPr>
        <w:t>，</w:t>
      </w:r>
      <w:r>
        <w:rPr>
          <w:rFonts w:hint="default" w:ascii="Times New Roman" w:hAnsi="Times New Roman" w:eastAsia="仿宋_GB2312" w:cs="Times New Roman"/>
          <w:sz w:val="33"/>
          <w:szCs w:val="33"/>
        </w:rPr>
        <w:t>决算</w:t>
      </w:r>
      <w:r>
        <w:rPr>
          <w:rFonts w:hint="eastAsia" w:eastAsia="仿宋_GB2312" w:cs="Times New Roman"/>
          <w:sz w:val="33"/>
          <w:szCs w:val="33"/>
          <w:lang w:eastAsia="zh-CN"/>
        </w:rPr>
        <w:t>数</w:t>
      </w:r>
      <w:r>
        <w:rPr>
          <w:rFonts w:hint="default" w:ascii="Times New Roman" w:hAnsi="Times New Roman" w:eastAsia="仿宋_GB2312" w:cs="Times New Roman"/>
          <w:sz w:val="33"/>
          <w:szCs w:val="33"/>
        </w:rPr>
        <w:t>与预算数持平。</w:t>
      </w:r>
    </w:p>
    <w:p>
      <w:pPr>
        <w:pageBreakBefore w:val="0"/>
        <w:widowControl w:val="0"/>
        <w:pBdr>
          <w:top w:val="single" w:color="FFFFFF" w:sz="4" w:space="0"/>
          <w:left w:val="single" w:color="FFFFFF" w:sz="4" w:space="31"/>
          <w:bottom w:val="single" w:color="FFFFFF" w:sz="4" w:space="30"/>
          <w:right w:val="single" w:color="FFFFFF" w:sz="4" w:space="0"/>
        </w:pBdr>
        <w:kinsoku/>
        <w:wordWrap/>
        <w:overflowPunct/>
        <w:topLinePunct w:val="0"/>
        <w:bidi w:val="0"/>
        <w:spacing w:line="560" w:lineRule="exact"/>
        <w:ind w:firstLine="660" w:firstLineChars="20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lang w:val="en-US" w:eastAsia="zh-CN"/>
        </w:rPr>
        <w:t>3.</w:t>
      </w:r>
      <w:r>
        <w:rPr>
          <w:rFonts w:hint="default" w:ascii="Times New Roman" w:hAnsi="Times New Roman" w:eastAsia="仿宋_GB2312" w:cs="Times New Roman"/>
          <w:sz w:val="33"/>
          <w:szCs w:val="33"/>
        </w:rPr>
        <w:t>节能环保支出（类）21103（款）2110399（项）: 支出决算为</w:t>
      </w:r>
      <w:r>
        <w:rPr>
          <w:rFonts w:hint="default" w:ascii="Times New Roman" w:hAnsi="Times New Roman" w:eastAsia="仿宋_GB2312" w:cs="Times New Roman"/>
          <w:sz w:val="33"/>
          <w:szCs w:val="33"/>
          <w:lang w:val="en-US" w:eastAsia="zh-CN"/>
        </w:rPr>
        <w:t>43.14</w:t>
      </w:r>
      <w:r>
        <w:rPr>
          <w:rFonts w:hint="default" w:ascii="Times New Roman" w:hAnsi="Times New Roman" w:eastAsia="仿宋_GB2312" w:cs="Times New Roman"/>
          <w:sz w:val="33"/>
          <w:szCs w:val="33"/>
        </w:rPr>
        <w:t>万元，完成预算100%，决算</w:t>
      </w:r>
      <w:r>
        <w:rPr>
          <w:rFonts w:hint="eastAsia" w:eastAsia="仿宋_GB2312" w:cs="Times New Roman"/>
          <w:sz w:val="33"/>
          <w:szCs w:val="33"/>
          <w:lang w:eastAsia="zh-CN"/>
        </w:rPr>
        <w:t>数</w:t>
      </w:r>
      <w:r>
        <w:rPr>
          <w:rFonts w:hint="default" w:ascii="Times New Roman" w:hAnsi="Times New Roman" w:eastAsia="仿宋_GB2312" w:cs="Times New Roman"/>
          <w:sz w:val="33"/>
          <w:szCs w:val="33"/>
        </w:rPr>
        <w:t>与预算数持平。</w:t>
      </w:r>
    </w:p>
    <w:p>
      <w:pPr>
        <w:pageBreakBefore w:val="0"/>
        <w:widowControl w:val="0"/>
        <w:pBdr>
          <w:top w:val="single" w:color="FFFFFF" w:sz="4" w:space="0"/>
          <w:left w:val="single" w:color="FFFFFF" w:sz="4" w:space="31"/>
          <w:bottom w:val="single" w:color="FFFFFF" w:sz="4" w:space="30"/>
          <w:right w:val="single" w:color="FFFFFF" w:sz="4" w:space="0"/>
        </w:pBdr>
        <w:kinsoku/>
        <w:wordWrap/>
        <w:overflowPunct/>
        <w:topLinePunct w:val="0"/>
        <w:bidi w:val="0"/>
        <w:spacing w:line="560" w:lineRule="exact"/>
        <w:ind w:firstLine="66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3"/>
          <w:szCs w:val="33"/>
          <w:lang w:val="en-US" w:eastAsia="zh-CN"/>
        </w:rPr>
        <w:t>4</w:t>
      </w:r>
      <w:r>
        <w:rPr>
          <w:rFonts w:hint="default" w:ascii="Times New Roman" w:hAnsi="Times New Roman" w:eastAsia="仿宋_GB2312" w:cs="Times New Roman"/>
          <w:sz w:val="33"/>
          <w:szCs w:val="33"/>
        </w:rPr>
        <w:t>.住房保障支出（类）22102（款）2210201（项）: 支出决算为</w:t>
      </w:r>
      <w:r>
        <w:rPr>
          <w:rFonts w:hint="default" w:ascii="Times New Roman" w:hAnsi="Times New Roman" w:eastAsia="仿宋_GB2312" w:cs="Times New Roman"/>
          <w:sz w:val="33"/>
          <w:szCs w:val="33"/>
          <w:lang w:val="en-US" w:eastAsia="zh-CN"/>
        </w:rPr>
        <w:t>30.98</w:t>
      </w:r>
      <w:r>
        <w:rPr>
          <w:rFonts w:hint="default" w:ascii="Times New Roman" w:hAnsi="Times New Roman" w:eastAsia="仿宋_GB2312" w:cs="Times New Roman"/>
          <w:sz w:val="33"/>
          <w:szCs w:val="33"/>
        </w:rPr>
        <w:t>万元，完成预算100%，决算</w:t>
      </w:r>
      <w:r>
        <w:rPr>
          <w:rFonts w:hint="eastAsia" w:eastAsia="仿宋_GB2312" w:cs="Times New Roman"/>
          <w:sz w:val="33"/>
          <w:szCs w:val="33"/>
          <w:lang w:eastAsia="zh-CN"/>
        </w:rPr>
        <w:t>数</w:t>
      </w:r>
      <w:r>
        <w:rPr>
          <w:rFonts w:hint="default" w:ascii="Times New Roman" w:hAnsi="Times New Roman" w:eastAsia="仿宋_GB2312" w:cs="Times New Roman"/>
          <w:sz w:val="33"/>
          <w:szCs w:val="33"/>
        </w:rPr>
        <w:t>与预算数持平。</w:t>
      </w:r>
    </w:p>
    <w:p>
      <w:pPr>
        <w:pageBreakBefore w:val="0"/>
        <w:widowControl w:val="0"/>
        <w:tabs>
          <w:tab w:val="right" w:pos="8306"/>
        </w:tabs>
        <w:kinsoku/>
        <w:wordWrap/>
        <w:overflowPunct/>
        <w:topLinePunct w:val="0"/>
        <w:bidi w:val="0"/>
        <w:spacing w:line="600" w:lineRule="exact"/>
        <w:ind w:firstLine="640"/>
        <w:textAlignment w:val="auto"/>
        <w:outlineLvl w:val="1"/>
        <w:rPr>
          <w:rStyle w:val="26"/>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4"/>
      <w:bookmarkEnd w:id="35"/>
      <w:r>
        <w:rPr>
          <w:rStyle w:val="26"/>
          <w:rFonts w:ascii="黑体" w:hAnsi="黑体" w:eastAsia="黑体"/>
          <w:b w:val="0"/>
        </w:rPr>
        <w:tab/>
      </w:r>
    </w:p>
    <w:p>
      <w:pPr>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2022年一般公共预算财政拨款基本支出</w:t>
      </w:r>
      <w:r>
        <w:rPr>
          <w:rFonts w:hint="default" w:ascii="Times New Roman" w:hAnsi="Times New Roman" w:eastAsia="仿宋_GB2312" w:cs="Times New Roman"/>
          <w:sz w:val="32"/>
          <w:szCs w:val="32"/>
          <w:lang w:val="en-US" w:eastAsia="zh-CN"/>
        </w:rPr>
        <w:t>309.56</w:t>
      </w:r>
      <w:r>
        <w:rPr>
          <w:rFonts w:hint="default" w:ascii="Times New Roman" w:hAnsi="Times New Roman" w:eastAsia="仿宋_GB2312" w:cs="Times New Roman"/>
          <w:sz w:val="32"/>
          <w:szCs w:val="32"/>
        </w:rPr>
        <w:t>万元，其中：</w:t>
      </w:r>
    </w:p>
    <w:p>
      <w:pPr>
        <w:pageBreakBefore w:val="0"/>
        <w:widowControl w:val="0"/>
        <w:kinsoku/>
        <w:wordWrap/>
        <w:overflowPunct/>
        <w:topLinePunct w:val="0"/>
        <w:bidi w:val="0"/>
        <w:spacing w:line="60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人员经费</w:t>
      </w:r>
      <w:r>
        <w:rPr>
          <w:rFonts w:hint="default" w:ascii="Times New Roman" w:hAnsi="Times New Roman" w:eastAsia="仿宋_GB2312" w:cs="Times New Roman"/>
          <w:sz w:val="32"/>
          <w:szCs w:val="32"/>
          <w:lang w:val="en-US" w:eastAsia="zh-CN"/>
        </w:rPr>
        <w:t>263.47</w:t>
      </w:r>
      <w:r>
        <w:rPr>
          <w:rFonts w:hint="default" w:ascii="Times New Roman" w:hAnsi="Times New Roman" w:eastAsia="仿宋_GB2312" w:cs="Times New Roman"/>
          <w:sz w:val="32"/>
          <w:szCs w:val="32"/>
        </w:rPr>
        <w:t>万元，主要包括：基本工资、津贴补贴、奖金、机关事业单位基本养老保险缴费、其他社会保障缴费、其他工资福利支出、医疗费补助、住房公积金支出等。</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公用经费</w:t>
      </w:r>
      <w:r>
        <w:rPr>
          <w:rFonts w:hint="default" w:ascii="Times New Roman" w:hAnsi="Times New Roman" w:eastAsia="仿宋_GB2312" w:cs="Times New Roman"/>
          <w:sz w:val="32"/>
          <w:szCs w:val="32"/>
          <w:lang w:val="en-US" w:eastAsia="zh-CN"/>
        </w:rPr>
        <w:t>46.09</w:t>
      </w:r>
      <w:r>
        <w:rPr>
          <w:rFonts w:hint="default" w:ascii="Times New Roman" w:hAnsi="Times New Roman" w:eastAsia="仿宋_GB2312" w:cs="Times New Roman"/>
          <w:sz w:val="32"/>
          <w:szCs w:val="32"/>
        </w:rPr>
        <w:t>万元，主要包括：办公费、水费、电费、邮电费、差旅费、公务接待费、委托业务费、工会经费、福利费、其他交通费、其他商品和服务支出等。</w:t>
      </w:r>
    </w:p>
    <w:p>
      <w:pPr>
        <w:pageBreakBefore w:val="0"/>
        <w:widowControl w:val="0"/>
        <w:kinsoku/>
        <w:wordWrap/>
        <w:overflowPunct/>
        <w:topLinePunct w:val="0"/>
        <w:bidi w:val="0"/>
        <w:spacing w:line="600" w:lineRule="exact"/>
        <w:ind w:firstLine="640"/>
        <w:textAlignment w:val="auto"/>
        <w:outlineLvl w:val="1"/>
        <w:rPr>
          <w:rStyle w:val="26"/>
          <w:rFonts w:ascii="黑体" w:hAnsi="黑体" w:eastAsia="黑体"/>
          <w:b w:val="0"/>
        </w:rPr>
      </w:pPr>
      <w:bookmarkStart w:id="36" w:name="_Toc15396609"/>
      <w:bookmarkStart w:id="37" w:name="_Toc15377215"/>
      <w:r>
        <w:rPr>
          <w:rFonts w:hint="eastAsia" w:ascii="黑体" w:eastAsia="黑体"/>
          <w:sz w:val="32"/>
          <w:szCs w:val="32"/>
        </w:rPr>
        <w:t>七、</w:t>
      </w:r>
      <w:r>
        <w:rPr>
          <w:rStyle w:val="26"/>
          <w:rFonts w:hint="eastAsia" w:ascii="黑体" w:hAnsi="黑体" w:eastAsia="黑体"/>
          <w:b w:val="0"/>
        </w:rPr>
        <w:t>财政拨款</w:t>
      </w:r>
      <w:r>
        <w:rPr>
          <w:rStyle w:val="26"/>
          <w:rFonts w:hint="eastAsia" w:ascii="黑体" w:hAnsi="黑体" w:eastAsia="黑体"/>
        </w:rPr>
        <w:t>“</w:t>
      </w:r>
      <w:r>
        <w:rPr>
          <w:rStyle w:val="26"/>
          <w:rFonts w:hint="eastAsia" w:ascii="黑体" w:hAnsi="黑体" w:eastAsia="黑体"/>
          <w:b w:val="0"/>
        </w:rPr>
        <w:t>三公”经费支出决算情况说明</w:t>
      </w:r>
      <w:bookmarkEnd w:id="36"/>
      <w:bookmarkEnd w:id="37"/>
    </w:p>
    <w:p>
      <w:pPr>
        <w:pageBreakBefore w:val="0"/>
        <w:widowControl w:val="0"/>
        <w:kinsoku/>
        <w:wordWrap/>
        <w:overflowPunct/>
        <w:topLinePunct w:val="0"/>
        <w:bidi w:val="0"/>
        <w:spacing w:line="600" w:lineRule="exact"/>
        <w:ind w:firstLine="640"/>
        <w:textAlignment w:val="auto"/>
        <w:outlineLvl w:val="2"/>
        <w:rPr>
          <w:rFonts w:hint="default" w:ascii="Times New Roman" w:hAnsi="Times New Roman" w:eastAsia="仿宋_GB2312" w:cs="Times New Roman"/>
          <w:b/>
          <w:sz w:val="32"/>
          <w:szCs w:val="32"/>
        </w:rPr>
      </w:pPr>
      <w:bookmarkStart w:id="38" w:name="_Toc15377216"/>
      <w:r>
        <w:rPr>
          <w:rFonts w:hint="default" w:ascii="Times New Roman" w:hAnsi="Times New Roman" w:eastAsia="仿宋_GB2312" w:cs="Times New Roman"/>
          <w:b/>
          <w:sz w:val="32"/>
          <w:szCs w:val="32"/>
        </w:rPr>
        <w:t>（一）“三公”经费财政拨款支出决算总体情况说明</w:t>
      </w:r>
      <w:bookmarkEnd w:id="38"/>
    </w:p>
    <w:p>
      <w:pPr>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2022年“三公”经费财政拨款支出决算为</w:t>
      </w:r>
      <w:r>
        <w:rPr>
          <w:rFonts w:hint="default" w:ascii="Times New Roman" w:hAnsi="Times New Roman" w:eastAsia="仿宋_GB2312" w:cs="Times New Roman"/>
          <w:sz w:val="32"/>
          <w:szCs w:val="32"/>
          <w:lang w:val="en-US" w:eastAsia="zh-CN"/>
        </w:rPr>
        <w:t>1.28</w:t>
      </w:r>
      <w:r>
        <w:rPr>
          <w:rFonts w:hint="default" w:ascii="Times New Roman" w:hAnsi="Times New Roman" w:eastAsia="仿宋_GB2312" w:cs="Times New Roman"/>
          <w:sz w:val="32"/>
          <w:szCs w:val="32"/>
        </w:rPr>
        <w:t>万元，完成预算</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%，较上年增加</w:t>
      </w:r>
      <w:r>
        <w:rPr>
          <w:rFonts w:hint="default" w:ascii="Times New Roman" w:hAnsi="Times New Roman" w:eastAsia="仿宋_GB2312" w:cs="Times New Roman"/>
          <w:sz w:val="32"/>
          <w:szCs w:val="32"/>
          <w:lang w:val="en-US" w:eastAsia="zh-CN"/>
        </w:rPr>
        <w:t>0.56</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77.78</w:t>
      </w:r>
      <w:r>
        <w:rPr>
          <w:rFonts w:hint="default" w:ascii="Times New Roman" w:hAnsi="Times New Roman" w:eastAsia="仿宋_GB2312" w:cs="Times New Roman"/>
          <w:sz w:val="32"/>
          <w:szCs w:val="32"/>
        </w:rPr>
        <w:t>%。决算数</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预算数持平。</w:t>
      </w:r>
    </w:p>
    <w:p>
      <w:pPr>
        <w:pageBreakBefore w:val="0"/>
        <w:widowControl w:val="0"/>
        <w:kinsoku/>
        <w:wordWrap/>
        <w:overflowPunct/>
        <w:topLinePunct w:val="0"/>
        <w:bidi w:val="0"/>
        <w:spacing w:line="600" w:lineRule="exact"/>
        <w:ind w:firstLine="640"/>
        <w:textAlignment w:val="auto"/>
        <w:outlineLvl w:val="2"/>
        <w:rPr>
          <w:rFonts w:hint="default" w:ascii="Times New Roman" w:hAnsi="Times New Roman" w:eastAsia="仿宋_GB2312" w:cs="Times New Roman"/>
          <w:b/>
          <w:sz w:val="32"/>
          <w:szCs w:val="32"/>
        </w:rPr>
      </w:pPr>
      <w:bookmarkStart w:id="39" w:name="_Toc15377217"/>
      <w:r>
        <w:rPr>
          <w:rFonts w:hint="default" w:ascii="Times New Roman" w:hAnsi="Times New Roman" w:eastAsia="仿宋_GB2312" w:cs="Times New Roman"/>
          <w:b/>
          <w:sz w:val="32"/>
          <w:szCs w:val="32"/>
        </w:rPr>
        <w:t>（二）“三公”经费财政拨款支出决算具体情况说明</w:t>
      </w:r>
      <w:bookmarkEnd w:id="39"/>
    </w:p>
    <w:p>
      <w:pPr>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2022年“三公”经费财政拨款支出决算中，因公出国（境）费支出决算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%；公务用车购置及运行维护费支出决算</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%；公务接待费支出决算</w:t>
      </w:r>
      <w:r>
        <w:rPr>
          <w:rFonts w:hint="default" w:ascii="Times New Roman" w:hAnsi="Times New Roman" w:eastAsia="仿宋_GB2312" w:cs="Times New Roman"/>
          <w:sz w:val="32"/>
          <w:szCs w:val="32"/>
          <w:lang w:val="en-US" w:eastAsia="zh-CN"/>
        </w:rPr>
        <w:t>1.28</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%。具体情况如下：</w:t>
      </w:r>
    </w:p>
    <w:p>
      <w:pPr>
        <w:pageBreakBefore w:val="0"/>
        <w:widowControl w:val="0"/>
        <w:kinsoku/>
        <w:wordWrap/>
        <w:overflowPunct/>
        <w:topLinePunct w:val="0"/>
        <w:bidi w:val="0"/>
        <w:spacing w:line="600" w:lineRule="exact"/>
        <w:ind w:firstLine="640"/>
        <w:textAlignment w:val="auto"/>
        <w:rPr>
          <w:rFonts w:hint="eastAsia" w:ascii="仿宋" w:hAnsi="仿宋" w:eastAsia="仿宋"/>
          <w:sz w:val="32"/>
          <w:szCs w:val="32"/>
        </w:rPr>
      </w:pPr>
    </w:p>
    <w:p>
      <w:pPr>
        <w:pStyle w:val="2"/>
        <w:pageBreakBefore w:val="0"/>
        <w:widowControl w:val="0"/>
        <w:kinsoku/>
        <w:wordWrap/>
        <w:overflowPunct/>
        <w:topLinePunct w:val="0"/>
        <w:bidi w:val="0"/>
        <w:textAlignment w:val="auto"/>
        <w:rPr>
          <w:rFonts w:hint="eastAsia" w:ascii="仿宋" w:hAnsi="仿宋" w:eastAsia="仿宋"/>
          <w:sz w:val="32"/>
          <w:szCs w:val="32"/>
          <w:lang w:eastAsia="zh-CN"/>
        </w:rPr>
      </w:pPr>
      <w:r>
        <w:rPr>
          <w:rFonts w:hint="eastAsia" w:ascii="仿宋" w:hAnsi="仿宋" w:eastAsia="仿宋"/>
          <w:sz w:val="32"/>
          <w:szCs w:val="32"/>
          <w:lang w:eastAsia="zh-CN"/>
        </w:rPr>
        <w:drawing>
          <wp:anchor distT="0" distB="0" distL="114300" distR="114300" simplePos="0" relativeHeight="251664384" behindDoc="0" locked="0" layoutInCell="1" allowOverlap="1">
            <wp:simplePos x="0" y="0"/>
            <wp:positionH relativeFrom="column">
              <wp:posOffset>452120</wp:posOffset>
            </wp:positionH>
            <wp:positionV relativeFrom="paragraph">
              <wp:posOffset>193040</wp:posOffset>
            </wp:positionV>
            <wp:extent cx="4681220" cy="2496820"/>
            <wp:effectExtent l="4445" t="4445" r="19685" b="13335"/>
            <wp:wrapNone/>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pStyle w:val="2"/>
        <w:pageBreakBefore w:val="0"/>
        <w:widowControl w:val="0"/>
        <w:kinsoku/>
        <w:wordWrap/>
        <w:overflowPunct/>
        <w:topLinePunct w:val="0"/>
        <w:bidi w:val="0"/>
        <w:textAlignment w:val="auto"/>
        <w:rPr>
          <w:rFonts w:hint="eastAsia" w:ascii="仿宋" w:hAnsi="仿宋" w:eastAsia="仿宋"/>
          <w:sz w:val="32"/>
          <w:szCs w:val="32"/>
          <w:lang w:eastAsia="zh-CN"/>
        </w:rPr>
      </w:pPr>
    </w:p>
    <w:p>
      <w:pPr>
        <w:pStyle w:val="2"/>
        <w:pageBreakBefore w:val="0"/>
        <w:widowControl w:val="0"/>
        <w:kinsoku/>
        <w:wordWrap/>
        <w:overflowPunct/>
        <w:topLinePunct w:val="0"/>
        <w:bidi w:val="0"/>
        <w:textAlignment w:val="auto"/>
        <w:rPr>
          <w:rFonts w:hint="eastAsia" w:ascii="仿宋" w:hAnsi="仿宋" w:eastAsia="仿宋"/>
          <w:sz w:val="32"/>
          <w:szCs w:val="32"/>
          <w:lang w:eastAsia="zh-CN"/>
        </w:rPr>
      </w:pPr>
    </w:p>
    <w:p>
      <w:pPr>
        <w:pStyle w:val="2"/>
        <w:pageBreakBefore w:val="0"/>
        <w:widowControl w:val="0"/>
        <w:kinsoku/>
        <w:wordWrap/>
        <w:overflowPunct/>
        <w:topLinePunct w:val="0"/>
        <w:bidi w:val="0"/>
        <w:textAlignment w:val="auto"/>
        <w:rPr>
          <w:rFonts w:hint="eastAsia" w:ascii="仿宋" w:hAnsi="仿宋" w:eastAsia="仿宋"/>
          <w:sz w:val="32"/>
          <w:szCs w:val="32"/>
          <w:lang w:eastAsia="zh-CN"/>
        </w:rPr>
      </w:pPr>
    </w:p>
    <w:p>
      <w:pPr>
        <w:pStyle w:val="2"/>
        <w:pageBreakBefore w:val="0"/>
        <w:widowControl w:val="0"/>
        <w:kinsoku/>
        <w:wordWrap/>
        <w:overflowPunct/>
        <w:topLinePunct w:val="0"/>
        <w:bidi w:val="0"/>
        <w:textAlignment w:val="auto"/>
        <w:rPr>
          <w:rFonts w:hint="eastAsia" w:ascii="仿宋" w:hAnsi="仿宋" w:eastAsia="仿宋"/>
          <w:sz w:val="32"/>
          <w:szCs w:val="32"/>
          <w:lang w:eastAsia="zh-CN"/>
        </w:rPr>
      </w:pPr>
    </w:p>
    <w:p>
      <w:pPr>
        <w:pStyle w:val="2"/>
        <w:pageBreakBefore w:val="0"/>
        <w:widowControl w:val="0"/>
        <w:kinsoku/>
        <w:wordWrap/>
        <w:overflowPunct/>
        <w:topLinePunct w:val="0"/>
        <w:bidi w:val="0"/>
        <w:textAlignment w:val="auto"/>
        <w:rPr>
          <w:rFonts w:hint="eastAsia" w:ascii="仿宋" w:hAnsi="仿宋" w:eastAsia="仿宋"/>
          <w:sz w:val="32"/>
          <w:szCs w:val="32"/>
          <w:lang w:eastAsia="zh-CN"/>
        </w:rPr>
      </w:pPr>
    </w:p>
    <w:p>
      <w:pPr>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（图7：“三公”经费财政拨款支出结构</w:t>
      </w:r>
      <w:r>
        <w:rPr>
          <w:rFonts w:hint="eastAsia" w:eastAsia="仿宋_GB2312" w:cs="Times New Roman"/>
          <w:sz w:val="32"/>
          <w:szCs w:val="32"/>
          <w:lang w:val="en-US" w:eastAsia="zh-CN"/>
        </w:rPr>
        <w:t xml:space="preserve">  单位：万元</w:t>
      </w:r>
      <w:r>
        <w:rPr>
          <w:rFonts w:hint="default" w:ascii="Times New Roman" w:hAnsi="Times New Roman" w:eastAsia="仿宋_GB2312" w:cs="Times New Roman"/>
          <w:sz w:val="32"/>
          <w:szCs w:val="32"/>
        </w:rPr>
        <w:t>）</w:t>
      </w:r>
    </w:p>
    <w:p>
      <w:pPr>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1.因公出国（境）经费支出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Style w:val="15"/>
          <w:rFonts w:hint="default" w:ascii="Times New Roman" w:hAnsi="Times New Roman" w:eastAsia="仿宋_GB2312" w:cs="Times New Roman"/>
          <w:b w:val="0"/>
          <w:bCs/>
          <w:sz w:val="32"/>
          <w:szCs w:val="32"/>
        </w:rPr>
        <w:t>完成预算</w:t>
      </w:r>
      <w:r>
        <w:rPr>
          <w:rStyle w:val="15"/>
          <w:rFonts w:hint="default" w:ascii="Times New Roman" w:hAnsi="Times New Roman" w:eastAsia="仿宋_GB2312" w:cs="Times New Roman"/>
          <w:b w:val="0"/>
          <w:bCs/>
          <w:sz w:val="32"/>
          <w:szCs w:val="32"/>
          <w:lang w:val="en-US" w:eastAsia="zh-CN"/>
        </w:rPr>
        <w:t>0</w:t>
      </w:r>
      <w:r>
        <w:rPr>
          <w:rStyle w:val="15"/>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全年安排因公出国（境）团组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次，出国（境）</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人。因公出国（境）支出决算比2021年</w:t>
      </w:r>
      <w:r>
        <w:rPr>
          <w:rFonts w:hint="default" w:ascii="Times New Roman" w:hAnsi="Times New Roman" w:eastAsia="仿宋_GB2312" w:cs="Times New Roman"/>
          <w:sz w:val="32"/>
          <w:szCs w:val="32"/>
          <w:lang w:eastAsia="zh-CN"/>
        </w:rPr>
        <w:t>持平</w:t>
      </w:r>
      <w:r>
        <w:rPr>
          <w:rFonts w:hint="default" w:ascii="Times New Roman" w:hAnsi="Times New Roman" w:eastAsia="仿宋_GB2312" w:cs="Times New Roman"/>
          <w:sz w:val="32"/>
          <w:szCs w:val="32"/>
        </w:rPr>
        <w:t>。</w:t>
      </w:r>
    </w:p>
    <w:p>
      <w:pPr>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2.公务用车购置及运行维护费支出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w:t>
      </w:r>
      <w:r>
        <w:rPr>
          <w:rStyle w:val="15"/>
          <w:rFonts w:hint="default" w:ascii="Times New Roman" w:hAnsi="Times New Roman" w:eastAsia="仿宋_GB2312" w:cs="Times New Roman"/>
          <w:b w:val="0"/>
          <w:bCs/>
          <w:sz w:val="32"/>
          <w:szCs w:val="32"/>
        </w:rPr>
        <w:t>完成预算</w:t>
      </w:r>
      <w:r>
        <w:rPr>
          <w:rStyle w:val="15"/>
          <w:rFonts w:hint="default" w:ascii="Times New Roman" w:hAnsi="Times New Roman" w:eastAsia="仿宋_GB2312" w:cs="Times New Roman"/>
          <w:b w:val="0"/>
          <w:bCs/>
          <w:sz w:val="32"/>
          <w:szCs w:val="32"/>
          <w:lang w:val="en-US" w:eastAsia="zh-CN"/>
        </w:rPr>
        <w:t>0</w:t>
      </w:r>
      <w:r>
        <w:rPr>
          <w:rStyle w:val="15"/>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公务用车购置及运行维护费支出决算比2021年</w:t>
      </w:r>
      <w:r>
        <w:rPr>
          <w:rFonts w:hint="default" w:ascii="Times New Roman" w:hAnsi="Times New Roman" w:eastAsia="仿宋_GB2312" w:cs="Times New Roman"/>
          <w:sz w:val="32"/>
          <w:szCs w:val="32"/>
          <w:lang w:eastAsia="zh-CN"/>
        </w:rPr>
        <w:t>持平</w:t>
      </w:r>
      <w:r>
        <w:rPr>
          <w:rFonts w:hint="default" w:ascii="Times New Roman" w:hAnsi="Times New Roman" w:eastAsia="仿宋_GB2312" w:cs="Times New Roman"/>
          <w:sz w:val="32"/>
          <w:szCs w:val="32"/>
        </w:rPr>
        <w:t>。</w:t>
      </w:r>
    </w:p>
    <w:p>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万元。全年按规定更新购置公务用车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辆，其中：轿车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万元，越野车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万元，载客汽车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万元。截至2022年12月底，单位共有公务用车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辆，其中：轿车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辆、越野车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辆、载客汽车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w:t>
      </w:r>
    </w:p>
    <w:p>
      <w:pPr>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公务用车运行维护费支出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3.公务接待费支出</w:t>
      </w:r>
      <w:r>
        <w:rPr>
          <w:rFonts w:hint="default" w:ascii="Times New Roman" w:hAnsi="Times New Roman" w:eastAsia="仿宋_GB2312" w:cs="Times New Roman"/>
          <w:sz w:val="32"/>
          <w:szCs w:val="32"/>
          <w:lang w:val="en-US" w:eastAsia="zh-CN"/>
        </w:rPr>
        <w:t>1.28</w:t>
      </w:r>
      <w:r>
        <w:rPr>
          <w:rFonts w:hint="default" w:ascii="Times New Roman" w:hAnsi="Times New Roman" w:eastAsia="仿宋_GB2312" w:cs="Times New Roman"/>
          <w:sz w:val="32"/>
          <w:szCs w:val="32"/>
        </w:rPr>
        <w:t>万元，</w:t>
      </w:r>
      <w:r>
        <w:rPr>
          <w:rStyle w:val="15"/>
          <w:rFonts w:hint="default" w:ascii="Times New Roman" w:hAnsi="Times New Roman" w:eastAsia="仿宋_GB2312" w:cs="Times New Roman"/>
          <w:b w:val="0"/>
          <w:bCs/>
          <w:sz w:val="32"/>
          <w:szCs w:val="32"/>
        </w:rPr>
        <w:t>完成预算</w:t>
      </w:r>
      <w:r>
        <w:rPr>
          <w:rStyle w:val="15"/>
          <w:rFonts w:hint="default" w:ascii="Times New Roman" w:hAnsi="Times New Roman" w:eastAsia="仿宋_GB2312" w:cs="Times New Roman"/>
          <w:b w:val="0"/>
          <w:bCs/>
          <w:sz w:val="32"/>
          <w:szCs w:val="32"/>
          <w:lang w:val="en-US" w:eastAsia="zh-CN"/>
        </w:rPr>
        <w:t>100</w:t>
      </w:r>
      <w:r>
        <w:rPr>
          <w:rStyle w:val="15"/>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公务接待费支出决算比2021年增加</w:t>
      </w:r>
      <w:r>
        <w:rPr>
          <w:rFonts w:hint="default" w:ascii="Times New Roman" w:hAnsi="Times New Roman" w:eastAsia="仿宋_GB2312" w:cs="Times New Roman"/>
          <w:sz w:val="32"/>
          <w:szCs w:val="32"/>
          <w:lang w:val="en-US" w:eastAsia="zh-CN"/>
        </w:rPr>
        <w:t>0.56</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lang w:val="en-US" w:eastAsia="zh-CN"/>
        </w:rPr>
        <w:t>77.78</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lang w:val="en-US" w:eastAsia="zh-CN"/>
        </w:rPr>
        <w:t>2022年公务接待事项较上年增加</w:t>
      </w:r>
      <w:r>
        <w:rPr>
          <w:rFonts w:hint="default" w:ascii="Times New Roman" w:hAnsi="Times New Roman" w:eastAsia="仿宋_GB2312" w:cs="Times New Roman"/>
          <w:sz w:val="32"/>
          <w:szCs w:val="32"/>
        </w:rPr>
        <w:t>。其中：</w:t>
      </w:r>
    </w:p>
    <w:p>
      <w:pPr>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国内公务接待支出</w:t>
      </w:r>
      <w:r>
        <w:rPr>
          <w:rFonts w:hint="default" w:ascii="Times New Roman" w:hAnsi="Times New Roman" w:eastAsia="仿宋_GB2312" w:cs="Times New Roman"/>
          <w:sz w:val="32"/>
          <w:szCs w:val="32"/>
          <w:lang w:val="en-US" w:eastAsia="zh-CN"/>
        </w:rPr>
        <w:t>1.28</w:t>
      </w:r>
      <w:r>
        <w:rPr>
          <w:rFonts w:hint="default" w:ascii="Times New Roman" w:hAnsi="Times New Roman" w:eastAsia="仿宋_GB2312" w:cs="Times New Roman"/>
          <w:sz w:val="32"/>
          <w:szCs w:val="32"/>
        </w:rPr>
        <w:t>万元，主要用于执行公务、开展业务活动开支的交通费、住宿费、用餐费等。国内公务接待</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批次，</w:t>
      </w:r>
      <w:r>
        <w:rPr>
          <w:rFonts w:hint="default" w:ascii="Times New Roman" w:hAnsi="Times New Roman" w:eastAsia="仿宋_GB2312" w:cs="Times New Roman"/>
          <w:sz w:val="32"/>
          <w:szCs w:val="32"/>
          <w:lang w:val="en-US" w:eastAsia="zh-CN"/>
        </w:rPr>
        <w:t>104</w:t>
      </w:r>
      <w:r>
        <w:rPr>
          <w:rFonts w:hint="default" w:ascii="Times New Roman" w:hAnsi="Times New Roman" w:eastAsia="仿宋_GB2312" w:cs="Times New Roman"/>
          <w:sz w:val="32"/>
          <w:szCs w:val="32"/>
        </w:rPr>
        <w:t>人次（不包括陪同人员），共计支出</w:t>
      </w:r>
      <w:r>
        <w:rPr>
          <w:rFonts w:hint="default" w:ascii="Times New Roman" w:hAnsi="Times New Roman" w:eastAsia="仿宋_GB2312" w:cs="Times New Roman"/>
          <w:sz w:val="32"/>
          <w:szCs w:val="32"/>
          <w:lang w:val="en-US" w:eastAsia="zh-CN"/>
        </w:rPr>
        <w:t>1.28</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rPr>
        <w:t>具体内容包括：</w:t>
      </w:r>
      <w:r>
        <w:rPr>
          <w:rFonts w:hint="default" w:ascii="Times New Roman" w:hAnsi="Times New Roman" w:eastAsia="仿宋_GB2312" w:cs="Times New Roman"/>
          <w:color w:val="auto"/>
          <w:sz w:val="32"/>
          <w:szCs w:val="32"/>
          <w:lang w:eastAsia="zh-CN"/>
        </w:rPr>
        <w:t>公务接待费用</w:t>
      </w:r>
      <w:r>
        <w:rPr>
          <w:rFonts w:hint="default" w:ascii="Times New Roman" w:hAnsi="Times New Roman" w:eastAsia="仿宋_GB2312" w:cs="Times New Roman"/>
          <w:color w:val="auto"/>
          <w:sz w:val="32"/>
          <w:szCs w:val="32"/>
          <w:lang w:val="en-US" w:eastAsia="zh-CN"/>
        </w:rPr>
        <w:t>1.28万元</w:t>
      </w:r>
      <w:r>
        <w:rPr>
          <w:rFonts w:hint="default" w:ascii="Times New Roman" w:hAnsi="Times New Roman" w:eastAsia="仿宋_GB2312" w:cs="Times New Roman"/>
          <w:color w:val="auto"/>
          <w:sz w:val="32"/>
          <w:szCs w:val="32"/>
        </w:rPr>
        <w:t>。</w:t>
      </w:r>
    </w:p>
    <w:p>
      <w:pPr>
        <w:pageBreakBefore w:val="0"/>
        <w:widowControl w:val="0"/>
        <w:kinsoku/>
        <w:wordWrap/>
        <w:overflowPunct/>
        <w:topLinePunct w:val="0"/>
        <w:bidi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外事接待支出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无外事接待</w:t>
      </w:r>
      <w:r>
        <w:rPr>
          <w:rFonts w:hint="default" w:ascii="Times New Roman" w:hAnsi="Times New Roman" w:eastAsia="仿宋_GB2312" w:cs="Times New Roman"/>
          <w:sz w:val="32"/>
          <w:szCs w:val="32"/>
        </w:rPr>
        <w:t>。</w:t>
      </w:r>
    </w:p>
    <w:p>
      <w:pPr>
        <w:pageBreakBefore w:val="0"/>
        <w:widowControl w:val="0"/>
        <w:kinsoku/>
        <w:wordWrap/>
        <w:overflowPunct/>
        <w:topLinePunct w:val="0"/>
        <w:bidi w:val="0"/>
        <w:spacing w:line="600" w:lineRule="exact"/>
        <w:ind w:firstLine="640"/>
        <w:textAlignment w:val="auto"/>
        <w:outlineLvl w:val="1"/>
        <w:rPr>
          <w:rFonts w:ascii="黑体" w:eastAsia="黑体"/>
          <w:sz w:val="32"/>
          <w:szCs w:val="32"/>
        </w:rPr>
      </w:pPr>
      <w:bookmarkStart w:id="40" w:name="_Toc15396610"/>
      <w:bookmarkStart w:id="41" w:name="_Toc15377218"/>
    </w:p>
    <w:p>
      <w:pPr>
        <w:pageBreakBefore w:val="0"/>
        <w:widowControl w:val="0"/>
        <w:kinsoku/>
        <w:wordWrap/>
        <w:overflowPunct/>
        <w:topLinePunct w:val="0"/>
        <w:bidi w:val="0"/>
        <w:spacing w:line="600" w:lineRule="exact"/>
        <w:ind w:firstLine="640"/>
        <w:textAlignment w:val="auto"/>
        <w:outlineLvl w:val="1"/>
        <w:rPr>
          <w:rStyle w:val="26"/>
          <w:rFonts w:ascii="黑体" w:hAnsi="黑体" w:eastAsia="黑体"/>
        </w:rPr>
      </w:pPr>
      <w:r>
        <w:rPr>
          <w:rFonts w:hint="eastAsia" w:ascii="黑体" w:eastAsia="黑体"/>
          <w:sz w:val="32"/>
          <w:szCs w:val="32"/>
        </w:rPr>
        <w:t>八、</w:t>
      </w:r>
      <w:r>
        <w:rPr>
          <w:rStyle w:val="26"/>
          <w:rFonts w:hint="eastAsia" w:ascii="黑体" w:hAnsi="黑体" w:eastAsia="黑体"/>
          <w:b w:val="0"/>
        </w:rPr>
        <w:t>政府性基金预算支出决算情况说明</w:t>
      </w:r>
      <w:bookmarkEnd w:id="40"/>
      <w:bookmarkEnd w:id="41"/>
    </w:p>
    <w:p>
      <w:pPr>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rPr>
        <w:t>22年政府性基金预算财政拨款支出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p>
    <w:p>
      <w:pPr>
        <w:pageBreakBefore w:val="0"/>
        <w:widowControl w:val="0"/>
        <w:kinsoku/>
        <w:wordWrap/>
        <w:overflowPunct/>
        <w:topLinePunct w:val="0"/>
        <w:bidi w:val="0"/>
        <w:spacing w:line="600" w:lineRule="exact"/>
        <w:ind w:firstLine="640"/>
        <w:textAlignment w:val="auto"/>
        <w:rPr>
          <w:rFonts w:ascii="仿宋_GB2312" w:eastAsia="仿宋_GB2312"/>
          <w:sz w:val="32"/>
          <w:szCs w:val="32"/>
        </w:rPr>
      </w:pPr>
    </w:p>
    <w:p>
      <w:pPr>
        <w:pageBreakBefore w:val="0"/>
        <w:widowControl w:val="0"/>
        <w:numPr>
          <w:ilvl w:val="0"/>
          <w:numId w:val="3"/>
        </w:numPr>
        <w:kinsoku/>
        <w:wordWrap/>
        <w:overflowPunct/>
        <w:topLinePunct w:val="0"/>
        <w:bidi w:val="0"/>
        <w:spacing w:line="600" w:lineRule="exact"/>
        <w:ind w:firstLine="640"/>
        <w:textAlignment w:val="auto"/>
        <w:outlineLvl w:val="1"/>
        <w:rPr>
          <w:rStyle w:val="26"/>
          <w:rFonts w:ascii="黑体" w:hAnsi="黑体" w:eastAsia="黑体"/>
          <w:b w:val="0"/>
        </w:rPr>
      </w:pPr>
      <w:bookmarkStart w:id="42" w:name="_Toc15377219"/>
      <w:bookmarkStart w:id="43" w:name="_Toc15396611"/>
      <w:r>
        <w:rPr>
          <w:rStyle w:val="26"/>
          <w:rFonts w:hint="eastAsia" w:ascii="黑体" w:hAnsi="黑体" w:eastAsia="黑体"/>
          <w:b w:val="0"/>
        </w:rPr>
        <w:t>国有资本经营预算支出决算情况说明</w:t>
      </w:r>
      <w:bookmarkEnd w:id="42"/>
      <w:bookmarkEnd w:id="43"/>
    </w:p>
    <w:p>
      <w:pPr>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rPr>
        <w:t>22年国有资本经营预算财政拨款支出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p>
    <w:p>
      <w:pPr>
        <w:pageBreakBefore w:val="0"/>
        <w:widowControl w:val="0"/>
        <w:kinsoku/>
        <w:wordWrap/>
        <w:overflowPunct/>
        <w:topLinePunct w:val="0"/>
        <w:bidi w:val="0"/>
        <w:spacing w:line="580" w:lineRule="exact"/>
        <w:jc w:val="center"/>
        <w:textAlignment w:val="auto"/>
        <w:rPr>
          <w:rFonts w:ascii="方正小标宋简体" w:hAnsi="方正小标宋简体" w:eastAsia="方正小标宋简体" w:cs="方正小标宋简体"/>
          <w:sz w:val="44"/>
          <w:szCs w:val="44"/>
        </w:rPr>
      </w:pPr>
    </w:p>
    <w:p>
      <w:pPr>
        <w:pageBreakBefore w:val="0"/>
        <w:widowControl w:val="0"/>
        <w:numPr>
          <w:ilvl w:val="0"/>
          <w:numId w:val="3"/>
        </w:numPr>
        <w:kinsoku/>
        <w:wordWrap/>
        <w:overflowPunct/>
        <w:topLinePunct w:val="0"/>
        <w:bidi w:val="0"/>
        <w:spacing w:line="600" w:lineRule="exact"/>
        <w:ind w:firstLine="640"/>
        <w:textAlignment w:val="auto"/>
        <w:outlineLvl w:val="1"/>
        <w:rPr>
          <w:rStyle w:val="26"/>
          <w:rFonts w:ascii="黑体" w:hAnsi="黑体" w:eastAsia="黑体"/>
          <w:b w:val="0"/>
        </w:rPr>
      </w:pPr>
      <w:bookmarkStart w:id="44" w:name="_Toc15396612"/>
      <w:bookmarkStart w:id="45" w:name="_Toc15377221"/>
      <w:r>
        <w:rPr>
          <w:rStyle w:val="26"/>
          <w:rFonts w:hint="eastAsia" w:ascii="黑体" w:hAnsi="黑体" w:eastAsia="黑体"/>
          <w:b w:val="0"/>
        </w:rPr>
        <w:t>其他重要事项的情况说明</w:t>
      </w:r>
      <w:bookmarkEnd w:id="44"/>
      <w:bookmarkEnd w:id="45"/>
    </w:p>
    <w:p>
      <w:pPr>
        <w:pageBreakBefore w:val="0"/>
        <w:widowControl w:val="0"/>
        <w:kinsoku/>
        <w:wordWrap/>
        <w:overflowPunct/>
        <w:topLinePunct w:val="0"/>
        <w:bidi w:val="0"/>
        <w:spacing w:line="600" w:lineRule="exact"/>
        <w:ind w:firstLine="643" w:firstLineChars="200"/>
        <w:textAlignment w:val="auto"/>
        <w:outlineLvl w:val="2"/>
        <w:rPr>
          <w:rFonts w:hint="default" w:ascii="Times New Roman" w:hAnsi="Times New Roman" w:eastAsia="仿宋_GB2312" w:cs="Times New Roman"/>
          <w:sz w:val="32"/>
          <w:szCs w:val="32"/>
        </w:rPr>
      </w:pPr>
      <w:bookmarkStart w:id="46" w:name="_Toc15377222"/>
      <w:r>
        <w:rPr>
          <w:rFonts w:hint="default" w:ascii="Times New Roman" w:hAnsi="Times New Roman" w:eastAsia="仿宋_GB2312" w:cs="Times New Roman"/>
          <w:b/>
          <w:sz w:val="32"/>
          <w:szCs w:val="32"/>
        </w:rPr>
        <w:t>（一）机关运行经费支出情况</w:t>
      </w:r>
      <w:bookmarkEnd w:id="46"/>
    </w:p>
    <w:p>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2022年，机关运行经费支出</w:t>
      </w:r>
      <w:r>
        <w:rPr>
          <w:rFonts w:hint="default" w:ascii="Times New Roman" w:hAnsi="Times New Roman" w:eastAsia="仿宋_GB2312" w:cs="Times New Roman"/>
          <w:sz w:val="32"/>
          <w:szCs w:val="32"/>
          <w:lang w:val="en-US" w:eastAsia="zh-CN"/>
        </w:rPr>
        <w:t>46.09</w:t>
      </w:r>
      <w:r>
        <w:rPr>
          <w:rFonts w:hint="default" w:ascii="Times New Roman" w:hAnsi="Times New Roman" w:eastAsia="仿宋_GB2312" w:cs="Times New Roman"/>
          <w:sz w:val="32"/>
          <w:szCs w:val="32"/>
        </w:rPr>
        <w:t>万元，比2021年减少</w:t>
      </w:r>
      <w:r>
        <w:rPr>
          <w:rFonts w:hint="default" w:ascii="Times New Roman" w:hAnsi="Times New Roman" w:eastAsia="仿宋_GB2312" w:cs="Times New Roman"/>
          <w:sz w:val="32"/>
          <w:szCs w:val="32"/>
          <w:lang w:val="en-US" w:eastAsia="zh-CN"/>
        </w:rPr>
        <w:t>5.1</w:t>
      </w:r>
      <w:r>
        <w:rPr>
          <w:rFonts w:hint="default" w:ascii="Times New Roman" w:hAnsi="Times New Roman" w:eastAsia="仿宋_GB2312" w:cs="Times New Roman"/>
          <w:sz w:val="32"/>
          <w:szCs w:val="32"/>
        </w:rPr>
        <w:t>万元，下降</w:t>
      </w:r>
      <w:r>
        <w:rPr>
          <w:rFonts w:hint="default" w:ascii="Times New Roman" w:hAnsi="Times New Roman" w:eastAsia="仿宋_GB2312" w:cs="Times New Roman"/>
          <w:sz w:val="32"/>
          <w:szCs w:val="32"/>
          <w:lang w:val="en-US" w:eastAsia="zh-CN"/>
        </w:rPr>
        <w:t>9.96</w:t>
      </w:r>
      <w:r>
        <w:rPr>
          <w:rFonts w:hint="default" w:ascii="Times New Roman" w:hAnsi="Times New Roman" w:eastAsia="仿宋_GB2312" w:cs="Times New Roman"/>
          <w:sz w:val="32"/>
          <w:szCs w:val="32"/>
        </w:rPr>
        <w:t>%。主要原因是</w:t>
      </w:r>
      <w:r>
        <w:rPr>
          <w:rFonts w:hint="default" w:ascii="Times New Roman" w:hAnsi="Times New Roman" w:eastAsia="仿宋_GB2312" w:cs="Times New Roman"/>
          <w:sz w:val="32"/>
          <w:szCs w:val="32"/>
          <w:lang w:val="en-US" w:eastAsia="zh-CN"/>
        </w:rPr>
        <w:t>2022年度人员调动。</w:t>
      </w:r>
    </w:p>
    <w:p>
      <w:pPr>
        <w:pageBreakBefore w:val="0"/>
        <w:widowControl w:val="0"/>
        <w:kinsoku/>
        <w:wordWrap/>
        <w:overflowPunct/>
        <w:topLinePunct w:val="0"/>
        <w:autoSpaceDE w:val="0"/>
        <w:autoSpaceDN w:val="0"/>
        <w:bidi w:val="0"/>
        <w:adjustRightInd w:val="0"/>
        <w:spacing w:line="600" w:lineRule="exact"/>
        <w:ind w:firstLine="643" w:firstLineChars="200"/>
        <w:jc w:val="left"/>
        <w:textAlignment w:val="auto"/>
        <w:outlineLvl w:val="2"/>
        <w:rPr>
          <w:rFonts w:hint="default" w:ascii="Times New Roman" w:hAnsi="Times New Roman" w:eastAsia="仿宋_GB2312" w:cs="Times New Roman"/>
          <w:b/>
          <w:sz w:val="32"/>
          <w:szCs w:val="32"/>
        </w:rPr>
      </w:pPr>
      <w:bookmarkStart w:id="47" w:name="_Toc15377223"/>
      <w:r>
        <w:rPr>
          <w:rFonts w:hint="default" w:ascii="Times New Roman" w:hAnsi="Times New Roman" w:eastAsia="仿宋_GB2312" w:cs="Times New Roman"/>
          <w:b/>
          <w:sz w:val="32"/>
          <w:szCs w:val="32"/>
        </w:rPr>
        <w:t>（二）政府采购支出情况</w:t>
      </w:r>
      <w:bookmarkEnd w:id="47"/>
    </w:p>
    <w:p>
      <w:pPr>
        <w:pageBreakBefore w:val="0"/>
        <w:widowControl w:val="0"/>
        <w:kinsoku/>
        <w:wordWrap/>
        <w:overflowPunct/>
        <w:topLinePunct w:val="0"/>
        <w:bidi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default" w:ascii="Times New Roman" w:hAnsi="Times New Roman" w:eastAsia="仿宋_GB2312" w:cs="Times New Roman"/>
          <w:sz w:val="32"/>
          <w:szCs w:val="32"/>
          <w:lang w:eastAsia="zh-CN"/>
        </w:rPr>
        <w:t>西区生态环境局</w:t>
      </w:r>
      <w:r>
        <w:rPr>
          <w:rFonts w:hint="default" w:ascii="Times New Roman" w:hAnsi="Times New Roman" w:eastAsia="仿宋_GB2312" w:cs="Times New Roman"/>
          <w:sz w:val="32"/>
          <w:szCs w:val="32"/>
        </w:rPr>
        <w:t>政府采购支出总额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万元，其中：政府采购货物支出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万元、政府采购工程支出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万元、政府采购服务支出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万元。授予中小企业合同金额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%，其中：授予小微企业合同金额</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万元，占政府采购支出总额的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w:t>
      </w:r>
    </w:p>
    <w:p>
      <w:pPr>
        <w:pageBreakBefore w:val="0"/>
        <w:widowControl w:val="0"/>
        <w:kinsoku/>
        <w:wordWrap/>
        <w:overflowPunct/>
        <w:topLinePunct w:val="0"/>
        <w:autoSpaceDE w:val="0"/>
        <w:autoSpaceDN w:val="0"/>
        <w:bidi w:val="0"/>
        <w:adjustRightInd w:val="0"/>
        <w:spacing w:line="600" w:lineRule="exact"/>
        <w:ind w:firstLine="643" w:firstLineChars="200"/>
        <w:jc w:val="left"/>
        <w:textAlignment w:val="auto"/>
        <w:outlineLvl w:val="2"/>
        <w:rPr>
          <w:rFonts w:hint="default" w:ascii="Times New Roman" w:hAnsi="Times New Roman" w:eastAsia="仿宋_GB2312" w:cs="Times New Roman"/>
          <w:b/>
          <w:sz w:val="32"/>
          <w:szCs w:val="32"/>
        </w:rPr>
      </w:pPr>
      <w:bookmarkStart w:id="48" w:name="_Toc15377224"/>
      <w:r>
        <w:rPr>
          <w:rFonts w:hint="default" w:ascii="Times New Roman" w:hAnsi="Times New Roman" w:eastAsia="仿宋_GB2312" w:cs="Times New Roman"/>
          <w:b/>
          <w:sz w:val="32"/>
          <w:szCs w:val="32"/>
        </w:rPr>
        <w:t>（三）国有资产占有使用情况</w:t>
      </w:r>
      <w:bookmarkEnd w:id="48"/>
    </w:p>
    <w:p>
      <w:pPr>
        <w:pageBreakBefore w:val="0"/>
        <w:widowControl w:val="0"/>
        <w:kinsoku/>
        <w:wordWrap/>
        <w:overflowPunct/>
        <w:topLinePunct w:val="0"/>
        <w:autoSpaceDE w:val="0"/>
        <w:autoSpaceDN w:val="0"/>
        <w:bidi w:val="0"/>
        <w:adjustRightInd w:val="0"/>
        <w:spacing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截至2022年12月31日，</w:t>
      </w:r>
      <w:r>
        <w:rPr>
          <w:rFonts w:hint="default" w:ascii="Times New Roman" w:hAnsi="Times New Roman" w:eastAsia="仿宋_GB2312" w:cs="Times New Roman"/>
          <w:sz w:val="32"/>
          <w:szCs w:val="32"/>
          <w:lang w:eastAsia="zh-CN"/>
        </w:rPr>
        <w:t>西区生态环境局</w:t>
      </w:r>
      <w:r>
        <w:rPr>
          <w:rFonts w:hint="default" w:ascii="Times New Roman" w:hAnsi="Times New Roman" w:eastAsia="仿宋_GB2312" w:cs="Times New Roman"/>
          <w:sz w:val="32"/>
          <w:szCs w:val="32"/>
        </w:rPr>
        <w:t>共有车辆</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辆，其中：主要领导干部用车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辆、机要通信用车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辆、应急保障用车</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辆、其他用车</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辆，其他用车主要是用于</w:t>
      </w:r>
      <w:r>
        <w:rPr>
          <w:rFonts w:hint="default" w:ascii="Times New Roman" w:hAnsi="Times New Roman" w:eastAsia="仿宋_GB2312" w:cs="Times New Roman"/>
          <w:sz w:val="32"/>
          <w:szCs w:val="32"/>
          <w:lang w:eastAsia="zh-CN"/>
        </w:rPr>
        <w:t>环境空气雾炮</w:t>
      </w:r>
      <w:r>
        <w:rPr>
          <w:rFonts w:hint="default" w:ascii="Times New Roman" w:hAnsi="Times New Roman" w:eastAsia="仿宋_GB2312" w:cs="Times New Roman"/>
          <w:sz w:val="32"/>
          <w:szCs w:val="32"/>
        </w:rPr>
        <w:t>。单价100万元以上专用设备</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台（套）。</w:t>
      </w:r>
    </w:p>
    <w:p>
      <w:pPr>
        <w:pageBreakBefore w:val="0"/>
        <w:widowControl w:val="0"/>
        <w:kinsoku/>
        <w:wordWrap/>
        <w:overflowPunct/>
        <w:topLinePunct w:val="0"/>
        <w:autoSpaceDE w:val="0"/>
        <w:autoSpaceDN w:val="0"/>
        <w:bidi w:val="0"/>
        <w:adjustRightInd w:val="0"/>
        <w:spacing w:line="600" w:lineRule="exact"/>
        <w:ind w:firstLine="643" w:firstLineChars="200"/>
        <w:jc w:val="left"/>
        <w:textAlignment w:val="auto"/>
        <w:outlineLvl w:val="2"/>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（四）预算绩效管理情况</w:t>
      </w:r>
    </w:p>
    <w:p>
      <w:pPr>
        <w:pStyle w:val="2"/>
        <w:pageBreakBefore w:val="0"/>
        <w:widowControl w:val="0"/>
        <w:kinsoku/>
        <w:wordWrap/>
        <w:overflowPunct/>
        <w:topLinePunct w:val="0"/>
        <w:bidi w:val="0"/>
        <w:spacing w:before="93"/>
        <w:ind w:firstLine="640" w:firstLineChars="200"/>
        <w:textAlignment w:val="auto"/>
        <w:rPr>
          <w:highlight w:val="yellow"/>
        </w:rPr>
      </w:pPr>
      <w:r>
        <w:rPr>
          <w:rFonts w:hint="default" w:ascii="Times New Roman" w:hAnsi="Times New Roman" w:eastAsia="仿宋_GB2312" w:cs="Times New Roman"/>
          <w:sz w:val="32"/>
          <w:szCs w:val="32"/>
        </w:rPr>
        <w:t>根据预算绩效管理要求，本单位在2022年度预算编制阶段，组织对</w:t>
      </w:r>
      <w:r>
        <w:rPr>
          <w:rFonts w:hint="default" w:ascii="Times New Roman" w:hAnsi="Times New Roman" w:eastAsia="仿宋_GB2312" w:cs="Times New Roman"/>
          <w:sz w:val="32"/>
          <w:szCs w:val="32"/>
          <w:lang w:val="en-US" w:eastAsia="zh-CN"/>
        </w:rPr>
        <w:t>2021年农村污水治理“千村示范”工程</w:t>
      </w:r>
      <w:r>
        <w:rPr>
          <w:rFonts w:hint="default" w:ascii="Times New Roman" w:hAnsi="Times New Roman" w:eastAsia="仿宋_GB2312" w:cs="Times New Roman"/>
          <w:sz w:val="32"/>
          <w:szCs w:val="32"/>
        </w:rPr>
        <w:t>项目等</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个项目开展了预算事前绩效评估，对</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个项目编制了绩效目标，预算执行过程中，选取</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个项目开展绩效监控，组织对</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个项目开展绩效自评，绩效自评表详见第四部分附件。</w:t>
      </w:r>
    </w:p>
    <w:p>
      <w:pPr>
        <w:pageBreakBefore w:val="0"/>
        <w:widowControl w:val="0"/>
        <w:kinsoku/>
        <w:wordWrap/>
        <w:overflowPunct/>
        <w:topLinePunct w:val="0"/>
        <w:bidi w:val="0"/>
        <w:jc w:val="left"/>
        <w:textAlignment w:val="auto"/>
        <w:rPr>
          <w:rFonts w:ascii="仿宋_GB2312" w:eastAsia="仿宋_GB2312"/>
          <w:b/>
          <w:sz w:val="32"/>
          <w:szCs w:val="32"/>
        </w:rPr>
      </w:pPr>
      <w:r>
        <w:rPr>
          <w:rFonts w:ascii="仿宋_GB2312" w:eastAsia="仿宋_GB2312"/>
          <w:b/>
          <w:sz w:val="32"/>
          <w:szCs w:val="32"/>
        </w:rPr>
        <w:br w:type="page"/>
      </w:r>
    </w:p>
    <w:p>
      <w:pPr>
        <w:pageBreakBefore w:val="0"/>
        <w:widowControl w:val="0"/>
        <w:numPr>
          <w:ilvl w:val="0"/>
          <w:numId w:val="4"/>
        </w:numPr>
        <w:kinsoku/>
        <w:wordWrap/>
        <w:overflowPunct/>
        <w:topLinePunct w:val="0"/>
        <w:bidi w:val="0"/>
        <w:spacing w:line="600" w:lineRule="exact"/>
        <w:ind w:firstLine="660" w:firstLineChars="150"/>
        <w:jc w:val="center"/>
        <w:textAlignment w:val="auto"/>
        <w:outlineLvl w:val="0"/>
        <w:rPr>
          <w:rStyle w:val="25"/>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5"/>
          <w:rFonts w:hint="eastAsia" w:ascii="黑体" w:hAnsi="黑体" w:eastAsia="黑体"/>
          <w:b w:val="0"/>
        </w:rPr>
        <w:t>词解释</w:t>
      </w:r>
      <w:bookmarkEnd w:id="49"/>
      <w:bookmarkEnd w:id="50"/>
    </w:p>
    <w:p>
      <w:pPr>
        <w:pageBreakBefore w:val="0"/>
        <w:widowControl w:val="0"/>
        <w:kinsoku/>
        <w:wordWrap/>
        <w:overflowPunct/>
        <w:topLinePunct w:val="0"/>
        <w:bidi w:val="0"/>
        <w:spacing w:line="600" w:lineRule="exact"/>
        <w:jc w:val="left"/>
        <w:textAlignment w:val="auto"/>
        <w:rPr>
          <w:rFonts w:ascii="宋体"/>
          <w:b/>
          <w:sz w:val="44"/>
          <w:szCs w:val="44"/>
        </w:rPr>
      </w:pPr>
    </w:p>
    <w:p>
      <w:pPr>
        <w:pStyle w:val="23"/>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1.财政拨款收入：指单位从同级财政部门取得的财政预算资金。</w:t>
      </w:r>
    </w:p>
    <w:p>
      <w:pPr>
        <w:pStyle w:val="23"/>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.其他收入：指单位取得的除上述收入以外的各项收入。主要是</w:t>
      </w:r>
      <w:r>
        <w:rPr>
          <w:rFonts w:hint="default" w:ascii="Times New Roman" w:hAnsi="Times New Roman" w:eastAsia="仿宋_GB2312" w:cs="Times New Roman"/>
          <w:color w:val="auto"/>
          <w:sz w:val="32"/>
          <w:szCs w:val="32"/>
          <w:lang w:eastAsia="zh-CN"/>
        </w:rPr>
        <w:t>区级财政安排资金</w:t>
      </w:r>
      <w:r>
        <w:rPr>
          <w:rFonts w:hint="default" w:ascii="Times New Roman" w:hAnsi="Times New Roman" w:eastAsia="仿宋_GB2312" w:cs="Times New Roman"/>
          <w:color w:val="auto"/>
          <w:sz w:val="32"/>
          <w:szCs w:val="32"/>
        </w:rPr>
        <w:t xml:space="preserve">等。 </w:t>
      </w:r>
    </w:p>
    <w:p>
      <w:pPr>
        <w:pStyle w:val="23"/>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 xml:space="preserve">.使用非财政拨款结余：指事业单位使用以前年度积累的非财政拨款结余弥补当年收支差额的金额。 </w:t>
      </w:r>
    </w:p>
    <w:p>
      <w:pPr>
        <w:pStyle w:val="23"/>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 xml:space="preserve">.年初结转和结余：指以前年度尚未完成、结转到本年按有关规定继续使用的资金。 </w:t>
      </w:r>
    </w:p>
    <w:p>
      <w:pPr>
        <w:pStyle w:val="23"/>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.结余分配：指事业单位按照会计制度规定缴纳的所得税、提取的专用结余以及转入非财政拨款结余的金额等。</w:t>
      </w:r>
    </w:p>
    <w:p>
      <w:pPr>
        <w:pStyle w:val="23"/>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.年末结转和结余：指单位按有关规定结转到下年或以后年度继续使用的资金。</w:t>
      </w:r>
    </w:p>
    <w:p>
      <w:pPr>
        <w:pStyle w:val="31"/>
        <w:pageBreakBefore w:val="0"/>
        <w:widowControl w:val="0"/>
        <w:kinsoku/>
        <w:wordWrap/>
        <w:overflowPunct/>
        <w:topLinePunct w:val="0"/>
        <w:bidi w:val="0"/>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.社会保障和就业（类）行政事业单位养老（款）机关事业单位基本养老保险缴费（项）：指机关事业单位实施养老保险制度由单位缴纳的基本养老保险支出。</w:t>
      </w:r>
    </w:p>
    <w:p>
      <w:pPr>
        <w:pageBreakBefore w:val="0"/>
        <w:widowControl w:val="0"/>
        <w:kinsoku/>
        <w:wordWrap/>
        <w:overflowPunct/>
        <w:topLinePunct w:val="0"/>
        <w:bidi w:val="0"/>
        <w:spacing w:line="600" w:lineRule="exact"/>
        <w:ind w:firstLine="64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 卫生健康（类）行政事业单位医疗（款）事业单位医疗（项）：指财政部门安排的事业单位用于缴纳单位基本医疗保险支出。</w:t>
      </w:r>
    </w:p>
    <w:p>
      <w:pPr>
        <w:pageBreakBefore w:val="0"/>
        <w:widowControl w:val="0"/>
        <w:kinsoku/>
        <w:wordWrap/>
        <w:overflowPunct/>
        <w:topLinePunct w:val="0"/>
        <w:bidi w:val="0"/>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 卫生健康（类）行政事业单位医疗（款）公务员医疗补助（项）：指财政部门集中安排的公务员医疗补助经费。</w:t>
      </w:r>
    </w:p>
    <w:p>
      <w:pPr>
        <w:pageBreakBefore w:val="0"/>
        <w:widowControl w:val="0"/>
        <w:kinsoku/>
        <w:wordWrap/>
        <w:overflowPunct/>
        <w:topLinePunct w:val="0"/>
        <w:bidi w:val="0"/>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rPr>
        <w:t>.节能环保支出（类）环境保护管理事务（款）行政运行（项）：指行政单位（包括实行公务员管理的事业单位）的基本支出。</w:t>
      </w:r>
    </w:p>
    <w:p>
      <w:pPr>
        <w:pageBreakBefore w:val="0"/>
        <w:widowControl w:val="0"/>
        <w:kinsoku/>
        <w:wordWrap/>
        <w:overflowPunct/>
        <w:topLinePunct w:val="0"/>
        <w:bidi w:val="0"/>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.节能环保（类）环境保护管理事务（款）一般行政管理事务（项）：指行政单位未单独设置项级科目的其他项目支出。</w:t>
      </w:r>
    </w:p>
    <w:p>
      <w:pPr>
        <w:pageBreakBefore w:val="0"/>
        <w:widowControl w:val="0"/>
        <w:kinsoku/>
        <w:wordWrap/>
        <w:overflowPunct/>
        <w:topLinePunct w:val="0"/>
        <w:bidi w:val="0"/>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12</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节能环保支出（类）环境保护管理事务（款）其他环境保护管理事务支出（项）：指除行政运行、一般行政管理事务、机关服务、环境保护宣传等以外其他用于环境保护管理事务方面的支出。</w:t>
      </w:r>
    </w:p>
    <w:p>
      <w:pPr>
        <w:pageBreakBefore w:val="0"/>
        <w:widowControl w:val="0"/>
        <w:kinsoku/>
        <w:wordWrap/>
        <w:overflowPunct/>
        <w:topLinePunct w:val="0"/>
        <w:bidi w:val="0"/>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.节能环保支出（类）污染防治（款）其他污染防治支出（项）：指除大气、水体、噪声、固体废弃物与化学品、放射源和放射性废物监管、辐射以外其他用于污染防治方面的支出。</w:t>
      </w:r>
    </w:p>
    <w:p>
      <w:pPr>
        <w:pageBreakBefore w:val="0"/>
        <w:widowControl w:val="0"/>
        <w:kinsoku/>
        <w:wordWrap/>
        <w:overflowPunct/>
        <w:topLinePunct w:val="0"/>
        <w:bidi w:val="0"/>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4</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住房保障支出（类）住房改革支出（款）住房公积金（项）：指行政事业单位按人力资源和社会保障部、财政部规定的基本工资和津贴补贴以及规定比例为职工缴纳的住房公积金。</w:t>
      </w:r>
    </w:p>
    <w:p>
      <w:pPr>
        <w:pageBreakBefore w:val="0"/>
        <w:widowControl w:val="0"/>
        <w:kinsoku/>
        <w:wordWrap/>
        <w:overflowPunct/>
        <w:topLinePunct w:val="0"/>
        <w:bidi w:val="0"/>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.基本支出：指为保障机构正常运转、完成日常工作任务而发生的人员支出和公用支出。</w:t>
      </w:r>
    </w:p>
    <w:p>
      <w:pPr>
        <w:pageBreakBefore w:val="0"/>
        <w:widowControl w:val="0"/>
        <w:kinsoku/>
        <w:wordWrap/>
        <w:overflowPunct/>
        <w:topLinePunct w:val="0"/>
        <w:bidi w:val="0"/>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.项目支出：指在基本支出之外为完成特定行政任务和事业发展目标所发生的支出。</w:t>
      </w:r>
    </w:p>
    <w:p>
      <w:pPr>
        <w:pStyle w:val="23"/>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widowControl w:val="0"/>
        <w:kinsoku/>
        <w:wordWrap/>
        <w:overflowPunct/>
        <w:topLinePunct w:val="0"/>
        <w:bidi w:val="0"/>
        <w:spacing w:line="600" w:lineRule="exact"/>
        <w:jc w:val="center"/>
        <w:textAlignment w:val="auto"/>
        <w:outlineLvl w:val="0"/>
        <w:rPr>
          <w:rFonts w:hint="eastAsia" w:ascii="黑体" w:hAnsi="黑体" w:eastAsia="黑体"/>
          <w:sz w:val="44"/>
          <w:szCs w:val="44"/>
        </w:rPr>
      </w:pPr>
      <w:bookmarkStart w:id="51" w:name="_Toc15396614"/>
      <w:bookmarkStart w:id="52" w:name="_Toc15377226"/>
    </w:p>
    <w:p>
      <w:pPr>
        <w:pageBreakBefore w:val="0"/>
        <w:widowControl w:val="0"/>
        <w:kinsoku/>
        <w:wordWrap/>
        <w:overflowPunct/>
        <w:topLinePunct w:val="0"/>
        <w:bidi w:val="0"/>
        <w:spacing w:line="600" w:lineRule="exact"/>
        <w:jc w:val="center"/>
        <w:textAlignment w:val="auto"/>
        <w:outlineLvl w:val="0"/>
        <w:rPr>
          <w:rFonts w:hint="eastAsia" w:ascii="黑体" w:hAnsi="黑体" w:eastAsia="黑体"/>
          <w:sz w:val="44"/>
          <w:szCs w:val="44"/>
        </w:rPr>
      </w:pPr>
    </w:p>
    <w:p>
      <w:pPr>
        <w:pageBreakBefore w:val="0"/>
        <w:widowControl w:val="0"/>
        <w:kinsoku/>
        <w:wordWrap/>
        <w:overflowPunct/>
        <w:topLinePunct w:val="0"/>
        <w:bidi w:val="0"/>
        <w:spacing w:line="600" w:lineRule="exact"/>
        <w:jc w:val="center"/>
        <w:textAlignment w:val="auto"/>
        <w:outlineLvl w:val="0"/>
        <w:rPr>
          <w:rFonts w:hint="eastAsia" w:ascii="黑体" w:hAnsi="黑体" w:eastAsia="黑体"/>
          <w:sz w:val="44"/>
          <w:szCs w:val="44"/>
        </w:rPr>
      </w:pPr>
    </w:p>
    <w:p>
      <w:pPr>
        <w:pageBreakBefore w:val="0"/>
        <w:widowControl w:val="0"/>
        <w:kinsoku/>
        <w:wordWrap/>
        <w:overflowPunct/>
        <w:topLinePunct w:val="0"/>
        <w:bidi w:val="0"/>
        <w:spacing w:line="600" w:lineRule="exact"/>
        <w:jc w:val="center"/>
        <w:textAlignment w:val="auto"/>
        <w:outlineLvl w:val="0"/>
        <w:rPr>
          <w:rFonts w:hint="eastAsia" w:ascii="黑体" w:hAnsi="黑体" w:eastAsia="黑体"/>
          <w:sz w:val="44"/>
          <w:szCs w:val="44"/>
        </w:rPr>
      </w:pPr>
    </w:p>
    <w:p>
      <w:pPr>
        <w:pageBreakBefore w:val="0"/>
        <w:widowControl w:val="0"/>
        <w:kinsoku/>
        <w:wordWrap/>
        <w:overflowPunct/>
        <w:topLinePunct w:val="0"/>
        <w:bidi w:val="0"/>
        <w:spacing w:line="600" w:lineRule="exact"/>
        <w:jc w:val="center"/>
        <w:textAlignment w:val="auto"/>
        <w:outlineLvl w:val="0"/>
        <w:rPr>
          <w:rFonts w:hint="eastAsia" w:ascii="黑体" w:hAnsi="黑体" w:eastAsia="黑体"/>
          <w:sz w:val="44"/>
          <w:szCs w:val="44"/>
        </w:rPr>
      </w:pPr>
    </w:p>
    <w:p>
      <w:pPr>
        <w:pageBreakBefore w:val="0"/>
        <w:widowControl w:val="0"/>
        <w:kinsoku/>
        <w:wordWrap/>
        <w:overflowPunct/>
        <w:topLinePunct w:val="0"/>
        <w:bidi w:val="0"/>
        <w:spacing w:line="600" w:lineRule="exact"/>
        <w:jc w:val="center"/>
        <w:textAlignment w:val="auto"/>
        <w:outlineLvl w:val="0"/>
        <w:rPr>
          <w:rFonts w:hint="eastAsia" w:ascii="黑体" w:hAnsi="黑体" w:eastAsia="黑体"/>
          <w:sz w:val="44"/>
          <w:szCs w:val="44"/>
        </w:rPr>
      </w:pPr>
    </w:p>
    <w:p>
      <w:pPr>
        <w:pageBreakBefore w:val="0"/>
        <w:widowControl w:val="0"/>
        <w:kinsoku/>
        <w:wordWrap/>
        <w:overflowPunct/>
        <w:topLinePunct w:val="0"/>
        <w:bidi w:val="0"/>
        <w:spacing w:line="600" w:lineRule="exact"/>
        <w:jc w:val="center"/>
        <w:textAlignment w:val="auto"/>
        <w:outlineLvl w:val="0"/>
        <w:rPr>
          <w:rFonts w:hint="eastAsia" w:ascii="黑体" w:hAnsi="黑体" w:eastAsia="黑体"/>
          <w:sz w:val="44"/>
          <w:szCs w:val="44"/>
        </w:rPr>
      </w:pPr>
    </w:p>
    <w:p>
      <w:pPr>
        <w:pageBreakBefore w:val="0"/>
        <w:widowControl w:val="0"/>
        <w:kinsoku/>
        <w:wordWrap/>
        <w:overflowPunct/>
        <w:topLinePunct w:val="0"/>
        <w:bidi w:val="0"/>
        <w:spacing w:line="600" w:lineRule="exact"/>
        <w:jc w:val="center"/>
        <w:textAlignment w:val="auto"/>
        <w:outlineLvl w:val="0"/>
        <w:rPr>
          <w:rFonts w:hint="eastAsia" w:ascii="黑体" w:hAnsi="黑体" w:eastAsia="黑体"/>
          <w:sz w:val="44"/>
          <w:szCs w:val="44"/>
        </w:rPr>
      </w:pPr>
    </w:p>
    <w:p>
      <w:pPr>
        <w:pageBreakBefore w:val="0"/>
        <w:widowControl w:val="0"/>
        <w:kinsoku/>
        <w:wordWrap/>
        <w:overflowPunct/>
        <w:topLinePunct w:val="0"/>
        <w:bidi w:val="0"/>
        <w:spacing w:line="600" w:lineRule="exact"/>
        <w:jc w:val="center"/>
        <w:textAlignment w:val="auto"/>
        <w:outlineLvl w:val="0"/>
        <w:rPr>
          <w:rFonts w:hint="eastAsia" w:ascii="黑体" w:hAnsi="黑体" w:eastAsia="黑体"/>
          <w:sz w:val="44"/>
          <w:szCs w:val="44"/>
        </w:rPr>
      </w:pPr>
    </w:p>
    <w:p>
      <w:pPr>
        <w:pageBreakBefore w:val="0"/>
        <w:widowControl w:val="0"/>
        <w:kinsoku/>
        <w:wordWrap/>
        <w:overflowPunct/>
        <w:topLinePunct w:val="0"/>
        <w:bidi w:val="0"/>
        <w:spacing w:line="600" w:lineRule="exact"/>
        <w:jc w:val="center"/>
        <w:textAlignment w:val="auto"/>
        <w:outlineLvl w:val="0"/>
        <w:rPr>
          <w:rFonts w:hint="eastAsia" w:ascii="黑体" w:hAnsi="黑体" w:eastAsia="黑体"/>
          <w:sz w:val="44"/>
          <w:szCs w:val="44"/>
        </w:rPr>
      </w:pPr>
    </w:p>
    <w:p>
      <w:pPr>
        <w:pageBreakBefore w:val="0"/>
        <w:widowControl w:val="0"/>
        <w:kinsoku/>
        <w:wordWrap/>
        <w:overflowPunct/>
        <w:topLinePunct w:val="0"/>
        <w:bidi w:val="0"/>
        <w:spacing w:line="600" w:lineRule="exact"/>
        <w:jc w:val="center"/>
        <w:textAlignment w:val="auto"/>
        <w:outlineLvl w:val="0"/>
        <w:rPr>
          <w:rFonts w:hint="eastAsia" w:ascii="黑体" w:hAnsi="黑体" w:eastAsia="黑体"/>
          <w:sz w:val="44"/>
          <w:szCs w:val="44"/>
        </w:rPr>
      </w:pPr>
    </w:p>
    <w:p>
      <w:pPr>
        <w:pageBreakBefore w:val="0"/>
        <w:widowControl w:val="0"/>
        <w:kinsoku/>
        <w:wordWrap/>
        <w:overflowPunct/>
        <w:topLinePunct w:val="0"/>
        <w:bidi w:val="0"/>
        <w:spacing w:line="600" w:lineRule="exact"/>
        <w:jc w:val="center"/>
        <w:textAlignment w:val="auto"/>
        <w:outlineLvl w:val="0"/>
        <w:rPr>
          <w:rStyle w:val="25"/>
          <w:rFonts w:ascii="黑体" w:hAnsi="黑体" w:eastAsia="黑体"/>
          <w:b w:val="0"/>
        </w:rPr>
      </w:pPr>
      <w:r>
        <w:rPr>
          <w:rFonts w:hint="eastAsia" w:ascii="黑体" w:hAnsi="黑体" w:eastAsia="黑体"/>
          <w:sz w:val="44"/>
          <w:szCs w:val="44"/>
        </w:rPr>
        <w:t>第</w:t>
      </w:r>
      <w:r>
        <w:rPr>
          <w:rStyle w:val="25"/>
          <w:rFonts w:hint="eastAsia" w:ascii="黑体" w:hAnsi="黑体" w:eastAsia="黑体"/>
          <w:b w:val="0"/>
        </w:rPr>
        <w:t>四部分 附件</w:t>
      </w:r>
      <w:bookmarkEnd w:id="51"/>
    </w:p>
    <w:p>
      <w:pPr>
        <w:pageBreakBefore w:val="0"/>
        <w:widowControl w:val="0"/>
        <w:kinsoku/>
        <w:wordWrap/>
        <w:overflowPunct/>
        <w:topLinePunct w:val="0"/>
        <w:bidi w:val="0"/>
        <w:spacing w:line="572" w:lineRule="exact"/>
        <w:jc w:val="left"/>
        <w:textAlignment w:val="auto"/>
        <w:outlineLvl w:val="0"/>
        <w:rPr>
          <w:rFonts w:ascii="仿宋_GB2312" w:hAnsi="仿宋_GB2312" w:eastAsia="仿宋_GB2312" w:cs="仿宋_GB2312"/>
          <w:sz w:val="32"/>
          <w:szCs w:val="32"/>
        </w:rPr>
      </w:pPr>
    </w:p>
    <w:p>
      <w:pPr>
        <w:pageBreakBefore w:val="0"/>
        <w:widowControl w:val="0"/>
        <w:kinsoku/>
        <w:wordWrap/>
        <w:overflowPunct/>
        <w:topLinePunct w:val="0"/>
        <w:bidi w:val="0"/>
        <w:spacing w:line="600" w:lineRule="exact"/>
        <w:jc w:val="center"/>
        <w:textAlignment w:val="auto"/>
        <w:outlineLvl w:val="0"/>
        <w:rPr>
          <w:rFonts w:hint="default" w:ascii="Times New Roman" w:hAnsi="Times New Roman" w:eastAsia="仿宋_GB2312" w:cs="Times New Roman"/>
          <w:kern w:val="0"/>
          <w:sz w:val="32"/>
          <w:szCs w:val="32"/>
        </w:rPr>
      </w:pPr>
      <w:bookmarkStart w:id="53" w:name="_Toc15396618"/>
      <w:r>
        <w:rPr>
          <w:rFonts w:hint="default" w:ascii="Times New Roman" w:hAnsi="Times New Roman" w:eastAsia="仿宋_GB2312" w:cs="Times New Roman"/>
          <w:kern w:val="0"/>
          <w:sz w:val="32"/>
          <w:szCs w:val="32"/>
        </w:rPr>
        <w:t>部门预算项目支出绩效自评表（2022年度）见附件*</w:t>
      </w:r>
    </w:p>
    <w:p>
      <w:pPr>
        <w:pageBreakBefore w:val="0"/>
        <w:widowControl w:val="0"/>
        <w:kinsoku/>
        <w:wordWrap/>
        <w:overflowPunct/>
        <w:topLinePunct w:val="0"/>
        <w:bidi w:val="0"/>
        <w:spacing w:line="600" w:lineRule="exact"/>
        <w:jc w:val="left"/>
        <w:textAlignment w:val="auto"/>
        <w:outlineLvl w:val="0"/>
        <w:rPr>
          <w:rFonts w:ascii="仿宋_GB2312" w:hAnsi="Calibri" w:eastAsia="仿宋_GB2312" w:cs="仿宋"/>
          <w:kern w:val="0"/>
          <w:sz w:val="32"/>
          <w:szCs w:val="32"/>
        </w:rPr>
      </w:pPr>
    </w:p>
    <w:p>
      <w:pPr>
        <w:pStyle w:val="2"/>
        <w:pageBreakBefore w:val="0"/>
        <w:widowControl w:val="0"/>
        <w:kinsoku/>
        <w:wordWrap/>
        <w:overflowPunct/>
        <w:topLinePunct w:val="0"/>
        <w:bidi w:val="0"/>
        <w:spacing w:before="93"/>
        <w:textAlignment w:val="auto"/>
        <w:rPr>
          <w:rFonts w:hAnsi="Calibri" w:cs="仿宋"/>
          <w:sz w:val="32"/>
          <w:szCs w:val="32"/>
        </w:rPr>
      </w:pPr>
    </w:p>
    <w:p>
      <w:pPr>
        <w:pStyle w:val="2"/>
        <w:pageBreakBefore w:val="0"/>
        <w:widowControl w:val="0"/>
        <w:kinsoku/>
        <w:wordWrap/>
        <w:overflowPunct/>
        <w:topLinePunct w:val="0"/>
        <w:bidi w:val="0"/>
        <w:spacing w:before="93"/>
        <w:textAlignment w:val="auto"/>
        <w:rPr>
          <w:rFonts w:hAnsi="Calibri" w:cs="仿宋"/>
          <w:sz w:val="32"/>
          <w:szCs w:val="32"/>
        </w:rPr>
      </w:pPr>
    </w:p>
    <w:p>
      <w:pPr>
        <w:pStyle w:val="2"/>
        <w:pageBreakBefore w:val="0"/>
        <w:widowControl w:val="0"/>
        <w:kinsoku/>
        <w:wordWrap/>
        <w:overflowPunct/>
        <w:topLinePunct w:val="0"/>
        <w:bidi w:val="0"/>
        <w:spacing w:before="93"/>
        <w:textAlignment w:val="auto"/>
        <w:rPr>
          <w:rFonts w:hAnsi="Calibri" w:cs="仿宋"/>
          <w:sz w:val="32"/>
          <w:szCs w:val="32"/>
        </w:rPr>
      </w:pPr>
    </w:p>
    <w:p>
      <w:pPr>
        <w:pStyle w:val="2"/>
        <w:pageBreakBefore w:val="0"/>
        <w:widowControl w:val="0"/>
        <w:kinsoku/>
        <w:wordWrap/>
        <w:overflowPunct/>
        <w:topLinePunct w:val="0"/>
        <w:bidi w:val="0"/>
        <w:spacing w:before="93"/>
        <w:textAlignment w:val="auto"/>
        <w:rPr>
          <w:rFonts w:hAnsi="Calibri" w:cs="仿宋"/>
          <w:sz w:val="32"/>
          <w:szCs w:val="32"/>
        </w:rPr>
      </w:pPr>
    </w:p>
    <w:p>
      <w:pPr>
        <w:pStyle w:val="2"/>
        <w:pageBreakBefore w:val="0"/>
        <w:widowControl w:val="0"/>
        <w:kinsoku/>
        <w:wordWrap/>
        <w:overflowPunct/>
        <w:topLinePunct w:val="0"/>
        <w:bidi w:val="0"/>
        <w:spacing w:before="93"/>
        <w:textAlignment w:val="auto"/>
        <w:rPr>
          <w:rFonts w:hAnsi="Calibri" w:cs="仿宋"/>
          <w:sz w:val="32"/>
          <w:szCs w:val="32"/>
        </w:rPr>
      </w:pPr>
    </w:p>
    <w:p>
      <w:pPr>
        <w:pStyle w:val="2"/>
        <w:pageBreakBefore w:val="0"/>
        <w:widowControl w:val="0"/>
        <w:kinsoku/>
        <w:wordWrap/>
        <w:overflowPunct/>
        <w:topLinePunct w:val="0"/>
        <w:bidi w:val="0"/>
        <w:spacing w:before="93"/>
        <w:textAlignment w:val="auto"/>
        <w:rPr>
          <w:rFonts w:hAnsi="Calibri" w:cs="仿宋"/>
          <w:sz w:val="32"/>
          <w:szCs w:val="32"/>
        </w:rPr>
      </w:pPr>
    </w:p>
    <w:p>
      <w:pPr>
        <w:pStyle w:val="2"/>
        <w:pageBreakBefore w:val="0"/>
        <w:widowControl w:val="0"/>
        <w:kinsoku/>
        <w:wordWrap/>
        <w:overflowPunct/>
        <w:topLinePunct w:val="0"/>
        <w:bidi w:val="0"/>
        <w:spacing w:before="93"/>
        <w:textAlignment w:val="auto"/>
        <w:rPr>
          <w:rFonts w:hAnsi="Calibri" w:cs="仿宋"/>
          <w:sz w:val="32"/>
          <w:szCs w:val="32"/>
        </w:rPr>
      </w:pPr>
    </w:p>
    <w:p>
      <w:pPr>
        <w:pStyle w:val="2"/>
        <w:pageBreakBefore w:val="0"/>
        <w:widowControl w:val="0"/>
        <w:kinsoku/>
        <w:wordWrap/>
        <w:overflowPunct/>
        <w:topLinePunct w:val="0"/>
        <w:bidi w:val="0"/>
        <w:spacing w:before="93"/>
        <w:textAlignment w:val="auto"/>
        <w:rPr>
          <w:rFonts w:hAnsi="Calibri" w:cs="仿宋"/>
          <w:sz w:val="32"/>
          <w:szCs w:val="32"/>
        </w:rPr>
      </w:pPr>
    </w:p>
    <w:p>
      <w:pPr>
        <w:pStyle w:val="2"/>
        <w:pageBreakBefore w:val="0"/>
        <w:widowControl w:val="0"/>
        <w:kinsoku/>
        <w:wordWrap/>
        <w:overflowPunct/>
        <w:topLinePunct w:val="0"/>
        <w:bidi w:val="0"/>
        <w:spacing w:before="93"/>
        <w:textAlignment w:val="auto"/>
        <w:rPr>
          <w:rFonts w:hAnsi="Calibri" w:cs="仿宋"/>
          <w:sz w:val="32"/>
          <w:szCs w:val="32"/>
        </w:rPr>
      </w:pPr>
    </w:p>
    <w:p>
      <w:pPr>
        <w:pStyle w:val="2"/>
        <w:pageBreakBefore w:val="0"/>
        <w:widowControl w:val="0"/>
        <w:kinsoku/>
        <w:wordWrap/>
        <w:overflowPunct/>
        <w:topLinePunct w:val="0"/>
        <w:bidi w:val="0"/>
        <w:spacing w:before="93"/>
        <w:textAlignment w:val="auto"/>
        <w:rPr>
          <w:rFonts w:hAnsi="Calibri" w:cs="仿宋"/>
          <w:sz w:val="32"/>
          <w:szCs w:val="32"/>
        </w:rPr>
      </w:pPr>
    </w:p>
    <w:p>
      <w:pPr>
        <w:pStyle w:val="2"/>
        <w:pageBreakBefore w:val="0"/>
        <w:widowControl w:val="0"/>
        <w:kinsoku/>
        <w:wordWrap/>
        <w:overflowPunct/>
        <w:topLinePunct w:val="0"/>
        <w:bidi w:val="0"/>
        <w:spacing w:before="93"/>
        <w:textAlignment w:val="auto"/>
        <w:rPr>
          <w:rFonts w:hAnsi="Calibri" w:cs="仿宋"/>
          <w:sz w:val="32"/>
          <w:szCs w:val="32"/>
        </w:rPr>
      </w:pPr>
    </w:p>
    <w:p>
      <w:pPr>
        <w:pStyle w:val="2"/>
        <w:pageBreakBefore w:val="0"/>
        <w:widowControl w:val="0"/>
        <w:kinsoku/>
        <w:wordWrap/>
        <w:overflowPunct/>
        <w:topLinePunct w:val="0"/>
        <w:bidi w:val="0"/>
        <w:spacing w:before="93"/>
        <w:textAlignment w:val="auto"/>
        <w:rPr>
          <w:rFonts w:hAnsi="Calibri" w:cs="仿宋"/>
          <w:sz w:val="32"/>
          <w:szCs w:val="32"/>
        </w:rPr>
      </w:pPr>
    </w:p>
    <w:p>
      <w:pPr>
        <w:pStyle w:val="2"/>
        <w:pageBreakBefore w:val="0"/>
        <w:widowControl w:val="0"/>
        <w:kinsoku/>
        <w:wordWrap/>
        <w:overflowPunct/>
        <w:topLinePunct w:val="0"/>
        <w:bidi w:val="0"/>
        <w:spacing w:before="93"/>
        <w:textAlignment w:val="auto"/>
        <w:rPr>
          <w:rFonts w:hAnsi="Calibri" w:cs="仿宋"/>
          <w:sz w:val="32"/>
          <w:szCs w:val="32"/>
        </w:rPr>
      </w:pPr>
    </w:p>
    <w:p>
      <w:pPr>
        <w:pStyle w:val="2"/>
        <w:pageBreakBefore w:val="0"/>
        <w:widowControl w:val="0"/>
        <w:kinsoku/>
        <w:wordWrap/>
        <w:overflowPunct/>
        <w:topLinePunct w:val="0"/>
        <w:bidi w:val="0"/>
        <w:spacing w:before="93"/>
        <w:textAlignment w:val="auto"/>
        <w:rPr>
          <w:rFonts w:hAnsi="Calibri" w:cs="仿宋"/>
          <w:sz w:val="32"/>
          <w:szCs w:val="32"/>
        </w:rPr>
      </w:pPr>
    </w:p>
    <w:p>
      <w:pPr>
        <w:pStyle w:val="2"/>
        <w:pageBreakBefore w:val="0"/>
        <w:widowControl w:val="0"/>
        <w:kinsoku/>
        <w:wordWrap/>
        <w:overflowPunct/>
        <w:topLinePunct w:val="0"/>
        <w:bidi w:val="0"/>
        <w:spacing w:before="93"/>
        <w:textAlignment w:val="auto"/>
        <w:rPr>
          <w:rFonts w:hAnsi="Calibri" w:cs="仿宋"/>
          <w:sz w:val="32"/>
          <w:szCs w:val="32"/>
        </w:rPr>
      </w:pPr>
    </w:p>
    <w:p>
      <w:pPr>
        <w:pStyle w:val="2"/>
        <w:pageBreakBefore w:val="0"/>
        <w:widowControl w:val="0"/>
        <w:kinsoku/>
        <w:wordWrap/>
        <w:overflowPunct/>
        <w:topLinePunct w:val="0"/>
        <w:bidi w:val="0"/>
        <w:spacing w:before="93"/>
        <w:textAlignment w:val="auto"/>
        <w:rPr>
          <w:rFonts w:hAnsi="Calibri" w:cs="仿宋"/>
          <w:sz w:val="32"/>
          <w:szCs w:val="32"/>
        </w:rPr>
      </w:pPr>
    </w:p>
    <w:p>
      <w:pPr>
        <w:pageBreakBefore w:val="0"/>
        <w:widowControl w:val="0"/>
        <w:kinsoku/>
        <w:wordWrap/>
        <w:overflowPunct/>
        <w:topLinePunct w:val="0"/>
        <w:bidi w:val="0"/>
        <w:spacing w:line="600" w:lineRule="exact"/>
        <w:jc w:val="center"/>
        <w:textAlignment w:val="auto"/>
        <w:outlineLvl w:val="0"/>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bookmarkEnd w:id="52"/>
      <w:bookmarkEnd w:id="53"/>
      <w:bookmarkStart w:id="54" w:name="_Toc15396619"/>
    </w:p>
    <w:p>
      <w:pPr>
        <w:pStyle w:val="4"/>
        <w:pageBreakBefore w:val="0"/>
        <w:widowControl w:val="0"/>
        <w:kinsoku/>
        <w:wordWrap/>
        <w:overflowPunct/>
        <w:topLinePunct w:val="0"/>
        <w:bidi w:val="0"/>
        <w:textAlignment w:val="auto"/>
        <w:rPr>
          <w:rFonts w:hint="default" w:ascii="Times New Roman" w:hAnsi="Times New Roman" w:eastAsia="仿宋_GB2312" w:cs="Times New Roman"/>
        </w:rPr>
      </w:pPr>
      <w:r>
        <w:rPr>
          <w:rFonts w:hint="default" w:ascii="Times New Roman" w:hAnsi="Times New Roman" w:eastAsia="仿宋_GB2312" w:cs="Times New Roman"/>
          <w:b w:val="0"/>
        </w:rPr>
        <w:t>一、收</w:t>
      </w:r>
      <w:r>
        <w:rPr>
          <w:rStyle w:val="26"/>
          <w:rFonts w:hint="default" w:ascii="Times New Roman" w:hAnsi="Times New Roman" w:eastAsia="仿宋_GB2312" w:cs="Times New Roman"/>
          <w:b w:val="0"/>
          <w:bCs w:val="0"/>
        </w:rPr>
        <w:t>入支出决算总表</w:t>
      </w:r>
      <w:bookmarkEnd w:id="54"/>
    </w:p>
    <w:p>
      <w:pPr>
        <w:pStyle w:val="4"/>
        <w:pageBreakBefore w:val="0"/>
        <w:widowControl w:val="0"/>
        <w:kinsoku/>
        <w:wordWrap/>
        <w:overflowPunct/>
        <w:topLinePunct w:val="0"/>
        <w:bidi w:val="0"/>
        <w:textAlignment w:val="auto"/>
        <w:rPr>
          <w:rFonts w:hint="default" w:ascii="Times New Roman" w:hAnsi="Times New Roman" w:eastAsia="仿宋_GB2312" w:cs="Times New Roman"/>
        </w:rPr>
      </w:pPr>
      <w:bookmarkStart w:id="55" w:name="_Toc15396620"/>
      <w:r>
        <w:rPr>
          <w:rFonts w:hint="default" w:ascii="Times New Roman" w:hAnsi="Times New Roman" w:eastAsia="仿宋_GB2312" w:cs="Times New Roman"/>
          <w:b w:val="0"/>
        </w:rPr>
        <w:t>二、收</w:t>
      </w:r>
      <w:r>
        <w:rPr>
          <w:rStyle w:val="26"/>
          <w:rFonts w:hint="default" w:ascii="Times New Roman" w:hAnsi="Times New Roman" w:eastAsia="仿宋_GB2312" w:cs="Times New Roman"/>
          <w:b w:val="0"/>
          <w:bCs w:val="0"/>
        </w:rPr>
        <w:t>入决算表</w:t>
      </w:r>
      <w:bookmarkEnd w:id="55"/>
    </w:p>
    <w:p>
      <w:pPr>
        <w:pStyle w:val="4"/>
        <w:pageBreakBefore w:val="0"/>
        <w:widowControl w:val="0"/>
        <w:kinsoku/>
        <w:wordWrap/>
        <w:overflowPunct/>
        <w:topLinePunct w:val="0"/>
        <w:bidi w:val="0"/>
        <w:textAlignment w:val="auto"/>
        <w:rPr>
          <w:rFonts w:hint="default" w:ascii="Times New Roman" w:hAnsi="Times New Roman" w:eastAsia="仿宋_GB2312" w:cs="Times New Roman"/>
        </w:rPr>
      </w:pPr>
      <w:bookmarkStart w:id="56" w:name="_Toc15396621"/>
      <w:r>
        <w:rPr>
          <w:rStyle w:val="26"/>
          <w:rFonts w:hint="default" w:ascii="Times New Roman" w:hAnsi="Times New Roman" w:eastAsia="仿宋_GB2312" w:cs="Times New Roman"/>
          <w:b w:val="0"/>
          <w:bCs w:val="0"/>
        </w:rPr>
        <w:t>三、</w:t>
      </w:r>
      <w:r>
        <w:rPr>
          <w:rFonts w:hint="default" w:ascii="Times New Roman" w:hAnsi="Times New Roman" w:eastAsia="仿宋_GB2312" w:cs="Times New Roman"/>
          <w:b w:val="0"/>
        </w:rPr>
        <w:t>支</w:t>
      </w:r>
      <w:r>
        <w:rPr>
          <w:rStyle w:val="26"/>
          <w:rFonts w:hint="default" w:ascii="Times New Roman" w:hAnsi="Times New Roman" w:eastAsia="仿宋_GB2312" w:cs="Times New Roman"/>
          <w:b w:val="0"/>
          <w:bCs w:val="0"/>
        </w:rPr>
        <w:t>出决算表</w:t>
      </w:r>
      <w:bookmarkEnd w:id="56"/>
    </w:p>
    <w:p>
      <w:pPr>
        <w:pStyle w:val="4"/>
        <w:pageBreakBefore w:val="0"/>
        <w:widowControl w:val="0"/>
        <w:kinsoku/>
        <w:wordWrap/>
        <w:overflowPunct/>
        <w:topLinePunct w:val="0"/>
        <w:bidi w:val="0"/>
        <w:textAlignment w:val="auto"/>
        <w:rPr>
          <w:rFonts w:hint="default" w:ascii="Times New Roman" w:hAnsi="Times New Roman" w:eastAsia="仿宋_GB2312" w:cs="Times New Roman"/>
          <w:b w:val="0"/>
        </w:rPr>
      </w:pPr>
      <w:bookmarkStart w:id="57" w:name="_Toc15396622"/>
      <w:r>
        <w:rPr>
          <w:rStyle w:val="26"/>
          <w:rFonts w:hint="default" w:ascii="Times New Roman" w:hAnsi="Times New Roman" w:eastAsia="仿宋_GB2312" w:cs="Times New Roman"/>
          <w:b w:val="0"/>
          <w:bCs w:val="0"/>
        </w:rPr>
        <w:t>四、</w:t>
      </w:r>
      <w:r>
        <w:rPr>
          <w:rFonts w:hint="default" w:ascii="Times New Roman" w:hAnsi="Times New Roman" w:eastAsia="仿宋_GB2312" w:cs="Times New Roman"/>
          <w:b w:val="0"/>
        </w:rPr>
        <w:t>财</w:t>
      </w:r>
      <w:r>
        <w:rPr>
          <w:rStyle w:val="26"/>
          <w:rFonts w:hint="default" w:ascii="Times New Roman" w:hAnsi="Times New Roman" w:eastAsia="仿宋_GB2312" w:cs="Times New Roman"/>
          <w:b w:val="0"/>
          <w:bCs w:val="0"/>
        </w:rPr>
        <w:t>政拨款收入支出决算总表</w:t>
      </w:r>
      <w:bookmarkEnd w:id="57"/>
    </w:p>
    <w:p>
      <w:pPr>
        <w:pStyle w:val="4"/>
        <w:pageBreakBefore w:val="0"/>
        <w:widowControl w:val="0"/>
        <w:kinsoku/>
        <w:wordWrap/>
        <w:overflowPunct/>
        <w:topLinePunct w:val="0"/>
        <w:bidi w:val="0"/>
        <w:textAlignment w:val="auto"/>
        <w:rPr>
          <w:rStyle w:val="26"/>
          <w:rFonts w:hint="default" w:ascii="Times New Roman" w:hAnsi="Times New Roman" w:eastAsia="仿宋_GB2312" w:cs="Times New Roman"/>
          <w:b w:val="0"/>
          <w:bCs w:val="0"/>
        </w:rPr>
      </w:pPr>
      <w:bookmarkStart w:id="58" w:name="_Toc15396623"/>
      <w:r>
        <w:rPr>
          <w:rStyle w:val="26"/>
          <w:rFonts w:hint="default" w:ascii="Times New Roman" w:hAnsi="Times New Roman" w:eastAsia="仿宋_GB2312" w:cs="Times New Roman"/>
          <w:b w:val="0"/>
          <w:bCs w:val="0"/>
        </w:rPr>
        <w:t>五、</w:t>
      </w:r>
      <w:r>
        <w:rPr>
          <w:rFonts w:hint="default" w:ascii="Times New Roman" w:hAnsi="Times New Roman" w:eastAsia="仿宋_GB2312" w:cs="Times New Roman"/>
          <w:b w:val="0"/>
        </w:rPr>
        <w:t>财</w:t>
      </w:r>
      <w:r>
        <w:rPr>
          <w:rStyle w:val="26"/>
          <w:rFonts w:hint="default" w:ascii="Times New Roman" w:hAnsi="Times New Roman" w:eastAsia="仿宋_GB2312" w:cs="Times New Roman"/>
          <w:b w:val="0"/>
          <w:bCs w:val="0"/>
        </w:rPr>
        <w:t>政拨款支出决算明细表</w:t>
      </w:r>
      <w:bookmarkEnd w:id="58"/>
      <w:bookmarkStart w:id="59" w:name="_Toc15396624"/>
    </w:p>
    <w:p>
      <w:pPr>
        <w:pStyle w:val="4"/>
        <w:pageBreakBefore w:val="0"/>
        <w:widowControl w:val="0"/>
        <w:kinsoku/>
        <w:wordWrap/>
        <w:overflowPunct/>
        <w:topLinePunct w:val="0"/>
        <w:bidi w:val="0"/>
        <w:textAlignment w:val="auto"/>
        <w:rPr>
          <w:rFonts w:hint="default" w:ascii="Times New Roman" w:hAnsi="Times New Roman" w:eastAsia="仿宋_GB2312" w:cs="Times New Roman"/>
        </w:rPr>
      </w:pPr>
      <w:r>
        <w:rPr>
          <w:rStyle w:val="26"/>
          <w:rFonts w:hint="default" w:ascii="Times New Roman" w:hAnsi="Times New Roman" w:eastAsia="仿宋_GB2312" w:cs="Times New Roman"/>
          <w:b w:val="0"/>
          <w:bCs w:val="0"/>
        </w:rPr>
        <w:t>六、</w:t>
      </w:r>
      <w:r>
        <w:rPr>
          <w:rFonts w:hint="default" w:ascii="Times New Roman" w:hAnsi="Times New Roman" w:eastAsia="仿宋_GB2312" w:cs="Times New Roman"/>
          <w:b w:val="0"/>
        </w:rPr>
        <w:t>一</w:t>
      </w:r>
      <w:r>
        <w:rPr>
          <w:rStyle w:val="26"/>
          <w:rFonts w:hint="default" w:ascii="Times New Roman" w:hAnsi="Times New Roman" w:eastAsia="仿宋_GB2312" w:cs="Times New Roman"/>
          <w:b w:val="0"/>
          <w:bCs w:val="0"/>
        </w:rPr>
        <w:t>般公共预算财政拨款支出决算表</w:t>
      </w:r>
      <w:bookmarkEnd w:id="59"/>
    </w:p>
    <w:p>
      <w:pPr>
        <w:pStyle w:val="4"/>
        <w:pageBreakBefore w:val="0"/>
        <w:widowControl w:val="0"/>
        <w:kinsoku/>
        <w:wordWrap/>
        <w:overflowPunct/>
        <w:topLinePunct w:val="0"/>
        <w:bidi w:val="0"/>
        <w:textAlignment w:val="auto"/>
        <w:rPr>
          <w:rFonts w:hint="default" w:ascii="Times New Roman" w:hAnsi="Times New Roman" w:eastAsia="仿宋_GB2312" w:cs="Times New Roman"/>
        </w:rPr>
      </w:pPr>
      <w:bookmarkStart w:id="60" w:name="_Toc15396625"/>
      <w:r>
        <w:rPr>
          <w:rStyle w:val="26"/>
          <w:rFonts w:hint="default" w:ascii="Times New Roman" w:hAnsi="Times New Roman" w:eastAsia="仿宋_GB2312" w:cs="Times New Roman"/>
          <w:b w:val="0"/>
          <w:bCs w:val="0"/>
        </w:rPr>
        <w:t>七、</w:t>
      </w:r>
      <w:r>
        <w:rPr>
          <w:rFonts w:hint="default" w:ascii="Times New Roman" w:hAnsi="Times New Roman" w:eastAsia="仿宋_GB2312" w:cs="Times New Roman"/>
          <w:b w:val="0"/>
        </w:rPr>
        <w:t>一</w:t>
      </w:r>
      <w:r>
        <w:rPr>
          <w:rStyle w:val="26"/>
          <w:rFonts w:hint="default" w:ascii="Times New Roman" w:hAnsi="Times New Roman" w:eastAsia="仿宋_GB2312" w:cs="Times New Roman"/>
          <w:b w:val="0"/>
          <w:bCs w:val="0"/>
        </w:rPr>
        <w:t>般公共预算财政拨款支出决算明细表</w:t>
      </w:r>
      <w:bookmarkEnd w:id="60"/>
    </w:p>
    <w:p>
      <w:pPr>
        <w:pStyle w:val="4"/>
        <w:pageBreakBefore w:val="0"/>
        <w:widowControl w:val="0"/>
        <w:kinsoku/>
        <w:wordWrap/>
        <w:overflowPunct/>
        <w:topLinePunct w:val="0"/>
        <w:bidi w:val="0"/>
        <w:textAlignment w:val="auto"/>
        <w:rPr>
          <w:rFonts w:hint="default" w:ascii="Times New Roman" w:hAnsi="Times New Roman" w:eastAsia="仿宋_GB2312" w:cs="Times New Roman"/>
        </w:rPr>
      </w:pPr>
      <w:bookmarkStart w:id="61" w:name="_Toc15396626"/>
      <w:r>
        <w:rPr>
          <w:rStyle w:val="26"/>
          <w:rFonts w:hint="default" w:ascii="Times New Roman" w:hAnsi="Times New Roman" w:eastAsia="仿宋_GB2312" w:cs="Times New Roman"/>
          <w:b w:val="0"/>
          <w:bCs w:val="0"/>
        </w:rPr>
        <w:t>八、</w:t>
      </w:r>
      <w:r>
        <w:rPr>
          <w:rFonts w:hint="default" w:ascii="Times New Roman" w:hAnsi="Times New Roman" w:eastAsia="仿宋_GB2312" w:cs="Times New Roman"/>
          <w:b w:val="0"/>
        </w:rPr>
        <w:t>一</w:t>
      </w:r>
      <w:r>
        <w:rPr>
          <w:rStyle w:val="26"/>
          <w:rFonts w:hint="default" w:ascii="Times New Roman" w:hAnsi="Times New Roman" w:eastAsia="仿宋_GB2312" w:cs="Times New Roman"/>
          <w:b w:val="0"/>
          <w:bCs w:val="0"/>
        </w:rPr>
        <w:t>般公共预算财政拨款基本支出决算表</w:t>
      </w:r>
      <w:bookmarkEnd w:id="61"/>
    </w:p>
    <w:p>
      <w:pPr>
        <w:pStyle w:val="4"/>
        <w:pageBreakBefore w:val="0"/>
        <w:widowControl w:val="0"/>
        <w:kinsoku/>
        <w:wordWrap/>
        <w:overflowPunct/>
        <w:topLinePunct w:val="0"/>
        <w:bidi w:val="0"/>
        <w:textAlignment w:val="auto"/>
        <w:rPr>
          <w:rFonts w:hint="default" w:ascii="Times New Roman" w:hAnsi="Times New Roman" w:eastAsia="仿宋_GB2312" w:cs="Times New Roman"/>
        </w:rPr>
      </w:pPr>
      <w:bookmarkStart w:id="62" w:name="_Toc15396627"/>
      <w:r>
        <w:rPr>
          <w:rStyle w:val="26"/>
          <w:rFonts w:hint="default" w:ascii="Times New Roman" w:hAnsi="Times New Roman" w:eastAsia="仿宋_GB2312" w:cs="Times New Roman"/>
          <w:b w:val="0"/>
          <w:bCs w:val="0"/>
        </w:rPr>
        <w:t>九、</w:t>
      </w:r>
      <w:r>
        <w:rPr>
          <w:rFonts w:hint="default" w:ascii="Times New Roman" w:hAnsi="Times New Roman" w:eastAsia="仿宋_GB2312" w:cs="Times New Roman"/>
          <w:b w:val="0"/>
        </w:rPr>
        <w:t>一</w:t>
      </w:r>
      <w:r>
        <w:rPr>
          <w:rStyle w:val="26"/>
          <w:rFonts w:hint="default" w:ascii="Times New Roman" w:hAnsi="Times New Roman" w:eastAsia="仿宋_GB2312" w:cs="Times New Roman"/>
          <w:b w:val="0"/>
          <w:bCs w:val="0"/>
        </w:rPr>
        <w:t>般公共预算财政拨款项目支出决算表</w:t>
      </w:r>
      <w:bookmarkEnd w:id="62"/>
    </w:p>
    <w:p>
      <w:pPr>
        <w:pStyle w:val="4"/>
        <w:pageBreakBefore w:val="0"/>
        <w:widowControl w:val="0"/>
        <w:kinsoku/>
        <w:wordWrap/>
        <w:overflowPunct/>
        <w:topLinePunct w:val="0"/>
        <w:bidi w:val="0"/>
        <w:textAlignment w:val="auto"/>
        <w:rPr>
          <w:rFonts w:hint="default" w:ascii="Times New Roman" w:hAnsi="Times New Roman" w:eastAsia="仿宋_GB2312" w:cs="Times New Roman"/>
        </w:rPr>
      </w:pPr>
      <w:bookmarkStart w:id="63" w:name="_Toc15396628"/>
      <w:r>
        <w:rPr>
          <w:rStyle w:val="26"/>
          <w:rFonts w:hint="default" w:ascii="Times New Roman" w:hAnsi="Times New Roman" w:eastAsia="仿宋_GB2312" w:cs="Times New Roman"/>
          <w:b w:val="0"/>
          <w:bCs w:val="0"/>
        </w:rPr>
        <w:t>十、</w:t>
      </w:r>
      <w:bookmarkEnd w:id="63"/>
      <w:r>
        <w:rPr>
          <w:rFonts w:hint="default" w:ascii="Times New Roman" w:hAnsi="Times New Roman" w:eastAsia="仿宋_GB2312" w:cs="Times New Roman"/>
          <w:b w:val="0"/>
        </w:rPr>
        <w:t>政</w:t>
      </w:r>
      <w:r>
        <w:rPr>
          <w:rStyle w:val="26"/>
          <w:rFonts w:hint="default" w:ascii="Times New Roman" w:hAnsi="Times New Roman" w:eastAsia="仿宋_GB2312" w:cs="Times New Roman"/>
          <w:b w:val="0"/>
          <w:bCs w:val="0"/>
        </w:rPr>
        <w:t>府性基金预算财政拨款收入支出决算表</w:t>
      </w:r>
    </w:p>
    <w:p>
      <w:pPr>
        <w:pStyle w:val="4"/>
        <w:pageBreakBefore w:val="0"/>
        <w:widowControl w:val="0"/>
        <w:kinsoku/>
        <w:wordWrap/>
        <w:overflowPunct/>
        <w:topLinePunct w:val="0"/>
        <w:bidi w:val="0"/>
        <w:textAlignment w:val="auto"/>
        <w:rPr>
          <w:rFonts w:hint="default" w:ascii="Times New Roman" w:hAnsi="Times New Roman" w:eastAsia="仿宋_GB2312" w:cs="Times New Roman"/>
        </w:rPr>
      </w:pPr>
      <w:bookmarkStart w:id="64" w:name="_Toc15396629"/>
      <w:r>
        <w:rPr>
          <w:rStyle w:val="26"/>
          <w:rFonts w:hint="default" w:ascii="Times New Roman" w:hAnsi="Times New Roman" w:eastAsia="仿宋_GB2312" w:cs="Times New Roman"/>
          <w:b w:val="0"/>
          <w:bCs w:val="0"/>
        </w:rPr>
        <w:t>十一、</w:t>
      </w:r>
      <w:bookmarkEnd w:id="64"/>
      <w:r>
        <w:rPr>
          <w:rFonts w:hint="default" w:ascii="Times New Roman" w:hAnsi="Times New Roman" w:eastAsia="仿宋_GB2312" w:cs="Times New Roman"/>
          <w:b w:val="0"/>
        </w:rPr>
        <w:t>国</w:t>
      </w:r>
      <w:r>
        <w:rPr>
          <w:rStyle w:val="26"/>
          <w:rFonts w:hint="default" w:ascii="Times New Roman" w:hAnsi="Times New Roman" w:eastAsia="仿宋_GB2312" w:cs="Times New Roman"/>
          <w:b w:val="0"/>
          <w:bCs w:val="0"/>
        </w:rPr>
        <w:t>有资本经营预算财政拨款收入支出决算表</w:t>
      </w:r>
    </w:p>
    <w:p>
      <w:pPr>
        <w:pStyle w:val="4"/>
        <w:pageBreakBefore w:val="0"/>
        <w:widowControl w:val="0"/>
        <w:kinsoku/>
        <w:wordWrap/>
        <w:overflowPunct/>
        <w:topLinePunct w:val="0"/>
        <w:bidi w:val="0"/>
        <w:textAlignment w:val="auto"/>
        <w:rPr>
          <w:rFonts w:hint="default" w:ascii="Times New Roman" w:hAnsi="Times New Roman" w:eastAsia="仿宋_GB2312" w:cs="Times New Roman"/>
        </w:rPr>
      </w:pPr>
      <w:bookmarkStart w:id="65" w:name="_Toc15396630"/>
      <w:r>
        <w:rPr>
          <w:rStyle w:val="26"/>
          <w:rFonts w:hint="default" w:ascii="Times New Roman" w:hAnsi="Times New Roman" w:eastAsia="仿宋_GB2312" w:cs="Times New Roman"/>
          <w:b w:val="0"/>
          <w:bCs w:val="0"/>
        </w:rPr>
        <w:t>十二、</w:t>
      </w:r>
      <w:bookmarkEnd w:id="65"/>
      <w:r>
        <w:rPr>
          <w:rStyle w:val="26"/>
          <w:rFonts w:hint="default" w:ascii="Times New Roman" w:hAnsi="Times New Roman" w:eastAsia="仿宋_GB2312" w:cs="Times New Roman"/>
          <w:b w:val="0"/>
          <w:bCs w:val="0"/>
        </w:rPr>
        <w:t>国有资本经营预算财政拨款支出决算表</w:t>
      </w:r>
    </w:p>
    <w:p>
      <w:pPr>
        <w:pStyle w:val="4"/>
        <w:pageBreakBefore w:val="0"/>
        <w:widowControl w:val="0"/>
        <w:kinsoku/>
        <w:wordWrap/>
        <w:overflowPunct/>
        <w:topLinePunct w:val="0"/>
        <w:bidi w:val="0"/>
        <w:textAlignment w:val="auto"/>
        <w:rPr>
          <w:rFonts w:eastAsia="仿宋"/>
        </w:rPr>
      </w:pPr>
      <w:bookmarkStart w:id="66" w:name="_Toc15396631"/>
      <w:r>
        <w:rPr>
          <w:rStyle w:val="26"/>
          <w:rFonts w:hint="default" w:ascii="Times New Roman" w:hAnsi="Times New Roman" w:eastAsia="仿宋_GB2312" w:cs="Times New Roman"/>
          <w:b w:val="0"/>
          <w:bCs w:val="0"/>
        </w:rPr>
        <w:t>十三、</w:t>
      </w:r>
      <w:bookmarkEnd w:id="66"/>
      <w:r>
        <w:rPr>
          <w:rStyle w:val="26"/>
          <w:rFonts w:hint="default" w:ascii="Times New Roman" w:hAnsi="Times New Roman" w:eastAsia="仿宋_GB2312" w:cs="Times New Roman"/>
          <w:b w:val="0"/>
          <w:bCs w:val="0"/>
        </w:rPr>
        <w:t>财政拨款“三公”经费支出决算表</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15</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81A4540"/>
    <w:multiLevelType w:val="singleLevel"/>
    <w:tmpl w:val="581A4540"/>
    <w:lvl w:ilvl="0" w:tentative="0">
      <w:start w:val="3"/>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693870"/>
    <w:rsid w:val="053A62B5"/>
    <w:rsid w:val="05865B62"/>
    <w:rsid w:val="0A2032A3"/>
    <w:rsid w:val="0A7118F2"/>
    <w:rsid w:val="0A736DB0"/>
    <w:rsid w:val="0AB502A6"/>
    <w:rsid w:val="0B8A37D8"/>
    <w:rsid w:val="0D566560"/>
    <w:rsid w:val="0FB7A330"/>
    <w:rsid w:val="0FE2A0F2"/>
    <w:rsid w:val="10B25962"/>
    <w:rsid w:val="10C055FF"/>
    <w:rsid w:val="118107EC"/>
    <w:rsid w:val="11DD6519"/>
    <w:rsid w:val="14490392"/>
    <w:rsid w:val="14BB6A23"/>
    <w:rsid w:val="160A40E5"/>
    <w:rsid w:val="16BB723D"/>
    <w:rsid w:val="170D351F"/>
    <w:rsid w:val="178A34E7"/>
    <w:rsid w:val="17AE7BB1"/>
    <w:rsid w:val="18015F3F"/>
    <w:rsid w:val="18344024"/>
    <w:rsid w:val="1BE8440E"/>
    <w:rsid w:val="1D155CEE"/>
    <w:rsid w:val="1DD56E56"/>
    <w:rsid w:val="1ED6DDD1"/>
    <w:rsid w:val="1FCB133B"/>
    <w:rsid w:val="1FCF72B5"/>
    <w:rsid w:val="1FFBEEE6"/>
    <w:rsid w:val="1FFF2264"/>
    <w:rsid w:val="20F57F95"/>
    <w:rsid w:val="22292396"/>
    <w:rsid w:val="222FC720"/>
    <w:rsid w:val="240371BF"/>
    <w:rsid w:val="25711CC6"/>
    <w:rsid w:val="25C741E6"/>
    <w:rsid w:val="27842671"/>
    <w:rsid w:val="28ED788B"/>
    <w:rsid w:val="29FD04D3"/>
    <w:rsid w:val="2A7779A1"/>
    <w:rsid w:val="2ABE7A3E"/>
    <w:rsid w:val="2BAA7F6F"/>
    <w:rsid w:val="2CA234A8"/>
    <w:rsid w:val="2D580311"/>
    <w:rsid w:val="2D775888"/>
    <w:rsid w:val="2EFA178C"/>
    <w:rsid w:val="2F7EC9D4"/>
    <w:rsid w:val="303D0966"/>
    <w:rsid w:val="30B46D73"/>
    <w:rsid w:val="319F7F4E"/>
    <w:rsid w:val="34F55099"/>
    <w:rsid w:val="35F6E9F8"/>
    <w:rsid w:val="383D272C"/>
    <w:rsid w:val="384C3520"/>
    <w:rsid w:val="39AE70AB"/>
    <w:rsid w:val="3BCEA80F"/>
    <w:rsid w:val="3BDF37FA"/>
    <w:rsid w:val="3BFF977E"/>
    <w:rsid w:val="3C0C0783"/>
    <w:rsid w:val="3CF988EA"/>
    <w:rsid w:val="3D6A5FDA"/>
    <w:rsid w:val="3D717BFE"/>
    <w:rsid w:val="3E7BB9B9"/>
    <w:rsid w:val="3EF3E27C"/>
    <w:rsid w:val="3F4D74CD"/>
    <w:rsid w:val="3F7FD160"/>
    <w:rsid w:val="3F9C2B44"/>
    <w:rsid w:val="3F9F3A96"/>
    <w:rsid w:val="3FB50225"/>
    <w:rsid w:val="418203CE"/>
    <w:rsid w:val="426D1C24"/>
    <w:rsid w:val="43031627"/>
    <w:rsid w:val="433E07CE"/>
    <w:rsid w:val="463C0E1B"/>
    <w:rsid w:val="48BF60AB"/>
    <w:rsid w:val="493C27E9"/>
    <w:rsid w:val="496F39ED"/>
    <w:rsid w:val="49FF41D3"/>
    <w:rsid w:val="4BE068DB"/>
    <w:rsid w:val="4BF6002B"/>
    <w:rsid w:val="4ECE2238"/>
    <w:rsid w:val="4EDF2607"/>
    <w:rsid w:val="4F435E30"/>
    <w:rsid w:val="4F5B4CAF"/>
    <w:rsid w:val="4F7DB80E"/>
    <w:rsid w:val="50062245"/>
    <w:rsid w:val="51634215"/>
    <w:rsid w:val="51DB4B86"/>
    <w:rsid w:val="53773E55"/>
    <w:rsid w:val="55333C3E"/>
    <w:rsid w:val="557A005B"/>
    <w:rsid w:val="57ECCD71"/>
    <w:rsid w:val="57F371E5"/>
    <w:rsid w:val="59D044C4"/>
    <w:rsid w:val="5AF958A5"/>
    <w:rsid w:val="5BB327F1"/>
    <w:rsid w:val="5C3F0C48"/>
    <w:rsid w:val="5DDF714C"/>
    <w:rsid w:val="5F33E90C"/>
    <w:rsid w:val="5F7941A5"/>
    <w:rsid w:val="5F7A1AFE"/>
    <w:rsid w:val="5FCF4653"/>
    <w:rsid w:val="5FDBA51D"/>
    <w:rsid w:val="609D5DD8"/>
    <w:rsid w:val="61363F0F"/>
    <w:rsid w:val="616F06E3"/>
    <w:rsid w:val="61700CA3"/>
    <w:rsid w:val="63FCE82C"/>
    <w:rsid w:val="64CA39A1"/>
    <w:rsid w:val="656B336F"/>
    <w:rsid w:val="65F7F7F4"/>
    <w:rsid w:val="667C1A9A"/>
    <w:rsid w:val="679FF8B9"/>
    <w:rsid w:val="67C32C3D"/>
    <w:rsid w:val="69630ADE"/>
    <w:rsid w:val="6BFB5E1F"/>
    <w:rsid w:val="6C4A05C8"/>
    <w:rsid w:val="6D3B1A89"/>
    <w:rsid w:val="6E6120D1"/>
    <w:rsid w:val="6ECDB86B"/>
    <w:rsid w:val="6FF7E704"/>
    <w:rsid w:val="71BF4EC2"/>
    <w:rsid w:val="72734D90"/>
    <w:rsid w:val="7412278C"/>
    <w:rsid w:val="746A5059"/>
    <w:rsid w:val="75ADB4D3"/>
    <w:rsid w:val="77475C0B"/>
    <w:rsid w:val="7777CEAC"/>
    <w:rsid w:val="78916BB6"/>
    <w:rsid w:val="78BE3ADB"/>
    <w:rsid w:val="791AFC4F"/>
    <w:rsid w:val="79CA426A"/>
    <w:rsid w:val="79E7B28D"/>
    <w:rsid w:val="79F51ACE"/>
    <w:rsid w:val="79FE082B"/>
    <w:rsid w:val="7A4891C3"/>
    <w:rsid w:val="7A7763D6"/>
    <w:rsid w:val="7AB33215"/>
    <w:rsid w:val="7ABF1428"/>
    <w:rsid w:val="7B8C84BE"/>
    <w:rsid w:val="7BAE18A3"/>
    <w:rsid w:val="7BB7A633"/>
    <w:rsid w:val="7BEDA89D"/>
    <w:rsid w:val="7BFB96EB"/>
    <w:rsid w:val="7BFFFEF6"/>
    <w:rsid w:val="7C5D19C0"/>
    <w:rsid w:val="7CF51C57"/>
    <w:rsid w:val="7D3DC1AA"/>
    <w:rsid w:val="7D7ED99B"/>
    <w:rsid w:val="7D7F7EA8"/>
    <w:rsid w:val="7DD72BAD"/>
    <w:rsid w:val="7DEB36EF"/>
    <w:rsid w:val="7DFF7EEC"/>
    <w:rsid w:val="7DFFDC3A"/>
    <w:rsid w:val="7E7C9FA3"/>
    <w:rsid w:val="7EDFAD3C"/>
    <w:rsid w:val="7EED353A"/>
    <w:rsid w:val="7EF1FC93"/>
    <w:rsid w:val="7F1FFB26"/>
    <w:rsid w:val="7F77E773"/>
    <w:rsid w:val="7F7B2B04"/>
    <w:rsid w:val="7F9F20EE"/>
    <w:rsid w:val="7FBB39E6"/>
    <w:rsid w:val="7FBB9C00"/>
    <w:rsid w:val="7FCFA6FB"/>
    <w:rsid w:val="7FDF5AE4"/>
    <w:rsid w:val="7FEF8B97"/>
    <w:rsid w:val="7FF3F158"/>
    <w:rsid w:val="7FF62E0B"/>
    <w:rsid w:val="7FFB450C"/>
    <w:rsid w:val="7FFD6BF7"/>
    <w:rsid w:val="7FFD6FE1"/>
    <w:rsid w:val="7FFFA14F"/>
    <w:rsid w:val="879DBDD0"/>
    <w:rsid w:val="8DA7FAC3"/>
    <w:rsid w:val="8DD619A2"/>
    <w:rsid w:val="937F2C08"/>
    <w:rsid w:val="9DEF08D9"/>
    <w:rsid w:val="9E3A10E2"/>
    <w:rsid w:val="9E7797B6"/>
    <w:rsid w:val="9F1EA4BA"/>
    <w:rsid w:val="9F8D9C27"/>
    <w:rsid w:val="9FB82783"/>
    <w:rsid w:val="9FD2F691"/>
    <w:rsid w:val="B3B6588B"/>
    <w:rsid w:val="B794D554"/>
    <w:rsid w:val="B7F77EA3"/>
    <w:rsid w:val="B99B9A2A"/>
    <w:rsid w:val="BCD4ABAF"/>
    <w:rsid w:val="BD6D20C0"/>
    <w:rsid w:val="BDEFA6A7"/>
    <w:rsid w:val="BE57C518"/>
    <w:rsid w:val="BF3F20FC"/>
    <w:rsid w:val="BF9877F4"/>
    <w:rsid w:val="BF9F8E07"/>
    <w:rsid w:val="BFF5B0FD"/>
    <w:rsid w:val="C7FFC606"/>
    <w:rsid w:val="C9E97E71"/>
    <w:rsid w:val="CBE17B60"/>
    <w:rsid w:val="CBFDAEAA"/>
    <w:rsid w:val="CDFBF7D3"/>
    <w:rsid w:val="CDFFC4B3"/>
    <w:rsid w:val="CFD5CA35"/>
    <w:rsid w:val="CFFE8533"/>
    <w:rsid w:val="D0EA0785"/>
    <w:rsid w:val="D3BF4A56"/>
    <w:rsid w:val="D5D02484"/>
    <w:rsid w:val="D7FBD2A7"/>
    <w:rsid w:val="D9FF366A"/>
    <w:rsid w:val="DAEEAFE9"/>
    <w:rsid w:val="DBA64FE2"/>
    <w:rsid w:val="DDBB4C14"/>
    <w:rsid w:val="DDEF4AEF"/>
    <w:rsid w:val="DE396470"/>
    <w:rsid w:val="DF7769F7"/>
    <w:rsid w:val="DFDF3559"/>
    <w:rsid w:val="DFEF892E"/>
    <w:rsid w:val="E556AE2D"/>
    <w:rsid w:val="E7BFBB1C"/>
    <w:rsid w:val="ED370D85"/>
    <w:rsid w:val="ED3DCA2D"/>
    <w:rsid w:val="EDDED04A"/>
    <w:rsid w:val="EDF258CA"/>
    <w:rsid w:val="EED519B6"/>
    <w:rsid w:val="EEEB6705"/>
    <w:rsid w:val="EEF95B76"/>
    <w:rsid w:val="EFDFCEEE"/>
    <w:rsid w:val="EFFF7DE7"/>
    <w:rsid w:val="F2E1F9D4"/>
    <w:rsid w:val="F33F2658"/>
    <w:rsid w:val="F3F76EEA"/>
    <w:rsid w:val="F5B3F469"/>
    <w:rsid w:val="F5EFAAC0"/>
    <w:rsid w:val="F7880819"/>
    <w:rsid w:val="F8EB70A2"/>
    <w:rsid w:val="FB22BBD7"/>
    <w:rsid w:val="FB36E31E"/>
    <w:rsid w:val="FB97D202"/>
    <w:rsid w:val="FBD763FC"/>
    <w:rsid w:val="FBFE5BCC"/>
    <w:rsid w:val="FBFEAE1C"/>
    <w:rsid w:val="FBFF41C0"/>
    <w:rsid w:val="FBFFB5B6"/>
    <w:rsid w:val="FCEF0BEE"/>
    <w:rsid w:val="FCFE8794"/>
    <w:rsid w:val="FD6A2B26"/>
    <w:rsid w:val="FD6BB5B8"/>
    <w:rsid w:val="FD7D056E"/>
    <w:rsid w:val="FDDE8CA3"/>
    <w:rsid w:val="FDE36805"/>
    <w:rsid w:val="FDEF9EC4"/>
    <w:rsid w:val="FDFF0B1D"/>
    <w:rsid w:val="FE2D5121"/>
    <w:rsid w:val="FE6A947F"/>
    <w:rsid w:val="FEA880B7"/>
    <w:rsid w:val="FEFF7E5B"/>
    <w:rsid w:val="FEFFBFE1"/>
    <w:rsid w:val="FF1604D8"/>
    <w:rsid w:val="FF3A1A58"/>
    <w:rsid w:val="FF655CB9"/>
    <w:rsid w:val="FF6B334C"/>
    <w:rsid w:val="FF7EFD93"/>
    <w:rsid w:val="FF99AFDF"/>
    <w:rsid w:val="FF9E7789"/>
    <w:rsid w:val="FFBB9E44"/>
    <w:rsid w:val="FFBF55E4"/>
    <w:rsid w:val="FFCF866E"/>
    <w:rsid w:val="FFDF3EF7"/>
    <w:rsid w:val="FFF75CC5"/>
    <w:rsid w:val="FFFDBD6A"/>
    <w:rsid w:val="FFFDCE5D"/>
    <w:rsid w:val="FFFEC4BE"/>
    <w:rsid w:val="FFFF6D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widowControl/>
      <w:spacing w:before="100" w:beforeAutospacing="1" w:after="100" w:afterAutospacing="1"/>
      <w:jc w:val="left"/>
    </w:pPr>
    <w:rPr>
      <w:rFonts w:asci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字符"/>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字符"/>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字符"/>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字符"/>
    <w:basedOn w:val="14"/>
    <w:link w:val="3"/>
    <w:qFormat/>
    <w:uiPriority w:val="9"/>
    <w:rPr>
      <w:rFonts w:ascii="Times New Roman" w:hAnsi="Times New Roman"/>
      <w:b/>
      <w:bCs/>
      <w:kern w:val="44"/>
      <w:sz w:val="44"/>
      <w:szCs w:val="44"/>
    </w:rPr>
  </w:style>
  <w:style w:type="character" w:customStyle="1" w:styleId="26">
    <w:name w:val="标题 2 字符"/>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字符"/>
    <w:basedOn w:val="14"/>
    <w:link w:val="7"/>
    <w:semiHidden/>
    <w:qFormat/>
    <w:uiPriority w:val="99"/>
    <w:rPr>
      <w:rFonts w:ascii="Times New Roman" w:hAnsi="Times New Roman"/>
      <w:kern w:val="2"/>
      <w:sz w:val="18"/>
      <w:szCs w:val="18"/>
    </w:rPr>
  </w:style>
  <w:style w:type="character" w:customStyle="1" w:styleId="29">
    <w:name w:val="标题 3 字符"/>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31">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735.68</c:v>
                </c:pt>
                <c:pt idx="1">
                  <c:v>893.5</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Sheet1!$C$2:$C$3</c:f>
              <c:numCache>
                <c:formatCode>General</c:formatCode>
                <c:ptCount val="2"/>
                <c:pt idx="0">
                  <c:v>905.08</c:v>
                </c:pt>
                <c:pt idx="1">
                  <c:v>1042.42</c:v>
                </c:pt>
              </c:numCache>
            </c:numRef>
          </c:val>
        </c:ser>
        <c:dLbls>
          <c:showLegendKey val="0"/>
          <c:showVal val="1"/>
          <c:showCatName val="0"/>
          <c:showSerName val="0"/>
          <c:showPercent val="0"/>
          <c:showBubbleSize val="0"/>
        </c:dLbls>
        <c:gapWidth val="219"/>
        <c:overlap val="-27"/>
        <c:axId val="520304691"/>
        <c:axId val="804155749"/>
      </c:barChart>
      <c:catAx>
        <c:axId val="52030469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4155749"/>
        <c:crosses val="autoZero"/>
        <c:auto val="1"/>
        <c:lblAlgn val="ctr"/>
        <c:lblOffset val="100"/>
        <c:noMultiLvlLbl val="0"/>
      </c:catAx>
      <c:valAx>
        <c:axId val="80415574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03046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explosion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38.43%</a:t>
                    </a:r>
                  </a:p>
                </c:rich>
              </c:tx>
              <c:dLblPos val="ctr"/>
              <c:showLegendKey val="0"/>
              <c:showVal val="1"/>
              <c:showCatName val="0"/>
              <c:showSerName val="0"/>
              <c:showPercent val="1"/>
              <c:showBubbleSize val="0"/>
              <c:extLst>
                <c:ext xmlns:c15="http://schemas.microsoft.com/office/drawing/2012/chart" uri="{CE6537A1-D6FC-4f65-9D91-7224C49458BB}"/>
              </c:extLst>
            </c:dLbl>
            <c:dLbl>
              <c:idx val="6"/>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6</a:t>
                    </a:r>
                    <a:r>
                      <a:rPr lang="en-US" altLang="zh-CN"/>
                      <a:t>1.57</a:t>
                    </a:r>
                    <a:r>
                      <a:t>%</a:t>
                    </a:r>
                  </a:p>
                </c:rich>
              </c:tx>
              <c:dLblPos val="ctr"/>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一般公共预算财政拨款收入</c:v>
                </c:pt>
                <c:pt idx="1">
                  <c:v>政府性基金预算财政拨款收入</c:v>
                </c:pt>
                <c:pt idx="2">
                  <c:v>国有资本经营预算财政拨款收入</c:v>
                </c:pt>
                <c:pt idx="3">
                  <c:v>上级补助收入</c:v>
                </c:pt>
                <c:pt idx="4">
                  <c:v>经营收入</c:v>
                </c:pt>
                <c:pt idx="5">
                  <c:v>附属单位上缴收入</c:v>
                </c:pt>
                <c:pt idx="6">
                  <c:v>其他收入</c:v>
                </c:pt>
              </c:strCache>
            </c:strRef>
          </c:cat>
          <c:val>
            <c:numRef>
              <c:f>Sheet1!$B$2:$B$8</c:f>
              <c:numCache>
                <c:formatCode>0.00%</c:formatCode>
                <c:ptCount val="7"/>
                <c:pt idx="0">
                  <c:v>0.3843</c:v>
                </c:pt>
                <c:pt idx="1" c:formatCode="General">
                  <c:v>0</c:v>
                </c:pt>
                <c:pt idx="2" c:formatCode="General">
                  <c:v>0</c:v>
                </c:pt>
                <c:pt idx="3" c:formatCode="General">
                  <c:v>0</c:v>
                </c:pt>
                <c:pt idx="4" c:formatCode="General">
                  <c:v>0</c:v>
                </c:pt>
                <c:pt idx="5" c:formatCode="General">
                  <c:v>0</c:v>
                </c:pt>
                <c:pt idx="6">
                  <c:v>0.6157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0.00%</c:formatCode>
                <c:ptCount val="5"/>
                <c:pt idx="0">
                  <c:v>0.4027</c:v>
                </c:pt>
                <c:pt idx="1">
                  <c:v>0.5973</c:v>
                </c:pt>
                <c:pt idx="2" c:formatCode="General">
                  <c:v>0</c:v>
                </c:pt>
                <c:pt idx="3" c:formatCode="General">
                  <c:v>0</c:v>
                </c:pt>
                <c:pt idx="4" c:formatCode="General">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735.68</c:v>
                </c:pt>
                <c:pt idx="1">
                  <c:v>893.5</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Sheet1!$C$2:$C$3</c:f>
              <c:numCache>
                <c:formatCode>General</c:formatCode>
                <c:ptCount val="2"/>
                <c:pt idx="0">
                  <c:v>905.08</c:v>
                </c:pt>
                <c:pt idx="1">
                  <c:v>1042.42</c:v>
                </c:pt>
              </c:numCache>
            </c:numRef>
          </c:val>
        </c:ser>
        <c:dLbls>
          <c:showLegendKey val="0"/>
          <c:showVal val="1"/>
          <c:showCatName val="0"/>
          <c:showSerName val="0"/>
          <c:showPercent val="0"/>
          <c:showBubbleSize val="0"/>
        </c:dLbls>
        <c:gapWidth val="219"/>
        <c:overlap val="-27"/>
        <c:axId val="478541168"/>
        <c:axId val="971631862"/>
      </c:barChart>
      <c:catAx>
        <c:axId val="47854116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1631862"/>
        <c:crosses val="autoZero"/>
        <c:auto val="1"/>
        <c:lblAlgn val="ctr"/>
        <c:lblOffset val="100"/>
        <c:noMultiLvlLbl val="0"/>
      </c:catAx>
      <c:valAx>
        <c:axId val="97163186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854116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365.92</c:v>
                </c:pt>
                <c:pt idx="1">
                  <c:v>352.71</c:v>
                </c:pt>
              </c:numCache>
            </c:numRef>
          </c:val>
        </c:ser>
        <c:dLbls>
          <c:showLegendKey val="0"/>
          <c:showVal val="1"/>
          <c:showCatName val="0"/>
          <c:showSerName val="0"/>
          <c:showPercent val="0"/>
          <c:showBubbleSize val="0"/>
        </c:dLbls>
        <c:gapWidth val="219"/>
        <c:overlap val="-27"/>
        <c:axId val="361920799"/>
        <c:axId val="943133922"/>
      </c:barChart>
      <c:catAx>
        <c:axId val="3619207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3133922"/>
        <c:crosses val="autoZero"/>
        <c:auto val="1"/>
        <c:lblAlgn val="ctr"/>
        <c:lblOffset val="100"/>
        <c:noMultiLvlLbl val="0"/>
      </c:catAx>
      <c:valAx>
        <c:axId val="94313392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192079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社会保障和就业支出</c:v>
                </c:pt>
                <c:pt idx="1">
                  <c:v>节能环保支出</c:v>
                </c:pt>
                <c:pt idx="2">
                  <c:v>住房保障支出</c:v>
                </c:pt>
              </c:strCache>
            </c:strRef>
          </c:cat>
          <c:val>
            <c:numRef>
              <c:f>Sheet1!$B$2:$B$4</c:f>
              <c:numCache>
                <c:formatCode>0.00%</c:formatCode>
                <c:ptCount val="3"/>
                <c:pt idx="0">
                  <c:v>0.0638</c:v>
                </c:pt>
                <c:pt idx="1">
                  <c:v>0.8483</c:v>
                </c:pt>
                <c:pt idx="2">
                  <c:v>0.0878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因公出国（境）费用支出</c:v>
                </c:pt>
                <c:pt idx="1">
                  <c:v>公务用车购置及运行维护费支出</c:v>
                </c:pt>
                <c:pt idx="2">
                  <c:v>公务接待费用支出</c:v>
                </c:pt>
              </c:strCache>
            </c:strRef>
          </c:cat>
          <c:val>
            <c:numRef>
              <c:f>Sheet1!$B$2:$B$4</c:f>
              <c:numCache>
                <c:formatCode>General</c:formatCode>
                <c:ptCount val="3"/>
                <c:pt idx="0">
                  <c:v>0</c:v>
                </c:pt>
                <c:pt idx="1">
                  <c:v>0</c:v>
                </c:pt>
                <c:pt idx="2" c:formatCode="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882</Words>
  <Characters>5030</Characters>
  <Lines>41</Lines>
  <Paragraphs>11</Paragraphs>
  <TotalTime>0</TotalTime>
  <ScaleCrop>false</ScaleCrop>
  <LinksUpToDate>false</LinksUpToDate>
  <CharactersWithSpaces>5901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王顺莉</cp:lastModifiedBy>
  <cp:lastPrinted>2023-08-03T02:35:00Z</cp:lastPrinted>
  <dcterms:modified xsi:type="dcterms:W3CDTF">2023-09-06T08:05:30Z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