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Times New Roman" w:hAnsi="Times New Roman" w:eastAsia="方正小标宋简体" w:cs="Times New Roman"/>
          <w:szCs w:val="21"/>
        </w:rPr>
      </w:pPr>
      <w:bookmarkStart w:id="0"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2022年度</w:t>
      </w:r>
    </w:p>
    <w:bookmarkEnd w:id="0"/>
    <w:p>
      <w:pPr>
        <w:adjustRightInd w:val="0"/>
        <w:snapToGrid w:val="0"/>
        <w:spacing w:line="360" w:lineRule="auto"/>
        <w:jc w:val="center"/>
        <w:outlineLvl w:val="0"/>
        <w:rPr>
          <w:rFonts w:hint="default" w:ascii="Times New Roman" w:hAnsi="Times New Roman" w:eastAsia="方正小标宋_GBK" w:cs="Times New Roman"/>
          <w:sz w:val="72"/>
          <w:szCs w:val="72"/>
        </w:rPr>
      </w:pPr>
      <w:bookmarkStart w:id="1" w:name="_Toc15396597"/>
      <w:bookmarkStart w:id="2" w:name="_Toc15396475"/>
      <w:bookmarkStart w:id="3" w:name="_Toc15377425"/>
      <w:bookmarkStart w:id="4" w:name="_Toc15378441"/>
      <w:bookmarkStart w:id="5" w:name="_Toc15377193"/>
      <w:bookmarkStart w:id="6" w:name="_Toc15306268"/>
      <w:bookmarkStart w:id="7" w:name="_Toc15396598"/>
      <w:bookmarkStart w:id="8" w:name="_Toc15396476"/>
      <w:bookmarkStart w:id="9" w:name="_Toc15377426"/>
      <w:bookmarkStart w:id="10" w:name="_Toc15377194"/>
      <w:bookmarkStart w:id="11" w:name="_Toc15378442"/>
      <w:r>
        <w:rPr>
          <w:rFonts w:hint="default" w:ascii="Times New Roman" w:hAnsi="Times New Roman" w:eastAsia="方正小标宋_GBK" w:cs="Times New Roman"/>
          <w:sz w:val="72"/>
          <w:szCs w:val="72"/>
        </w:rPr>
        <w:t>攀枝花市盐边生态环境</w:t>
      </w:r>
    </w:p>
    <w:p>
      <w:pPr>
        <w:adjustRightInd w:val="0"/>
        <w:snapToGrid w:val="0"/>
        <w:spacing w:line="360" w:lineRule="auto"/>
        <w:jc w:val="center"/>
        <w:outlineLvl w:val="0"/>
        <w:rPr>
          <w:rFonts w:hint="default" w:ascii="Times New Roman" w:hAnsi="Times New Roman" w:eastAsia="方正小标宋_GBK" w:cs="Times New Roman"/>
          <w:sz w:val="72"/>
          <w:szCs w:val="72"/>
        </w:rPr>
      </w:pPr>
      <w:r>
        <w:rPr>
          <w:rFonts w:hint="default" w:ascii="Times New Roman" w:hAnsi="Times New Roman" w:eastAsia="方正小标宋_GBK" w:cs="Times New Roman"/>
          <w:sz w:val="72"/>
          <w:szCs w:val="72"/>
        </w:rPr>
        <w:t>监测站</w:t>
      </w:r>
      <w:bookmarkEnd w:id="1"/>
      <w:bookmarkEnd w:id="2"/>
      <w:bookmarkEnd w:id="3"/>
      <w:bookmarkEnd w:id="4"/>
      <w:bookmarkEnd w:id="5"/>
      <w:r>
        <w:rPr>
          <w:rFonts w:hint="default" w:ascii="Times New Roman" w:hAnsi="Times New Roman" w:eastAsia="方正小标宋_GBK" w:cs="Times New Roman"/>
          <w:sz w:val="72"/>
          <w:szCs w:val="72"/>
        </w:rPr>
        <w:t>单位决算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0"/>
        <w:rPr>
          <w:rFonts w:hint="default" w:ascii="Times New Roman" w:hAnsi="Times New Roman" w:cs="Times New Roman"/>
        </w:rPr>
      </w:pPr>
      <w:r>
        <w:rPr>
          <w:rFonts w:hint="default" w:ascii="Times New Roman" w:hAnsi="Times New Roman" w:cs="Times New Roman"/>
        </w:rPr>
        <w:t>公开时间：2023年9月12日</w:t>
      </w:r>
    </w:p>
    <w:p>
      <w:pPr>
        <w:rPr>
          <w:rFonts w:hint="default" w:ascii="Times New Roman" w:hAnsi="Times New Roman" w:cs="Times New Roman"/>
        </w:rPr>
      </w:pPr>
    </w:p>
    <w:p>
      <w:pPr>
        <w:pStyle w:val="10"/>
        <w:adjustRightInd w:val="0"/>
        <w:snapToGrid w:val="0"/>
        <w:spacing w:before="0"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第一部分 单位概况</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4</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一、主要职责</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4</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二、机构设置</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6</w:t>
      </w:r>
    </w:p>
    <w:p>
      <w:pPr>
        <w:pStyle w:val="10"/>
        <w:adjustRightInd w:val="0"/>
        <w:snapToGrid w:val="0"/>
        <w:spacing w:before="0"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第二部分 2022年度单位决算情况说明</w:t>
      </w:r>
      <w:r>
        <w:rPr>
          <w:rFonts w:hint="default" w:ascii="Times New Roman" w:hAnsi="Times New Roman" w:eastAsia="仿宋_GB2312" w:cs="Times New Roman"/>
          <w:sz w:val="28"/>
          <w:szCs w:val="28"/>
        </w:rPr>
        <w:tab/>
      </w:r>
      <w:r>
        <w:rPr>
          <w:rFonts w:hint="eastAsia" w:ascii="Times New Roman" w:hAnsi="Times New Roman" w:eastAsia="仿宋_GB2312" w:cs="Times New Roman"/>
          <w:sz w:val="28"/>
          <w:szCs w:val="28"/>
          <w:lang w:val="en-US" w:eastAsia="zh-CN"/>
        </w:rPr>
        <w:t>7</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一、收入支出决算总体情况说明</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7</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二、收入决算情况说明</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7</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三、支出决算情况说明</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四、财政拨款收入支出决算总体情况说明</w:t>
      </w:r>
      <w:r>
        <w:rPr>
          <w:rFonts w:hint="default" w:ascii="Times New Roman" w:hAnsi="Times New Roman" w:eastAsia="仿宋_GB2312" w:cs="Times New Roman"/>
          <w:sz w:val="28"/>
          <w:szCs w:val="28"/>
        </w:rPr>
        <w:tab/>
      </w:r>
      <w:r>
        <w:rPr>
          <w:rFonts w:hint="eastAsia" w:eastAsia="仿宋_GB2312" w:cs="Times New Roman"/>
          <w:sz w:val="28"/>
          <w:szCs w:val="28"/>
          <w:lang w:val="en-US" w:eastAsia="zh-CN"/>
        </w:rPr>
        <w:t>9</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五、一般公共预算财政拨款支出决算情况说明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9</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六、一般公共预算财政拨款基本支出决算情况说明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11</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七、财政拨款“三公”经费支出决算情况说明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w:t>
      </w:r>
      <w:r>
        <w:rPr>
          <w:rFonts w:hint="eastAsia" w:eastAsia="仿宋_GB2312" w:cs="Times New Roman"/>
          <w:sz w:val="28"/>
          <w:szCs w:val="28"/>
          <w:lang w:val="en-US" w:eastAsia="zh-CN"/>
        </w:rPr>
        <w:t>2</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八、政府性基金预算支出决算情况说明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13</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九、国有资本经营预算支出决算情况说明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13</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十、其他重要事项的情况说明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13</w:t>
      </w:r>
    </w:p>
    <w:p>
      <w:pPr>
        <w:pStyle w:val="10"/>
        <w:adjustRightInd w:val="0"/>
        <w:snapToGrid w:val="0"/>
        <w:spacing w:before="0"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第三部分 名词解释</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15</w:t>
      </w:r>
    </w:p>
    <w:p>
      <w:pPr>
        <w:pStyle w:val="10"/>
        <w:adjustRightInd w:val="0"/>
        <w:snapToGrid w:val="0"/>
        <w:spacing w:before="0"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第四部分 附件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17</w:t>
      </w:r>
    </w:p>
    <w:p>
      <w:pPr>
        <w:pStyle w:val="10"/>
        <w:adjustRightInd w:val="0"/>
        <w:snapToGrid w:val="0"/>
        <w:spacing w:before="0"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第五部分 附表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一、收入支出决算总表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二、收入决算表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三、支出决算表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四、财政拨款收入支出决算总表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五、财政拨款支出决算明细表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六、一般公共预算财政拨款支出决算表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七、一般公共预算财政拨款支出决算明细表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八、一般公共预算财政拨款基本支出决算明细表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九、一般公共预算财政拨款项目支出决算表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十、政府性基金预算财政拨款收入支出决算表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十一、国有资本经营预算财政拨款收入支出决算表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十二、国有资本经营预算财政拨款支出决算表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pStyle w:val="11"/>
        <w:adjustRightInd w:val="0"/>
        <w:snapToGrid w:val="0"/>
        <w:spacing w:line="44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十三、财政拨款“三公”经费支出决算表</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18</w:t>
      </w:r>
    </w:p>
    <w:p>
      <w:pPr>
        <w:widowControl/>
        <w:spacing w:line="440" w:lineRule="exact"/>
        <w:jc w:val="left"/>
        <w:rPr>
          <w:rFonts w:hint="default" w:ascii="Times New Roman" w:hAnsi="Times New Roman" w:eastAsia="仿宋" w:cs="Times New Roman"/>
          <w:bCs/>
          <w:kern w:val="44"/>
          <w:sz w:val="24"/>
        </w:rPr>
      </w:pPr>
      <w:bookmarkStart w:id="12" w:name="_Toc15377196"/>
      <w:bookmarkStart w:id="13" w:name="_Toc15396599"/>
      <w:r>
        <w:rPr>
          <w:rFonts w:hint="default" w:ascii="Times New Roman" w:hAnsi="Times New Roman" w:eastAsia="仿宋" w:cs="Times New Roman"/>
          <w:b/>
          <w:sz w:val="24"/>
        </w:rPr>
        <w:br w:type="page"/>
      </w:r>
    </w:p>
    <w:p>
      <w:pPr>
        <w:pStyle w:val="3"/>
        <w:jc w:val="center"/>
        <w:rPr>
          <w:rFonts w:hint="default" w:ascii="Times New Roman" w:hAnsi="Times New Roman" w:eastAsia="黑体" w:cs="Times New Roman"/>
          <w:sz w:val="32"/>
          <w:szCs w:val="32"/>
        </w:rPr>
      </w:pPr>
      <w:r>
        <w:rPr>
          <w:rFonts w:hint="default" w:ascii="Times New Roman" w:hAnsi="Times New Roman" w:eastAsia="黑体" w:cs="Times New Roman"/>
          <w:b w:val="0"/>
        </w:rPr>
        <w:t>第一部分 单位</w:t>
      </w:r>
      <w:r>
        <w:rPr>
          <w:rStyle w:val="24"/>
          <w:rFonts w:hint="default" w:ascii="Times New Roman" w:hAnsi="Times New Roman" w:eastAsia="黑体" w:cs="Times New Roman"/>
          <w:b w:val="0"/>
          <w:bCs w:val="0"/>
        </w:rPr>
        <w:t>概况</w:t>
      </w:r>
      <w:bookmarkEnd w:id="12"/>
      <w:bookmarkEnd w:id="13"/>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5"/>
          <w:rFonts w:hint="default" w:ascii="Times New Roman" w:hAnsi="Times New Roman" w:eastAsia="黑体" w:cs="Times New Roman"/>
          <w:b w:val="0"/>
          <w:bCs w:val="0"/>
        </w:rPr>
      </w:pPr>
      <w:bookmarkStart w:id="14" w:name="_Toc15396600"/>
      <w:bookmarkStart w:id="15" w:name="_Toc15377197"/>
      <w:r>
        <w:rPr>
          <w:rStyle w:val="25"/>
          <w:rFonts w:hint="default" w:ascii="Times New Roman" w:hAnsi="Times New Roman" w:eastAsia="黑体" w:cs="Times New Roman"/>
          <w:b w:val="0"/>
          <w:bCs w:val="0"/>
          <w:lang w:eastAsia="zh-CN"/>
        </w:rPr>
        <w:t>一、</w:t>
      </w:r>
      <w:r>
        <w:rPr>
          <w:rStyle w:val="25"/>
          <w:rFonts w:hint="default" w:ascii="Times New Roman" w:hAnsi="Times New Roman" w:eastAsia="黑体" w:cs="Times New Roman"/>
          <w:b w:val="0"/>
          <w:bCs w:val="0"/>
        </w:rPr>
        <w:t>主要职责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负责建立健全并执行各项生态环境基本制度。贯彻执行国家、省、市有关法律、法规、规章和政策，会同有关部门拟订并组织实施区域内生态环境政策、规划。参与编制环境功能区划，参与制定与区域内生态环境相关的经济、技术、资源配置和产业政策。参与拟订并贯彻执行区域内主体功能区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负责区域内生态环境污染防治的监督管理。组织制定并监督实施区域内大气、水、土壤、噪声、光、恶臭、固体废物、化学品、机动车等的污染防治管理制度。参与排污口设置管理工作，负责流域水环境保护工作。监督指导区域大气环境保护工作，牵头建立区域大气污染联防联控协作机制并监督实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组织协调生物多样性保护工作，参与生态保护补偿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区域内生态环境监测、统计和信息发布工作。监督执行国家、省颁布的各类环境标准，组织实施环境监测制度和规范相关工作。会同有关部门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（五）负责应对气候变化工作。组织实施国家、省应对气候变化及温室气体减排重大战略、规划和政策，组织实施区域内应对气候变化的规划和政策措施。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（六）开展生态环境科技工作。管理区域内生态环境保护科技成果并推广应用。组织开展生态环境重大科学研究和技术工程示范，推动生态环境技术管理体系建设。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七）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lang w:eastAsia="zh-CN"/>
        </w:rPr>
        <w:t>二、</w:t>
      </w:r>
      <w:r>
        <w:rPr>
          <w:rFonts w:hint="default" w:ascii="Times New Roman" w:hAnsi="Times New Roman" w:eastAsia="黑体" w:cs="Times New Roman"/>
          <w:b w:val="0"/>
        </w:rPr>
        <w:t>机构设置</w:t>
      </w:r>
      <w:bookmarkEnd w:id="14"/>
      <w:bookmarkEnd w:id="15"/>
    </w:p>
    <w:p>
      <w:pPr>
        <w:pStyle w:val="3"/>
        <w:keepNext/>
        <w:keepLines/>
        <w:pageBreakBefore w:val="0"/>
        <w:widowControl w:val="0"/>
        <w:kinsoku/>
        <w:wordWrap/>
        <w:overflowPunct/>
        <w:topLinePunct w:val="0"/>
        <w:autoSpaceDE/>
        <w:autoSpaceDN/>
        <w:bidi w:val="0"/>
        <w:adjustRightInd/>
        <w:snapToGrid/>
        <w:spacing w:before="0" w:after="0" w:line="560" w:lineRule="exact"/>
        <w:ind w:right="0" w:firstLine="640" w:firstLineChars="200"/>
        <w:jc w:val="left"/>
        <w:textAlignment w:val="auto"/>
        <w:rPr>
          <w:rFonts w:hint="eastAsia" w:eastAsia="仿宋_GB2312" w:cs="Times New Roman"/>
          <w:b w:val="0"/>
          <w:bCs w:val="0"/>
          <w:sz w:val="32"/>
          <w:szCs w:val="32"/>
          <w:lang w:eastAsia="zh-CN"/>
        </w:rPr>
      </w:pPr>
      <w:bookmarkStart w:id="16" w:name="_Toc15396602"/>
      <w:bookmarkStart w:id="17" w:name="_Toc15377204"/>
      <w:r>
        <w:rPr>
          <w:rFonts w:hint="default" w:ascii="Times New Roman" w:hAnsi="Times New Roman" w:eastAsia="仿宋_GB2312" w:cs="Times New Roman"/>
          <w:b w:val="0"/>
          <w:bCs w:val="0"/>
          <w:sz w:val="32"/>
          <w:szCs w:val="32"/>
          <w:lang w:eastAsia="zh-CN"/>
        </w:rPr>
        <w:t>攀枝花市盐边生态环境监测站</w:t>
      </w:r>
      <w:r>
        <w:rPr>
          <w:rFonts w:hint="eastAsia" w:eastAsia="仿宋_GB2312" w:cs="Times New Roman"/>
          <w:b w:val="0"/>
          <w:bCs w:val="0"/>
          <w:sz w:val="32"/>
          <w:szCs w:val="32"/>
          <w:lang w:eastAsia="zh-CN"/>
        </w:rPr>
        <w:t>属二级预算</w:t>
      </w:r>
      <w:r>
        <w:rPr>
          <w:rFonts w:hint="default" w:ascii="Times New Roman" w:hAnsi="Times New Roman" w:eastAsia="仿宋_GB2312" w:cs="Times New Roman"/>
          <w:b w:val="0"/>
          <w:bCs w:val="0"/>
          <w:sz w:val="32"/>
          <w:szCs w:val="32"/>
          <w:lang w:eastAsia="zh-CN"/>
        </w:rPr>
        <w:t>单位，</w:t>
      </w:r>
      <w:r>
        <w:rPr>
          <w:rFonts w:hint="eastAsia" w:eastAsia="仿宋_GB2312" w:cs="Times New Roman"/>
          <w:b w:val="0"/>
          <w:bCs w:val="0"/>
          <w:sz w:val="32"/>
          <w:szCs w:val="32"/>
          <w:lang w:eastAsia="zh-CN"/>
        </w:rPr>
        <w:t>监测站内设机构为办公室、现场监测室、中心分析室、质量技术室。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cs="Times New Roman"/>
          <w:b w:val="0"/>
          <w:bCs w:val="0"/>
          <w:sz w:val="32"/>
          <w:szCs w:val="32"/>
          <w:lang w:eastAsia="zh-CN"/>
        </w:rPr>
      </w:pPr>
      <w:r>
        <w:rPr>
          <w:rFonts w:hint="eastAsia" w:eastAsia="仿宋_GB2312" w:cs="Times New Roman"/>
          <w:b w:val="0"/>
          <w:bCs w:val="0"/>
          <w:sz w:val="32"/>
          <w:szCs w:val="32"/>
          <w:lang w:eastAsia="zh-CN"/>
        </w:rPr>
        <w:t>办公室：负责财务行政后勤管理，业务接洽和下达，文书报告收发及档案管理，组织技术业务交流学习，固定资产管理和仪器设备、试剂药品、办公用品采购事宜，政务协调和服务以及领导交予的其他任务。</w:t>
      </w:r>
      <w:bookmarkStart w:id="67" w:name="_GoBack"/>
      <w:bookmarkEnd w:id="67"/>
    </w:p>
    <w:p>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default"/>
          <w:sz w:val="32"/>
          <w:szCs w:val="32"/>
          <w:lang w:eastAsia="zh-CN"/>
        </w:rPr>
      </w:pPr>
      <w:r>
        <w:rPr>
          <w:rFonts w:hint="default"/>
          <w:sz w:val="32"/>
          <w:szCs w:val="32"/>
          <w:lang w:eastAsia="zh-CN"/>
        </w:rPr>
        <w:t>现场监测室：合理分配监测工作任务，按照规范程序开展现场监测及采样，对现场监测仪器设备进行日常维护，做好原始记录，制订监测工作所需物品名称和数量，编写相应作业指导书和监测报告。</w:t>
      </w:r>
    </w:p>
    <w:p>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default"/>
          <w:sz w:val="32"/>
          <w:szCs w:val="32"/>
          <w:lang w:eastAsia="zh-CN"/>
        </w:rPr>
      </w:pPr>
      <w:r>
        <w:rPr>
          <w:rFonts w:hint="default"/>
          <w:sz w:val="32"/>
          <w:szCs w:val="32"/>
          <w:lang w:eastAsia="zh-CN"/>
        </w:rPr>
        <w:t>中心分析室：合理分配监测分析任务，按照规范程序开展实验室监测分析，对实验室仪器设备进行日常维护，做好原始记录，制订分析工作所需物品名称和数量，编写相应作业指导书和监测报告。</w:t>
      </w:r>
    </w:p>
    <w:p>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default" w:ascii="Times New Roman" w:hAnsi="Times New Roman" w:eastAsia="仿宋_GB2312" w:cs="Times New Roman"/>
          <w:b w:val="0"/>
          <w:bCs w:val="0"/>
          <w:sz w:val="32"/>
          <w:szCs w:val="32"/>
          <w:lang w:eastAsia="zh-CN"/>
        </w:rPr>
      </w:pPr>
      <w:r>
        <w:rPr>
          <w:rFonts w:hint="default"/>
          <w:sz w:val="32"/>
          <w:szCs w:val="32"/>
          <w:lang w:eastAsia="zh-CN"/>
        </w:rPr>
        <w:t>质量技术室：全面负责监测工作质量管理，组织策划内部审核、管理评审、和质量控制活动，及时更新及替换监测标准和方法，收集、处理、反馈客户抱怨，对不符合工作进行控制，跟踪验证纠正、预防、改进措施，确保本站管理体系的建立、有效运行和持续改进。</w:t>
      </w:r>
    </w:p>
    <w:p>
      <w:pPr>
        <w:pStyle w:val="3"/>
        <w:keepNext/>
        <w:keepLines/>
        <w:pageBreakBefore w:val="0"/>
        <w:widowControl w:val="0"/>
        <w:kinsoku/>
        <w:wordWrap/>
        <w:overflowPunct/>
        <w:topLinePunct w:val="0"/>
        <w:autoSpaceDE/>
        <w:autoSpaceDN/>
        <w:bidi w:val="0"/>
        <w:adjustRightInd/>
        <w:snapToGrid/>
        <w:spacing w:before="200" w:after="200" w:line="480" w:lineRule="auto"/>
        <w:ind w:right="0"/>
        <w:jc w:val="center"/>
        <w:textAlignment w:val="auto"/>
        <w:rPr>
          <w:rFonts w:hint="default" w:ascii="Times New Roman" w:hAnsi="Times New Roman" w:cs="Times New Roman"/>
        </w:rPr>
      </w:pPr>
      <w:r>
        <w:rPr>
          <w:rFonts w:hint="default" w:ascii="Times New Roman" w:hAnsi="Times New Roman" w:eastAsia="黑体" w:cs="Times New Roman"/>
          <w:b w:val="0"/>
        </w:rPr>
        <w:t>第二部分 2022年度</w:t>
      </w:r>
      <w:r>
        <w:rPr>
          <w:rStyle w:val="24"/>
          <w:rFonts w:hint="default" w:ascii="Times New Roman" w:hAnsi="Times New Roman" w:eastAsia="黑体" w:cs="Times New Roman"/>
          <w:b w:val="0"/>
          <w:bCs/>
        </w:rPr>
        <w:t>单位决算情况说明</w:t>
      </w:r>
      <w:bookmarkEnd w:id="16"/>
      <w:bookmarkEnd w:id="17"/>
    </w:p>
    <w:p>
      <w:pPr>
        <w:pStyle w:val="23"/>
        <w:numPr>
          <w:ilvl w:val="0"/>
          <w:numId w:val="0"/>
        </w:numPr>
        <w:spacing w:line="600" w:lineRule="exact"/>
        <w:ind w:left="640" w:leftChars="0"/>
        <w:outlineLvl w:val="1"/>
        <w:rPr>
          <w:rStyle w:val="25"/>
          <w:rFonts w:hint="default" w:ascii="Times New Roman" w:hAnsi="Times New Roman" w:eastAsia="黑体" w:cs="Times New Roman"/>
          <w:b w:val="0"/>
        </w:rPr>
      </w:pPr>
      <w:bookmarkStart w:id="18" w:name="_Toc15396603"/>
      <w:bookmarkStart w:id="19" w:name="_Toc15377205"/>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入支出决算总体情况说明</w:t>
      </w:r>
      <w:bookmarkEnd w:id="18"/>
      <w:bookmarkEnd w:id="19"/>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2022年度收、支总计</w:t>
      </w:r>
      <w:r>
        <w:rPr>
          <w:rFonts w:hint="default" w:ascii="Times New Roman" w:hAnsi="Times New Roman" w:eastAsia="仿宋_GB2312" w:cs="Times New Roman"/>
          <w:sz w:val="32"/>
          <w:szCs w:val="32"/>
          <w:lang w:val="en-US" w:eastAsia="zh-CN"/>
        </w:rPr>
        <w:t>220.8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（包括年初结转和结余</w:t>
      </w:r>
      <w:r>
        <w:rPr>
          <w:rFonts w:hint="default" w:ascii="Times New Roman" w:hAnsi="Times New Roman" w:eastAsia="仿宋_GB2312" w:cs="Times New Roman"/>
          <w:sz w:val="32"/>
          <w:szCs w:val="32"/>
          <w:lang w:val="en-US" w:eastAsia="zh-CN"/>
        </w:rPr>
        <w:t>7.2万元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196.58万元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相比，收、支总计各增加</w:t>
      </w:r>
      <w:r>
        <w:rPr>
          <w:rFonts w:hint="default" w:ascii="Times New Roman" w:hAnsi="Times New Roman" w:eastAsia="仿宋_GB2312" w:cs="Times New Roman"/>
          <w:sz w:val="32"/>
          <w:szCs w:val="32"/>
          <w:lang w:val="en-US" w:eastAsia="zh-CN"/>
        </w:rPr>
        <w:t>24.22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12.32</w:t>
      </w:r>
      <w:r>
        <w:rPr>
          <w:rFonts w:hint="default" w:ascii="Times New Roman" w:hAnsi="Times New Roman" w:eastAsia="仿宋_GB2312" w:cs="Times New Roman"/>
          <w:sz w:val="32"/>
          <w:szCs w:val="32"/>
        </w:rPr>
        <w:t>%。主要变动原</w:t>
      </w:r>
      <w:r>
        <w:rPr>
          <w:rFonts w:hint="default" w:ascii="Times New Roman" w:hAnsi="Times New Roman" w:eastAsia="仿宋_GB2312" w:cs="Times New Roman"/>
          <w:sz w:val="32"/>
          <w:szCs w:val="32"/>
          <w:lang w:eastAsia="zh-CN"/>
        </w:rPr>
        <w:t>因是人员增多</w:t>
      </w:r>
      <w:r>
        <w:rPr>
          <w:rFonts w:hint="default" w:ascii="Times New Roman" w:hAnsi="Times New Roman" w:eastAsia="仿宋_GB2312" w:cs="Times New Roman"/>
          <w:sz w:val="32"/>
          <w:szCs w:val="32"/>
        </w:rPr>
        <w:t>。</w:t>
      </w:r>
    </w:p>
    <w:p>
      <w:pPr>
        <w:pStyle w:val="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inline distT="0" distB="0" distL="114300" distR="114300">
            <wp:extent cx="4813935" cy="2817495"/>
            <wp:effectExtent l="4445" t="4445" r="20320" b="1651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rPr>
          <w:rFonts w:hint="default" w:ascii="Times New Roman" w:hAnsi="Times New Roman" w:cs="Times New Roman"/>
        </w:rPr>
      </w:pPr>
      <w:r>
        <w:rPr>
          <w:rFonts w:hint="default" w:ascii="Times New Roman" w:hAnsi="Times New Roman" w:eastAsia="仿宋" w:cs="Times New Roman"/>
          <w:sz w:val="32"/>
          <w:szCs w:val="32"/>
        </w:rPr>
        <w:t>图1：收、支决算总计变动情况图</w:t>
      </w:r>
    </w:p>
    <w:p>
      <w:pPr>
        <w:pStyle w:val="23"/>
        <w:keepNext w:val="0"/>
        <w:keepLines w:val="0"/>
        <w:pageBreakBefore w:val="0"/>
        <w:widowControl w:val="0"/>
        <w:numPr>
          <w:ilvl w:val="0"/>
          <w:numId w:val="0"/>
        </w:numPr>
        <w:kinsoku/>
        <w:wordWrap/>
        <w:overflowPunct/>
        <w:topLinePunct w:val="0"/>
        <w:autoSpaceDE/>
        <w:autoSpaceDN/>
        <w:bidi w:val="0"/>
        <w:adjustRightInd/>
        <w:snapToGrid/>
        <w:spacing w:before="200" w:after="200" w:line="600" w:lineRule="exact"/>
        <w:ind w:leftChars="200" w:firstLine="320" w:firstLineChars="100"/>
        <w:textAlignment w:val="auto"/>
        <w:outlineLvl w:val="1"/>
        <w:rPr>
          <w:rStyle w:val="25"/>
          <w:rFonts w:hint="default" w:ascii="Times New Roman" w:hAnsi="Times New Roman" w:eastAsia="黑体" w:cs="Times New Roman"/>
          <w:b w:val="0"/>
        </w:rPr>
      </w:pPr>
      <w:bookmarkStart w:id="20" w:name="_Toc15377206"/>
      <w:bookmarkStart w:id="21" w:name="_Toc15396604"/>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入决算情况说明</w:t>
      </w:r>
      <w:bookmarkEnd w:id="20"/>
      <w:bookmarkEnd w:id="21"/>
    </w:p>
    <w:p>
      <w:pPr>
        <w:spacing w:line="60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213.60</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213.60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%；国有资本经营预算财政拨款收入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2"/>
        <w:jc w:val="center"/>
        <w:rPr>
          <w:rFonts w:hint="default" w:ascii="Times New Roman" w:hAnsi="Times New Roman" w:eastAsia="仿宋" w:cs="Times New Roman"/>
          <w:sz w:val="32"/>
          <w:szCs w:val="32"/>
        </w:rPr>
      </w:pPr>
      <w:r>
        <w:rPr>
          <w:rFonts w:hint="default" w:ascii="Times New Roman" w:hAnsi="Times New Roman" w:eastAsia="仿宋" w:cs="Times New Roman"/>
          <w:b/>
          <w:sz w:val="32"/>
          <w:szCs w:val="32"/>
          <w:lang w:eastAsia="zh-CN"/>
        </w:rPr>
        <w:drawing>
          <wp:inline distT="0" distB="0" distL="114300" distR="114300">
            <wp:extent cx="4519930" cy="2306320"/>
            <wp:effectExtent l="4445" t="5080" r="952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w:t>
      </w:r>
    </w:p>
    <w:p>
      <w:pPr>
        <w:spacing w:line="600" w:lineRule="exact"/>
        <w:ind w:firstLine="640" w:firstLineChars="200"/>
        <w:rPr>
          <w:rFonts w:hint="default" w:ascii="Times New Roman" w:hAnsi="Times New Roman" w:eastAsia="仿宋_GB2312" w:cs="Times New Roman"/>
          <w:sz w:val="32"/>
          <w:szCs w:val="32"/>
        </w:rPr>
      </w:pPr>
    </w:p>
    <w:p>
      <w:pPr>
        <w:pStyle w:val="23"/>
        <w:numPr>
          <w:ilvl w:val="0"/>
          <w:numId w:val="0"/>
        </w:numPr>
        <w:spacing w:line="600" w:lineRule="exact"/>
        <w:ind w:left="640" w:leftChars="0"/>
        <w:outlineLvl w:val="1"/>
        <w:rPr>
          <w:rStyle w:val="25"/>
          <w:rFonts w:hint="default" w:ascii="Times New Roman" w:hAnsi="Times New Roman" w:eastAsia="黑体" w:cs="Times New Roman"/>
          <w:b w:val="0"/>
        </w:rPr>
      </w:pPr>
      <w:bookmarkStart w:id="22" w:name="_Toc15377207"/>
      <w:bookmarkStart w:id="23" w:name="_Toc15396605"/>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支</w:t>
      </w:r>
      <w:r>
        <w:rPr>
          <w:rStyle w:val="25"/>
          <w:rFonts w:hint="default" w:ascii="Times New Roman" w:hAnsi="Times New Roman" w:eastAsia="黑体" w:cs="Times New Roman"/>
          <w:b w:val="0"/>
        </w:rPr>
        <w:t>出决算情况说明</w:t>
      </w:r>
      <w:bookmarkEnd w:id="22"/>
      <w:bookmarkEnd w:id="23"/>
    </w:p>
    <w:p>
      <w:pPr>
        <w:spacing w:line="600" w:lineRule="exact"/>
        <w:ind w:firstLine="640" w:firstLineChars="200"/>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220.80</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220.80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Style w:val="2"/>
        <w:jc w:val="center"/>
        <w:rPr>
          <w:rFonts w:hint="default" w:ascii="Times New Roman" w:hAnsi="Times New Roman" w:eastAsia="仿宋" w:cs="Times New Roman"/>
          <w:sz w:val="32"/>
          <w:szCs w:val="32"/>
          <w:shd w:val="pct10" w:color="auto" w:fill="FFFFFF"/>
        </w:rPr>
      </w:pPr>
      <w:r>
        <w:rPr>
          <w:rFonts w:hint="default" w:ascii="Times New Roman" w:hAnsi="Times New Roman" w:eastAsia="仿宋" w:cs="Times New Roman"/>
          <w:sz w:val="32"/>
          <w:szCs w:val="32"/>
          <w:shd w:val="pct10" w:color="auto" w:fill="FFFFFF"/>
          <w:lang w:eastAsia="zh-CN"/>
        </w:rPr>
        <w:drawing>
          <wp:inline distT="0" distB="0" distL="114300" distR="114300">
            <wp:extent cx="4652010" cy="2955290"/>
            <wp:effectExtent l="4445" t="4445" r="6985" b="1206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hint="default" w:ascii="Times New Roman" w:hAnsi="Times New Roman" w:cs="Times New Roman"/>
        </w:rPr>
      </w:pPr>
      <w:r>
        <w:rPr>
          <w:rFonts w:hint="default" w:ascii="Times New Roman" w:hAnsi="Times New Roman" w:eastAsia="仿宋" w:cs="Times New Roman"/>
          <w:sz w:val="32"/>
          <w:szCs w:val="32"/>
        </w:rPr>
        <w:t>图3：支出决算结构图</w:t>
      </w:r>
    </w:p>
    <w:p>
      <w:pPr>
        <w:keepNext w:val="0"/>
        <w:keepLines w:val="0"/>
        <w:pageBreakBefore w:val="0"/>
        <w:widowControl w:val="0"/>
        <w:kinsoku/>
        <w:wordWrap/>
        <w:overflowPunct/>
        <w:topLinePunct w:val="0"/>
        <w:autoSpaceDE/>
        <w:autoSpaceDN/>
        <w:bidi w:val="0"/>
        <w:adjustRightInd/>
        <w:snapToGrid/>
        <w:spacing w:before="200" w:after="200" w:line="600" w:lineRule="exact"/>
        <w:ind w:firstLine="640" w:firstLineChars="200"/>
        <w:textAlignment w:val="auto"/>
        <w:outlineLvl w:val="1"/>
        <w:rPr>
          <w:rStyle w:val="25"/>
          <w:rFonts w:hint="default" w:ascii="Times New Roman" w:hAnsi="Times New Roman" w:eastAsia="黑体" w:cs="Times New Roman"/>
          <w:b w:val="0"/>
        </w:rPr>
      </w:pPr>
      <w:bookmarkStart w:id="24" w:name="_Toc15396606"/>
      <w:bookmarkStart w:id="25" w:name="_Toc15377208"/>
      <w:r>
        <w:rPr>
          <w:rFonts w:hint="default" w:ascii="Times New Roman" w:hAnsi="Times New Roman" w:eastAsia="黑体" w:cs="Times New Roman"/>
          <w:sz w:val="32"/>
          <w:szCs w:val="32"/>
        </w:rPr>
        <w:t>四、财</w:t>
      </w:r>
      <w:r>
        <w:rPr>
          <w:rStyle w:val="25"/>
          <w:rFonts w:hint="default" w:ascii="Times New Roman" w:hAnsi="Times New Roman" w:eastAsia="黑体" w:cs="Times New Roman"/>
          <w:b w:val="0"/>
        </w:rPr>
        <w:t>政拨款收入支出决算总体情况说明</w:t>
      </w:r>
      <w:bookmarkEnd w:id="24"/>
      <w:bookmarkEnd w:id="25"/>
    </w:p>
    <w:p>
      <w:pPr>
        <w:spacing w:line="600" w:lineRule="exact"/>
        <w:ind w:firstLine="64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2022年财政拨款收、支总计</w:t>
      </w:r>
      <w:r>
        <w:rPr>
          <w:rFonts w:hint="default" w:ascii="Times New Roman" w:hAnsi="Times New Roman" w:eastAsia="仿宋_GB2312" w:cs="Times New Roman"/>
          <w:sz w:val="32"/>
          <w:szCs w:val="32"/>
          <w:lang w:val="en-US" w:eastAsia="zh-CN"/>
        </w:rPr>
        <w:t>213.60</w:t>
      </w:r>
      <w:r>
        <w:rPr>
          <w:rFonts w:hint="default" w:ascii="Times New Roman" w:hAnsi="Times New Roman" w:eastAsia="仿宋_GB2312" w:cs="Times New Roman"/>
          <w:sz w:val="32"/>
          <w:szCs w:val="32"/>
        </w:rPr>
        <w:t>万元。与2021年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196.58万元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相比，财政拨款收、支总计各增加</w:t>
      </w:r>
      <w:r>
        <w:rPr>
          <w:rFonts w:hint="default" w:ascii="Times New Roman" w:hAnsi="Times New Roman" w:eastAsia="仿宋_GB2312" w:cs="Times New Roman"/>
          <w:sz w:val="32"/>
          <w:szCs w:val="32"/>
          <w:lang w:val="en-US" w:eastAsia="zh-CN"/>
        </w:rPr>
        <w:t>17.02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8.66</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人员增多。</w:t>
      </w:r>
    </w:p>
    <w:p>
      <w:pPr>
        <w:pStyle w:val="2"/>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lang w:eastAsia="zh-CN"/>
        </w:rPr>
        <w:drawing>
          <wp:inline distT="0" distB="0" distL="114300" distR="114300">
            <wp:extent cx="4985385" cy="3007995"/>
            <wp:effectExtent l="4445" t="4445" r="889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default" w:ascii="Times New Roman" w:hAnsi="Times New Roman" w:eastAsia="仿宋" w:cs="Times New Roman"/>
          <w:b/>
          <w:sz w:val="32"/>
          <w:szCs w:val="32"/>
          <w:lang w:val="en-US" w:eastAsia="zh-CN"/>
        </w:rPr>
        <w:t xml:space="preserve">  </w:t>
      </w:r>
      <w:r>
        <w:rPr>
          <w:rFonts w:hint="default" w:ascii="Times New Roman" w:hAnsi="Times New Roman" w:eastAsia="仿宋" w:cs="Times New Roman"/>
          <w:sz w:val="32"/>
          <w:szCs w:val="32"/>
          <w:lang w:eastAsia="zh-CN"/>
        </w:rPr>
        <w:t>图</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财政拨款收、支决算总计变动情况</w:t>
      </w:r>
    </w:p>
    <w:p>
      <w:pPr>
        <w:keepNext w:val="0"/>
        <w:keepLines w:val="0"/>
        <w:pageBreakBefore w:val="0"/>
        <w:widowControl w:val="0"/>
        <w:kinsoku/>
        <w:wordWrap/>
        <w:overflowPunct/>
        <w:topLinePunct w:val="0"/>
        <w:autoSpaceDE/>
        <w:autoSpaceDN/>
        <w:bidi w:val="0"/>
        <w:adjustRightInd/>
        <w:snapToGrid/>
        <w:spacing w:before="200" w:after="200" w:line="600" w:lineRule="exact"/>
        <w:ind w:firstLine="640" w:firstLineChars="200"/>
        <w:textAlignment w:val="auto"/>
        <w:outlineLvl w:val="1"/>
        <w:rPr>
          <w:rStyle w:val="25"/>
          <w:rFonts w:hint="default" w:ascii="Times New Roman" w:hAnsi="Times New Roman" w:eastAsia="黑体" w:cs="Times New Roman"/>
          <w:b w:val="0"/>
        </w:rPr>
      </w:pPr>
      <w:bookmarkStart w:id="26" w:name="_Toc15396607"/>
      <w:bookmarkStart w:id="27"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般公共预算财政拨款支出决算情况说明</w:t>
      </w:r>
      <w:bookmarkEnd w:id="26"/>
      <w:bookmarkEnd w:id="27"/>
    </w:p>
    <w:p>
      <w:pPr>
        <w:spacing w:line="600" w:lineRule="exact"/>
        <w:ind w:firstLine="643" w:firstLineChars="200"/>
        <w:outlineLvl w:val="2"/>
        <w:rPr>
          <w:rFonts w:hint="default" w:ascii="Times New Roman" w:hAnsi="Times New Roman" w:eastAsia="仿宋_GB2312" w:cs="Times New Roman"/>
          <w:b/>
          <w:sz w:val="32"/>
          <w:szCs w:val="32"/>
        </w:rPr>
      </w:pPr>
      <w:bookmarkStart w:id="28" w:name="_Toc15377210"/>
      <w:r>
        <w:rPr>
          <w:rFonts w:hint="default" w:ascii="Times New Roman" w:hAnsi="Times New Roman" w:eastAsia="仿宋_GB2312" w:cs="Times New Roman"/>
          <w:b/>
          <w:sz w:val="32"/>
          <w:szCs w:val="32"/>
        </w:rPr>
        <w:t>（一）一般公共预算财政拨款支出决算总体情况</w:t>
      </w:r>
      <w:bookmarkEnd w:id="28"/>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220.80</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%。与2021年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196.58万元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相比，一般公共预算财政拨款支出增加</w:t>
      </w:r>
      <w:r>
        <w:rPr>
          <w:rFonts w:hint="default" w:ascii="Times New Roman" w:hAnsi="Times New Roman" w:eastAsia="仿宋_GB2312" w:cs="Times New Roman"/>
          <w:sz w:val="32"/>
          <w:szCs w:val="32"/>
          <w:lang w:val="en-US" w:eastAsia="zh-CN"/>
        </w:rPr>
        <w:t>24.22</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12.32</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人员增多。</w:t>
      </w:r>
    </w:p>
    <w:p>
      <w:pPr>
        <w:pStyle w:val="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inline distT="0" distB="0" distL="114300" distR="114300">
            <wp:extent cx="4899660" cy="2696845"/>
            <wp:effectExtent l="4445" t="4445" r="10795" b="228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w:t>
      </w:r>
    </w:p>
    <w:p>
      <w:pPr>
        <w:keepNext w:val="0"/>
        <w:keepLines w:val="0"/>
        <w:pageBreakBefore w:val="0"/>
        <w:widowControl w:val="0"/>
        <w:kinsoku/>
        <w:wordWrap/>
        <w:overflowPunct/>
        <w:topLinePunct w:val="0"/>
        <w:autoSpaceDE/>
        <w:autoSpaceDN/>
        <w:bidi w:val="0"/>
        <w:adjustRightInd/>
        <w:snapToGrid/>
        <w:spacing w:before="100" w:after="100" w:line="600" w:lineRule="exact"/>
        <w:ind w:firstLine="643" w:firstLineChars="200"/>
        <w:textAlignment w:val="auto"/>
        <w:outlineLvl w:val="2"/>
        <w:rPr>
          <w:rFonts w:hint="default" w:ascii="Times New Roman" w:hAnsi="Times New Roman" w:eastAsia="仿宋_GB2312" w:cs="Times New Roman"/>
          <w:b/>
          <w:sz w:val="32"/>
          <w:szCs w:val="32"/>
        </w:rPr>
      </w:pPr>
      <w:bookmarkStart w:id="29" w:name="_Toc15377211"/>
      <w:r>
        <w:rPr>
          <w:rFonts w:hint="default" w:ascii="Times New Roman" w:hAnsi="Times New Roman" w:eastAsia="仿宋_GB2312" w:cs="Times New Roman"/>
          <w:b/>
          <w:sz w:val="32"/>
          <w:szCs w:val="32"/>
        </w:rPr>
        <w:t>（二）一般公共预算财政拨款支出决算结构情况</w:t>
      </w:r>
      <w:bookmarkEnd w:id="29"/>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220.80</w:t>
      </w:r>
      <w:r>
        <w:rPr>
          <w:rFonts w:hint="default" w:ascii="Times New Roman" w:hAnsi="Times New Roman" w:eastAsia="仿宋_GB2312" w:cs="Times New Roman"/>
          <w:sz w:val="32"/>
          <w:szCs w:val="32"/>
        </w:rPr>
        <w:t>万元，主要用于以下方面</w:t>
      </w:r>
      <w:r>
        <w:rPr>
          <w:rFonts w:hint="eastAsia" w:eastAsia="仿宋_GB2312" w:cs="Times New Roman"/>
          <w:sz w:val="32"/>
          <w:szCs w:val="32"/>
          <w:lang w:eastAsia="zh-CN"/>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17.98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8.14</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b w:val="0"/>
          <w:bCs w:val="0"/>
          <w:sz w:val="32"/>
          <w:szCs w:val="32"/>
          <w:lang w:val="en-US" w:eastAsia="zh-CN"/>
        </w:rPr>
        <w:t>21.22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9.61</w:t>
      </w:r>
      <w:r>
        <w:rPr>
          <w:rFonts w:hint="default" w:ascii="Times New Roman" w:hAnsi="Times New Roman" w:eastAsia="仿宋_GB2312" w:cs="Times New Roman"/>
          <w:sz w:val="32"/>
          <w:szCs w:val="32"/>
        </w:rPr>
        <w:t>%；</w:t>
      </w:r>
      <w:r>
        <w:rPr>
          <w:rStyle w:val="14"/>
          <w:rFonts w:hint="default" w:ascii="Times New Roman" w:hAnsi="Times New Roman" w:eastAsia="仿宋_GB2312" w:cs="Times New Roman"/>
          <w:bCs/>
          <w:sz w:val="32"/>
          <w:szCs w:val="32"/>
        </w:rPr>
        <w:t>节能环保支出</w:t>
      </w:r>
      <w:r>
        <w:rPr>
          <w:rStyle w:val="14"/>
          <w:rFonts w:hint="default" w:ascii="Times New Roman" w:hAnsi="Times New Roman" w:eastAsia="仿宋_GB2312" w:cs="Times New Roman"/>
          <w:b w:val="0"/>
          <w:bCs w:val="0"/>
          <w:sz w:val="32"/>
          <w:szCs w:val="32"/>
          <w:lang w:val="en-US" w:eastAsia="zh-CN"/>
        </w:rPr>
        <w:t>181.60</w:t>
      </w:r>
      <w:r>
        <w:rPr>
          <w:rStyle w:val="14"/>
          <w:rFonts w:hint="default" w:ascii="Times New Roman" w:hAnsi="Times New Roman" w:eastAsia="仿宋_GB2312" w:cs="Times New Roman"/>
          <w:bCs/>
          <w:sz w:val="32"/>
          <w:szCs w:val="32"/>
          <w:lang w:val="en-US" w:eastAsia="zh-CN"/>
        </w:rPr>
        <w:t>万元，占</w:t>
      </w:r>
      <w:r>
        <w:rPr>
          <w:rStyle w:val="14"/>
          <w:rFonts w:hint="default" w:ascii="Times New Roman" w:hAnsi="Times New Roman" w:eastAsia="仿宋_GB2312" w:cs="Times New Roman"/>
          <w:b w:val="0"/>
          <w:bCs w:val="0"/>
          <w:sz w:val="32"/>
          <w:szCs w:val="32"/>
          <w:lang w:val="en-US" w:eastAsia="zh-CN"/>
        </w:rPr>
        <w:t>82.25%</w:t>
      </w:r>
      <w:r>
        <w:rPr>
          <w:rStyle w:val="14"/>
          <w:rFonts w:hint="default" w:ascii="Times New Roman" w:hAnsi="Times New Roman" w:eastAsia="仿宋_GB2312" w:cs="Times New Roman"/>
          <w:bCs/>
          <w:sz w:val="32"/>
          <w:szCs w:val="32"/>
          <w:lang w:val="en-US" w:eastAsia="zh-CN"/>
        </w:rPr>
        <w:t>。</w:t>
      </w:r>
    </w:p>
    <w:p>
      <w:pPr>
        <w:pStyle w:val="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inline distT="0" distB="0" distL="114300" distR="114300">
            <wp:extent cx="4766310" cy="2668905"/>
            <wp:effectExtent l="4445" t="4445" r="10795"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w:t>
      </w:r>
    </w:p>
    <w:p>
      <w:pPr>
        <w:spacing w:line="600" w:lineRule="exact"/>
        <w:ind w:firstLine="643" w:firstLineChars="200"/>
        <w:outlineLvl w:val="2"/>
        <w:rPr>
          <w:rFonts w:hint="default" w:ascii="Times New Roman" w:hAnsi="Times New Roman" w:eastAsia="仿宋_GB2312" w:cs="Times New Roman"/>
          <w:b/>
          <w:sz w:val="32"/>
          <w:szCs w:val="32"/>
        </w:rPr>
      </w:pPr>
      <w:bookmarkStart w:id="30" w:name="_Toc15377212"/>
      <w:r>
        <w:rPr>
          <w:rFonts w:hint="default" w:ascii="Times New Roman" w:hAnsi="Times New Roman" w:eastAsia="仿宋_GB2312" w:cs="Times New Roman"/>
          <w:b/>
          <w:sz w:val="32"/>
          <w:szCs w:val="32"/>
        </w:rPr>
        <w:t>（三）一般公共预算财政拨款支出决算具体情况</w:t>
      </w:r>
      <w:bookmarkEnd w:id="30"/>
    </w:p>
    <w:p>
      <w:pPr>
        <w:spacing w:line="600" w:lineRule="exact"/>
        <w:ind w:firstLine="643" w:firstLineChars="200"/>
        <w:outlineLvl w:val="2"/>
        <w:rPr>
          <w:rFonts w:hint="default" w:ascii="Times New Roman" w:hAnsi="Times New Roman" w:eastAsia="仿宋_GB2312" w:cs="Times New Roman"/>
          <w:sz w:val="32"/>
          <w:szCs w:val="32"/>
        </w:rPr>
      </w:pPr>
      <w:bookmarkStart w:id="31" w:name="_Toc15377444"/>
      <w:bookmarkStart w:id="32" w:name="_Toc15378460"/>
      <w:bookmarkStart w:id="33" w:name="_Toc15377213"/>
      <w:r>
        <w:rPr>
          <w:rFonts w:hint="default" w:ascii="Times New Roman" w:hAnsi="Times New Roman" w:eastAsia="仿宋_GB2312" w:cs="Times New Roman"/>
          <w:b/>
          <w:sz w:val="32"/>
          <w:szCs w:val="32"/>
        </w:rPr>
        <w:t>2022年一般公共预算支出决算数为</w:t>
      </w:r>
      <w:r>
        <w:rPr>
          <w:rFonts w:hint="default" w:ascii="Times New Roman" w:hAnsi="Times New Roman" w:eastAsia="仿宋_GB2312" w:cs="Times New Roman"/>
          <w:b/>
          <w:sz w:val="32"/>
          <w:szCs w:val="32"/>
          <w:lang w:val="en-US" w:eastAsia="zh-CN"/>
        </w:rPr>
        <w:t>220.80万元</w:t>
      </w:r>
      <w:r>
        <w:rPr>
          <w:rFonts w:hint="default" w:ascii="Times New Roman" w:hAnsi="Times New Roman" w:eastAsia="仿宋_GB2312" w:cs="Times New Roman"/>
          <w:sz w:val="32"/>
          <w:szCs w:val="32"/>
        </w:rPr>
        <w:t>，</w:t>
      </w:r>
      <w:r>
        <w:rPr>
          <w:rStyle w:val="14"/>
          <w:rFonts w:hint="default" w:ascii="Times New Roman" w:hAnsi="Times New Roman" w:eastAsia="仿宋_GB2312" w:cs="Times New Roman"/>
          <w:bCs/>
          <w:sz w:val="32"/>
          <w:szCs w:val="32"/>
        </w:rPr>
        <w:t>完成预算</w:t>
      </w:r>
      <w:r>
        <w:rPr>
          <w:rStyle w:val="14"/>
          <w:rFonts w:hint="default" w:ascii="Times New Roman" w:hAnsi="Times New Roman" w:eastAsia="仿宋_GB2312" w:cs="Times New Roman"/>
          <w:bCs/>
          <w:sz w:val="32"/>
          <w:szCs w:val="32"/>
          <w:lang w:val="en-US" w:eastAsia="zh-CN"/>
        </w:rPr>
        <w:t>100</w:t>
      </w:r>
      <w:r>
        <w:rPr>
          <w:rStyle w:val="14"/>
          <w:rFonts w:hint="default" w:ascii="Times New Roman" w:hAnsi="Times New Roman" w:eastAsia="仿宋_GB2312" w:cs="Times New Roman"/>
          <w:bCs/>
          <w:sz w:val="32"/>
          <w:szCs w:val="32"/>
        </w:rPr>
        <w:t>%。其中：</w:t>
      </w:r>
      <w:bookmarkEnd w:id="31"/>
      <w:bookmarkEnd w:id="32"/>
      <w:bookmarkEnd w:id="33"/>
    </w:p>
    <w:p>
      <w:pPr>
        <w:spacing w:line="600" w:lineRule="exact"/>
        <w:ind w:firstLine="643" w:firstLineChars="200"/>
        <w:rPr>
          <w:rFonts w:hint="default" w:ascii="Times New Roman" w:hAnsi="Times New Roman" w:eastAsia="仿宋_GB2312" w:cs="Times New Roman"/>
          <w:b/>
          <w:sz w:val="32"/>
          <w:szCs w:val="32"/>
          <w:lang w:val="en-US" w:eastAsia="zh-CN"/>
        </w:rPr>
      </w:pPr>
      <w:r>
        <w:rPr>
          <w:rStyle w:val="14"/>
          <w:rFonts w:hint="default" w:ascii="Times New Roman" w:hAnsi="Times New Roman" w:eastAsia="仿宋_GB2312" w:cs="Times New Roman"/>
          <w:bCs/>
          <w:sz w:val="32"/>
          <w:szCs w:val="32"/>
          <w:lang w:val="en-US" w:eastAsia="zh-CN"/>
        </w:rPr>
        <w:t>1</w:t>
      </w:r>
      <w:r>
        <w:rPr>
          <w:rStyle w:val="14"/>
          <w:rFonts w:hint="default" w:ascii="Times New Roman" w:hAnsi="Times New Roman" w:eastAsia="仿宋_GB2312" w:cs="Times New Roman"/>
          <w:bCs/>
          <w:sz w:val="32"/>
          <w:szCs w:val="32"/>
        </w:rPr>
        <w:t>.社会保障和就业（类）行政事业单位养老支出（款）机关事业单位基本养老保险缴费支出（项）:</w:t>
      </w:r>
      <w:r>
        <w:rPr>
          <w:rStyle w:val="14"/>
          <w:rFonts w:hint="default" w:ascii="Times New Roman" w:hAnsi="Times New Roman" w:eastAsia="仿宋_GB2312" w:cs="Times New Roman"/>
          <w:b w:val="0"/>
          <w:bCs/>
          <w:sz w:val="32"/>
          <w:szCs w:val="32"/>
        </w:rPr>
        <w:t xml:space="preserve"> 支出决算为</w:t>
      </w:r>
      <w:r>
        <w:rPr>
          <w:rStyle w:val="14"/>
          <w:rFonts w:hint="default" w:ascii="Times New Roman" w:hAnsi="Times New Roman" w:eastAsia="仿宋_GB2312" w:cs="Times New Roman"/>
          <w:b w:val="0"/>
          <w:bCs/>
          <w:sz w:val="32"/>
          <w:szCs w:val="32"/>
          <w:lang w:val="en-US" w:eastAsia="zh-CN"/>
        </w:rPr>
        <w:t>17.98</w:t>
      </w:r>
      <w:r>
        <w:rPr>
          <w:rStyle w:val="14"/>
          <w:rFonts w:hint="default" w:ascii="Times New Roman" w:hAnsi="Times New Roman" w:eastAsia="仿宋_GB2312" w:cs="Times New Roman"/>
          <w:b w:val="0"/>
          <w:bCs/>
          <w:sz w:val="32"/>
          <w:szCs w:val="32"/>
        </w:rPr>
        <w:t>万元，完成预算</w:t>
      </w:r>
      <w:r>
        <w:rPr>
          <w:rStyle w:val="14"/>
          <w:rFonts w:hint="default" w:ascii="Times New Roman" w:hAnsi="Times New Roman" w:eastAsia="仿宋_GB2312" w:cs="Times New Roman"/>
          <w:b w:val="0"/>
          <w:bCs/>
          <w:sz w:val="32"/>
          <w:szCs w:val="32"/>
          <w:lang w:val="en-US" w:eastAsia="zh-CN"/>
        </w:rPr>
        <w:t>100.00</w:t>
      </w:r>
      <w:r>
        <w:rPr>
          <w:rStyle w:val="14"/>
          <w:rFonts w:hint="default" w:ascii="Times New Roman" w:hAnsi="Times New Roman" w:eastAsia="仿宋_GB2312" w:cs="Times New Roman"/>
          <w:b w:val="0"/>
          <w:bCs/>
          <w:sz w:val="32"/>
          <w:szCs w:val="32"/>
        </w:rPr>
        <w:t>%</w:t>
      </w:r>
      <w:r>
        <w:rPr>
          <w:rStyle w:val="14"/>
          <w:rFonts w:hint="default"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Style w:val="14"/>
          <w:rFonts w:hint="default" w:ascii="Times New Roman" w:hAnsi="Times New Roman" w:eastAsia="仿宋_GB2312" w:cs="Times New Roman"/>
          <w:b w:val="0"/>
          <w:bCs/>
          <w:sz w:val="32"/>
          <w:szCs w:val="32"/>
          <w:lang w:eastAsia="zh-CN"/>
        </w:rPr>
      </w:pPr>
      <w:r>
        <w:rPr>
          <w:rStyle w:val="14"/>
          <w:rFonts w:hint="default" w:ascii="Times New Roman" w:hAnsi="Times New Roman" w:eastAsia="仿宋_GB2312" w:cs="Times New Roman"/>
          <w:bCs/>
          <w:sz w:val="32"/>
          <w:szCs w:val="32"/>
        </w:rPr>
        <w:t>2.节能环保支出（类）环境保护管理事务（款）其他环境保护管理事务支出（项）:</w:t>
      </w:r>
      <w:r>
        <w:rPr>
          <w:rStyle w:val="14"/>
          <w:rFonts w:hint="default" w:ascii="Times New Roman" w:hAnsi="Times New Roman" w:eastAsia="仿宋_GB2312" w:cs="Times New Roman"/>
          <w:b w:val="0"/>
          <w:bCs/>
          <w:sz w:val="32"/>
          <w:szCs w:val="32"/>
        </w:rPr>
        <w:t xml:space="preserve"> 支出决算为</w:t>
      </w:r>
      <w:r>
        <w:rPr>
          <w:rStyle w:val="14"/>
          <w:rFonts w:hint="default" w:ascii="Times New Roman" w:hAnsi="Times New Roman" w:eastAsia="仿宋_GB2312" w:cs="Times New Roman"/>
          <w:b w:val="0"/>
          <w:bCs/>
          <w:sz w:val="32"/>
          <w:szCs w:val="32"/>
          <w:lang w:val="en-US" w:eastAsia="zh-CN"/>
        </w:rPr>
        <w:t>4.02</w:t>
      </w:r>
      <w:r>
        <w:rPr>
          <w:rStyle w:val="14"/>
          <w:rFonts w:hint="default" w:ascii="Times New Roman" w:hAnsi="Times New Roman" w:eastAsia="仿宋_GB2312" w:cs="Times New Roman"/>
          <w:b w:val="0"/>
          <w:bCs/>
          <w:sz w:val="32"/>
          <w:szCs w:val="32"/>
        </w:rPr>
        <w:t>万元，完成预算</w:t>
      </w:r>
      <w:r>
        <w:rPr>
          <w:rStyle w:val="14"/>
          <w:rFonts w:hint="default" w:ascii="Times New Roman" w:hAnsi="Times New Roman" w:eastAsia="仿宋_GB2312" w:cs="Times New Roman"/>
          <w:b w:val="0"/>
          <w:bCs/>
          <w:sz w:val="32"/>
          <w:szCs w:val="32"/>
          <w:lang w:val="en-US" w:eastAsia="zh-CN"/>
        </w:rPr>
        <w:t>100.00</w:t>
      </w:r>
      <w:r>
        <w:rPr>
          <w:rStyle w:val="14"/>
          <w:rFonts w:hint="default" w:ascii="Times New Roman" w:hAnsi="Times New Roman" w:eastAsia="仿宋_GB2312" w:cs="Times New Roman"/>
          <w:b w:val="0"/>
          <w:bCs/>
          <w:sz w:val="32"/>
          <w:szCs w:val="32"/>
        </w:rPr>
        <w:t>%</w:t>
      </w:r>
      <w:r>
        <w:rPr>
          <w:rStyle w:val="14"/>
          <w:rFonts w:hint="default" w:ascii="Times New Roman" w:hAnsi="Times New Roman" w:eastAsia="仿宋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lang w:val="en-US" w:eastAsia="zh-CN"/>
        </w:rPr>
      </w:pPr>
      <w:r>
        <w:rPr>
          <w:rStyle w:val="14"/>
          <w:rFonts w:hint="default" w:ascii="Times New Roman" w:hAnsi="Times New Roman" w:eastAsia="仿宋_GB2312" w:cs="Times New Roman"/>
          <w:bCs/>
          <w:sz w:val="32"/>
          <w:szCs w:val="32"/>
          <w:lang w:val="en-US" w:eastAsia="zh-CN"/>
        </w:rPr>
        <w:t>3</w:t>
      </w:r>
      <w:r>
        <w:rPr>
          <w:rStyle w:val="14"/>
          <w:rFonts w:hint="default" w:ascii="Times New Roman" w:hAnsi="Times New Roman" w:eastAsia="仿宋_GB2312" w:cs="Times New Roman"/>
          <w:bCs/>
          <w:sz w:val="32"/>
          <w:szCs w:val="32"/>
        </w:rPr>
        <w:t>.节能环保支出（类）环境监测与监察（款）其他环境监测与监察支出（项）:</w:t>
      </w:r>
      <w:r>
        <w:rPr>
          <w:rStyle w:val="14"/>
          <w:rFonts w:hint="default" w:ascii="Times New Roman" w:hAnsi="Times New Roman" w:eastAsia="仿宋_GB2312" w:cs="Times New Roman"/>
          <w:b w:val="0"/>
          <w:bCs/>
          <w:sz w:val="32"/>
          <w:szCs w:val="32"/>
        </w:rPr>
        <w:t xml:space="preserve"> 支出决算为</w:t>
      </w:r>
      <w:r>
        <w:rPr>
          <w:rStyle w:val="14"/>
          <w:rFonts w:hint="default" w:ascii="Times New Roman" w:hAnsi="Times New Roman" w:eastAsia="仿宋_GB2312" w:cs="Times New Roman"/>
          <w:b w:val="0"/>
          <w:bCs/>
          <w:sz w:val="32"/>
          <w:szCs w:val="32"/>
          <w:lang w:val="en-US" w:eastAsia="zh-CN"/>
        </w:rPr>
        <w:t>177.58</w:t>
      </w:r>
      <w:r>
        <w:rPr>
          <w:rStyle w:val="14"/>
          <w:rFonts w:hint="default" w:ascii="Times New Roman" w:hAnsi="Times New Roman" w:eastAsia="仿宋_GB2312" w:cs="Times New Roman"/>
          <w:b w:val="0"/>
          <w:bCs/>
          <w:sz w:val="32"/>
          <w:szCs w:val="32"/>
        </w:rPr>
        <w:t>万元，完成预算</w:t>
      </w:r>
      <w:r>
        <w:rPr>
          <w:rStyle w:val="14"/>
          <w:rFonts w:hint="default" w:ascii="Times New Roman" w:hAnsi="Times New Roman" w:eastAsia="仿宋_GB2312" w:cs="Times New Roman"/>
          <w:b w:val="0"/>
          <w:bCs/>
          <w:sz w:val="32"/>
          <w:szCs w:val="32"/>
          <w:lang w:val="en-US" w:eastAsia="zh-CN"/>
        </w:rPr>
        <w:t>100.00</w:t>
      </w:r>
      <w:r>
        <w:rPr>
          <w:rStyle w:val="14"/>
          <w:rFonts w:hint="default" w:ascii="Times New Roman" w:hAnsi="Times New Roman" w:eastAsia="仿宋_GB2312" w:cs="Times New Roman"/>
          <w:b w:val="0"/>
          <w:bCs/>
          <w:sz w:val="32"/>
          <w:szCs w:val="32"/>
        </w:rPr>
        <w:t>%</w:t>
      </w:r>
      <w:r>
        <w:rPr>
          <w:rStyle w:val="14"/>
          <w:rFonts w:hint="default" w:ascii="Times New Roman" w:hAnsi="Times New Roman" w:eastAsia="仿宋_GB2312" w:cs="Times New Roman"/>
          <w:b w:val="0"/>
          <w:bCs/>
          <w:sz w:val="32"/>
          <w:szCs w:val="32"/>
          <w:lang w:eastAsia="zh-CN"/>
        </w:rPr>
        <w:t>。</w:t>
      </w:r>
    </w:p>
    <w:p>
      <w:pPr>
        <w:spacing w:line="600" w:lineRule="exact"/>
        <w:ind w:firstLine="643" w:firstLineChars="200"/>
        <w:rPr>
          <w:rFonts w:hint="default" w:ascii="Times New Roman" w:hAnsi="Times New Roman" w:eastAsia="仿宋_GB2312" w:cs="Times New Roman"/>
          <w:b/>
          <w:sz w:val="32"/>
          <w:szCs w:val="32"/>
        </w:rPr>
      </w:pPr>
      <w:r>
        <w:rPr>
          <w:rStyle w:val="14"/>
          <w:rFonts w:hint="default" w:ascii="Times New Roman" w:hAnsi="Times New Roman" w:eastAsia="仿宋_GB2312" w:cs="Times New Roman"/>
          <w:bCs/>
          <w:sz w:val="32"/>
          <w:szCs w:val="32"/>
          <w:lang w:val="en-US" w:eastAsia="zh-CN"/>
        </w:rPr>
        <w:t>4</w:t>
      </w:r>
      <w:r>
        <w:rPr>
          <w:rStyle w:val="14"/>
          <w:rFonts w:hint="default" w:ascii="Times New Roman" w:hAnsi="Times New Roman" w:eastAsia="仿宋_GB2312" w:cs="Times New Roman"/>
          <w:bCs/>
          <w:sz w:val="32"/>
          <w:szCs w:val="32"/>
        </w:rPr>
        <w:t>.住房保障支出（类）住房改革支出（款）住房公积金（项）:</w:t>
      </w:r>
      <w:r>
        <w:rPr>
          <w:rStyle w:val="14"/>
          <w:rFonts w:hint="default" w:ascii="Times New Roman" w:hAnsi="Times New Roman" w:eastAsia="仿宋_GB2312" w:cs="Times New Roman"/>
          <w:b w:val="0"/>
          <w:bCs/>
          <w:sz w:val="32"/>
          <w:szCs w:val="32"/>
        </w:rPr>
        <w:t xml:space="preserve"> 支出决算为</w:t>
      </w:r>
      <w:r>
        <w:rPr>
          <w:rStyle w:val="14"/>
          <w:rFonts w:hint="default" w:ascii="Times New Roman" w:hAnsi="Times New Roman" w:eastAsia="仿宋_GB2312" w:cs="Times New Roman"/>
          <w:b w:val="0"/>
          <w:bCs/>
          <w:sz w:val="32"/>
          <w:szCs w:val="32"/>
          <w:lang w:val="en-US" w:eastAsia="zh-CN"/>
        </w:rPr>
        <w:t>21.22</w:t>
      </w:r>
      <w:r>
        <w:rPr>
          <w:rStyle w:val="14"/>
          <w:rFonts w:hint="default" w:ascii="Times New Roman" w:hAnsi="Times New Roman" w:eastAsia="仿宋_GB2312" w:cs="Times New Roman"/>
          <w:b w:val="0"/>
          <w:bCs/>
          <w:sz w:val="32"/>
          <w:szCs w:val="32"/>
        </w:rPr>
        <w:t>万元，完成预算</w:t>
      </w:r>
      <w:r>
        <w:rPr>
          <w:rStyle w:val="14"/>
          <w:rFonts w:hint="default" w:ascii="Times New Roman" w:hAnsi="Times New Roman" w:eastAsia="仿宋_GB2312" w:cs="Times New Roman"/>
          <w:b w:val="0"/>
          <w:bCs/>
          <w:sz w:val="32"/>
          <w:szCs w:val="32"/>
          <w:lang w:val="en-US" w:eastAsia="zh-CN"/>
        </w:rPr>
        <w:t>100.00</w:t>
      </w:r>
      <w:r>
        <w:rPr>
          <w:rStyle w:val="14"/>
          <w:rFonts w:hint="default" w:ascii="Times New Roman" w:hAnsi="Times New Roman" w:eastAsia="仿宋_GB2312" w:cs="Times New Roman"/>
          <w:b w:val="0"/>
          <w:bCs/>
          <w:sz w:val="32"/>
          <w:szCs w:val="32"/>
        </w:rPr>
        <w:t>%</w:t>
      </w:r>
      <w:r>
        <w:rPr>
          <w:rStyle w:val="14"/>
          <w:rFonts w:hint="default" w:ascii="Times New Roman" w:hAnsi="Times New Roman" w:eastAsia="仿宋_GB2312" w:cs="Times New Roman"/>
          <w:b w:val="0"/>
          <w:bCs/>
          <w:sz w:val="32"/>
          <w:szCs w:val="32"/>
          <w:lang w:eastAsia="zh-CN"/>
        </w:rPr>
        <w:t>。</w:t>
      </w:r>
    </w:p>
    <w:p>
      <w:pPr>
        <w:tabs>
          <w:tab w:val="right" w:pos="8306"/>
        </w:tabs>
        <w:spacing w:line="600" w:lineRule="exact"/>
        <w:ind w:firstLine="640"/>
        <w:outlineLvl w:val="1"/>
        <w:rPr>
          <w:rStyle w:val="25"/>
          <w:rFonts w:hint="default" w:ascii="Times New Roman" w:hAnsi="Times New Roman" w:cs="Times New Roman"/>
        </w:rPr>
      </w:pPr>
      <w:bookmarkStart w:id="34" w:name="_Toc15396608"/>
      <w:bookmarkStart w:id="3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般公共预算财政拨款基本支出决算情况说明</w:t>
      </w:r>
      <w:bookmarkEnd w:id="34"/>
      <w:bookmarkEnd w:id="35"/>
      <w:r>
        <w:rPr>
          <w:rStyle w:val="25"/>
          <w:rFonts w:hint="default" w:ascii="Times New Roman" w:hAnsi="Times New Roman" w:eastAsia="黑体" w:cs="Times New Roman"/>
          <w:b w:val="0"/>
        </w:rPr>
        <w:tab/>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220.80</w:t>
      </w:r>
      <w:r>
        <w:rPr>
          <w:rFonts w:hint="default" w:ascii="Times New Roman" w:hAnsi="Times New Roman" w:eastAsia="仿宋_GB2312" w:cs="Times New Roman"/>
          <w:sz w:val="32"/>
          <w:szCs w:val="32"/>
        </w:rPr>
        <w:t>万元，其中：</w:t>
      </w:r>
    </w:p>
    <w:p>
      <w:pPr>
        <w:spacing w:line="600" w:lineRule="exact"/>
        <w:ind w:firstLine="645"/>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200.45</w:t>
      </w:r>
      <w:r>
        <w:rPr>
          <w:rFonts w:hint="default" w:ascii="Times New Roman" w:hAnsi="Times New Roman" w:eastAsia="仿宋_GB2312" w:cs="Times New Roman"/>
          <w:sz w:val="32"/>
          <w:szCs w:val="32"/>
        </w:rPr>
        <w:t>万元，主要包括：基本工资、津贴补贴、绩效工资、机关事业单位基本养老保险缴费、职工基本医疗保险缴费</w:t>
      </w:r>
      <w:r>
        <w:rPr>
          <w:rFonts w:hint="default" w:ascii="Times New Roman" w:hAnsi="Times New Roman" w:eastAsia="仿宋_GB2312" w:cs="Times New Roman"/>
          <w:sz w:val="32"/>
          <w:szCs w:val="32"/>
          <w:lang w:eastAsia="zh-CN"/>
        </w:rPr>
        <w:t>、公务员医疗补助缴费、</w:t>
      </w:r>
      <w:r>
        <w:rPr>
          <w:rFonts w:hint="default" w:ascii="Times New Roman" w:hAnsi="Times New Roman" w:eastAsia="仿宋_GB2312" w:cs="Times New Roman"/>
          <w:sz w:val="32"/>
          <w:szCs w:val="32"/>
        </w:rPr>
        <w:t>其他社会保障缴费、住房公积金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其他工资福利支出</w:t>
      </w:r>
      <w:r>
        <w:rPr>
          <w:rFonts w:hint="default" w:ascii="Times New Roman" w:hAnsi="Times New Roman" w:eastAsia="仿宋_GB2312" w:cs="Times New Roman"/>
          <w:sz w:val="32"/>
          <w:szCs w:val="32"/>
          <w:lang w:eastAsia="zh-CN"/>
        </w:rPr>
        <w:t>。</w:t>
      </w:r>
    </w:p>
    <w:p>
      <w:pPr>
        <w:spacing w:line="600" w:lineRule="exact"/>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公用经费</w:t>
      </w:r>
      <w:r>
        <w:rPr>
          <w:rFonts w:hint="default" w:ascii="Times New Roman" w:hAnsi="Times New Roman" w:eastAsia="仿宋_GB2312" w:cs="Times New Roman"/>
          <w:sz w:val="32"/>
          <w:szCs w:val="32"/>
          <w:lang w:val="en-US" w:eastAsia="zh-CN"/>
        </w:rPr>
        <w:t>20.35</w:t>
      </w:r>
      <w:r>
        <w:rPr>
          <w:rFonts w:hint="default" w:ascii="Times New Roman" w:hAnsi="Times New Roman" w:eastAsia="仿宋_GB2312" w:cs="Times New Roman"/>
          <w:sz w:val="32"/>
          <w:szCs w:val="32"/>
        </w:rPr>
        <w:t>万元，主要包括：办公费、水费、电费、邮电费、差旅费、公务接待费、工会经费、福利费、公务用车运行维护费、其他商品和服务支出。</w:t>
      </w:r>
    </w:p>
    <w:p>
      <w:pPr>
        <w:spacing w:line="600" w:lineRule="exact"/>
        <w:ind w:firstLine="640"/>
        <w:outlineLvl w:val="1"/>
        <w:rPr>
          <w:rStyle w:val="25"/>
          <w:rFonts w:hint="default" w:ascii="Times New Roman" w:hAnsi="Times New Roman" w:eastAsia="黑体" w:cs="Times New Roman"/>
          <w:b w:val="0"/>
        </w:rPr>
      </w:pPr>
      <w:bookmarkStart w:id="36" w:name="_Toc15377215"/>
      <w:bookmarkStart w:id="37" w:name="_Toc15396609"/>
      <w:r>
        <w:rPr>
          <w:rFonts w:hint="default" w:ascii="Times New Roman" w:hAnsi="Times New Roman" w:eastAsia="黑体" w:cs="Times New Roman"/>
          <w:sz w:val="32"/>
          <w:szCs w:val="32"/>
        </w:rPr>
        <w:t>七、</w:t>
      </w:r>
      <w:r>
        <w:rPr>
          <w:rStyle w:val="25"/>
          <w:rFonts w:hint="default" w:ascii="Times New Roman" w:hAnsi="Times New Roman" w:eastAsia="黑体" w:cs="Times New Roman"/>
          <w:b w:val="0"/>
        </w:rPr>
        <w:t>财政拨款</w:t>
      </w:r>
      <w:r>
        <w:rPr>
          <w:rStyle w:val="25"/>
          <w:rFonts w:hint="default" w:ascii="Times New Roman" w:hAnsi="Times New Roman" w:eastAsia="黑体" w:cs="Times New Roman"/>
        </w:rPr>
        <w:t>“</w:t>
      </w:r>
      <w:r>
        <w:rPr>
          <w:rStyle w:val="25"/>
          <w:rFonts w:hint="default" w:ascii="Times New Roman" w:hAnsi="Times New Roman" w:eastAsia="黑体" w:cs="Times New Roman"/>
          <w:b w:val="0"/>
        </w:rPr>
        <w:t>三公”经费支出决算情况说明</w:t>
      </w:r>
      <w:bookmarkEnd w:id="36"/>
      <w:bookmarkEnd w:id="37"/>
    </w:p>
    <w:p>
      <w:pPr>
        <w:spacing w:line="600" w:lineRule="exact"/>
        <w:ind w:firstLine="640"/>
        <w:outlineLvl w:val="2"/>
        <w:rPr>
          <w:rFonts w:hint="default" w:ascii="Times New Roman" w:hAnsi="Times New Roman" w:eastAsia="仿宋_GB2312" w:cs="Times New Roman"/>
          <w:b/>
          <w:sz w:val="32"/>
          <w:szCs w:val="32"/>
        </w:rPr>
      </w:pPr>
      <w:bookmarkStart w:id="38" w:name="_Toc15377216"/>
      <w:r>
        <w:rPr>
          <w:rFonts w:hint="default" w:ascii="Times New Roman" w:hAnsi="Times New Roman" w:eastAsia="仿宋_GB2312" w:cs="Times New Roman"/>
          <w:b/>
          <w:sz w:val="32"/>
          <w:szCs w:val="32"/>
        </w:rPr>
        <w:t>（一）“三公”经费财政拨款支出决算总体情况说明</w:t>
      </w:r>
      <w:bookmarkEnd w:id="38"/>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2022年“三公”经费财政拨款支出决算为</w:t>
      </w:r>
      <w:r>
        <w:rPr>
          <w:rFonts w:hint="default" w:ascii="Times New Roman" w:hAnsi="Times New Roman" w:eastAsia="仿宋_GB2312" w:cs="Times New Roman"/>
          <w:sz w:val="32"/>
          <w:szCs w:val="32"/>
          <w:lang w:val="en-US" w:eastAsia="zh-CN"/>
        </w:rPr>
        <w:t>2.74</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100.00</w:t>
      </w:r>
      <w:r>
        <w:rPr>
          <w:rFonts w:hint="default" w:ascii="Times New Roman" w:hAnsi="Times New Roman" w:eastAsia="仿宋_GB2312" w:cs="Times New Roman"/>
          <w:sz w:val="32"/>
          <w:szCs w:val="32"/>
        </w:rPr>
        <w:t>%，较上年增加</w:t>
      </w:r>
      <w:r>
        <w:rPr>
          <w:rFonts w:hint="default" w:ascii="Times New Roman" w:hAnsi="Times New Roman" w:eastAsia="仿宋_GB2312" w:cs="Times New Roman"/>
          <w:sz w:val="32"/>
          <w:szCs w:val="32"/>
          <w:lang w:val="en-US" w:eastAsia="zh-CN"/>
        </w:rPr>
        <w:t>2.74</w:t>
      </w:r>
      <w:r>
        <w:rPr>
          <w:rFonts w:hint="default" w:ascii="Times New Roman" w:hAnsi="Times New Roman" w:eastAsia="仿宋_GB2312" w:cs="Times New Roman"/>
          <w:sz w:val="32"/>
          <w:szCs w:val="32"/>
        </w:rPr>
        <w:t>万元。</w:t>
      </w:r>
    </w:p>
    <w:p>
      <w:pPr>
        <w:spacing w:line="600" w:lineRule="exact"/>
        <w:ind w:firstLine="640"/>
        <w:outlineLvl w:val="2"/>
        <w:rPr>
          <w:rFonts w:hint="default" w:ascii="Times New Roman" w:hAnsi="Times New Roman" w:eastAsia="仿宋_GB2312" w:cs="Times New Roman"/>
          <w:b/>
          <w:sz w:val="32"/>
          <w:szCs w:val="32"/>
        </w:rPr>
      </w:pPr>
      <w:bookmarkStart w:id="39" w:name="_Toc15377217"/>
      <w:r>
        <w:rPr>
          <w:rFonts w:hint="default" w:ascii="Times New Roman" w:hAnsi="Times New Roman" w:eastAsia="仿宋_GB2312" w:cs="Times New Roman"/>
          <w:b/>
          <w:sz w:val="32"/>
          <w:szCs w:val="32"/>
        </w:rPr>
        <w:t>（二）“三公”经费财政拨款支出决算具体情况说明</w:t>
      </w:r>
      <w:bookmarkEnd w:id="39"/>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2.64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96.35</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3.65</w:t>
      </w:r>
      <w:r>
        <w:rPr>
          <w:rFonts w:hint="default" w:ascii="Times New Roman" w:hAnsi="Times New Roman" w:eastAsia="仿宋_GB2312" w:cs="Times New Roman"/>
          <w:sz w:val="32"/>
          <w:szCs w:val="32"/>
        </w:rPr>
        <w:t>%。具体情况如下：</w:t>
      </w:r>
    </w:p>
    <w:p>
      <w:pPr>
        <w:pStyle w:val="2"/>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drawing>
          <wp:inline distT="0" distB="0" distL="114300" distR="114300">
            <wp:extent cx="4765675" cy="2781300"/>
            <wp:effectExtent l="4445" t="4445" r="11430"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4"/>
          <w:rFonts w:hint="default" w:ascii="Times New Roman" w:hAnsi="Times New Roman" w:eastAsia="仿宋_GB2312" w:cs="Times New Roman"/>
          <w:b w:val="0"/>
          <w:bCs/>
          <w:sz w:val="32"/>
          <w:szCs w:val="32"/>
        </w:rPr>
        <w:t>完成预算</w:t>
      </w:r>
      <w:r>
        <w:rPr>
          <w:rStyle w:val="14"/>
          <w:rFonts w:hint="default" w:ascii="Times New Roman" w:hAnsi="Times New Roman" w:eastAsia="仿宋_GB2312" w:cs="Times New Roman"/>
          <w:b w:val="0"/>
          <w:bCs/>
          <w:sz w:val="32"/>
          <w:szCs w:val="32"/>
          <w:lang w:val="en-US" w:eastAsia="zh-CN"/>
        </w:rPr>
        <w:t>0</w:t>
      </w:r>
      <w:r>
        <w:rPr>
          <w:rStyle w:val="14"/>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2.64</w:t>
      </w:r>
      <w:r>
        <w:rPr>
          <w:rFonts w:hint="default" w:ascii="Times New Roman" w:hAnsi="Times New Roman" w:eastAsia="仿宋_GB2312" w:cs="Times New Roman"/>
          <w:sz w:val="32"/>
          <w:szCs w:val="32"/>
        </w:rPr>
        <w:t>万元,</w:t>
      </w:r>
      <w:r>
        <w:rPr>
          <w:rStyle w:val="14"/>
          <w:rFonts w:hint="default" w:ascii="Times New Roman" w:hAnsi="Times New Roman" w:eastAsia="仿宋_GB2312" w:cs="Times New Roman"/>
          <w:b w:val="0"/>
          <w:bCs/>
          <w:sz w:val="32"/>
          <w:szCs w:val="32"/>
        </w:rPr>
        <w:t>完成预算</w:t>
      </w:r>
      <w:r>
        <w:rPr>
          <w:rStyle w:val="14"/>
          <w:rFonts w:hint="default" w:ascii="Times New Roman" w:hAnsi="Times New Roman" w:eastAsia="仿宋_GB2312" w:cs="Times New Roman"/>
          <w:b w:val="0"/>
          <w:bCs/>
          <w:sz w:val="32"/>
          <w:szCs w:val="32"/>
          <w:lang w:val="en-US" w:eastAsia="zh-CN"/>
        </w:rPr>
        <w:t>100.00</w:t>
      </w:r>
      <w:r>
        <w:rPr>
          <w:rStyle w:val="14"/>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公务用车购置及运行维护费支出决算比2021年增加</w:t>
      </w:r>
      <w:r>
        <w:rPr>
          <w:rFonts w:hint="default" w:ascii="Times New Roman" w:hAnsi="Times New Roman" w:eastAsia="仿宋_GB2312" w:cs="Times New Roman"/>
          <w:sz w:val="32"/>
          <w:szCs w:val="32"/>
          <w:lang w:val="en-US" w:eastAsia="zh-CN"/>
        </w:rPr>
        <w:t>2.64</w:t>
      </w:r>
      <w:r>
        <w:rPr>
          <w:rFonts w:hint="default" w:ascii="Times New Roman" w:hAnsi="Times New Roman" w:eastAsia="仿宋_GB2312" w:cs="Times New Roman"/>
          <w:sz w:val="32"/>
          <w:szCs w:val="32"/>
        </w:rPr>
        <w:t>万元。主要原因是</w:t>
      </w:r>
      <w:r>
        <w:rPr>
          <w:rFonts w:hint="default" w:ascii="Times New Roman" w:hAnsi="Times New Roman" w:eastAsia="仿宋_GB2312" w:cs="Times New Roman"/>
          <w:sz w:val="32"/>
          <w:szCs w:val="32"/>
          <w:lang w:val="en-US" w:eastAsia="zh-CN"/>
        </w:rPr>
        <w:t>2021年没有公务用车购置运行维护费支出</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2.64</w:t>
      </w:r>
      <w:r>
        <w:rPr>
          <w:rFonts w:hint="default" w:ascii="Times New Roman" w:hAnsi="Times New Roman" w:eastAsia="仿宋_GB2312" w:cs="Times New Roman"/>
          <w:sz w:val="32"/>
          <w:szCs w:val="32"/>
        </w:rPr>
        <w:t>万元。主要用于</w:t>
      </w:r>
      <w:r>
        <w:rPr>
          <w:rFonts w:hint="default" w:ascii="Times New Roman" w:hAnsi="Times New Roman" w:eastAsia="仿宋_GB2312" w:cs="Times New Roman"/>
          <w:sz w:val="32"/>
          <w:szCs w:val="32"/>
          <w:lang w:eastAsia="zh-CN"/>
        </w:rPr>
        <w:t>开展环境监测采样、环保督察等工作</w:t>
      </w:r>
      <w:r>
        <w:rPr>
          <w:rFonts w:hint="default" w:ascii="Times New Roman" w:hAnsi="Times New Roman" w:eastAsia="仿宋_GB2312" w:cs="Times New Roman"/>
          <w:sz w:val="32"/>
          <w:szCs w:val="32"/>
        </w:rPr>
        <w:t>所需的公务用车燃料费、维修费、过路过桥费、保险费等支出。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万元，</w:t>
      </w:r>
      <w:r>
        <w:rPr>
          <w:rStyle w:val="14"/>
          <w:rFonts w:hint="default" w:ascii="Times New Roman" w:hAnsi="Times New Roman" w:eastAsia="仿宋_GB2312" w:cs="Times New Roman"/>
          <w:b w:val="0"/>
          <w:bCs/>
          <w:sz w:val="32"/>
          <w:szCs w:val="32"/>
        </w:rPr>
        <w:t>完成预算</w:t>
      </w:r>
      <w:r>
        <w:rPr>
          <w:rStyle w:val="14"/>
          <w:rFonts w:hint="default" w:ascii="Times New Roman" w:hAnsi="Times New Roman" w:eastAsia="仿宋_GB2312" w:cs="Times New Roman"/>
          <w:b w:val="0"/>
          <w:bCs/>
          <w:sz w:val="32"/>
          <w:szCs w:val="32"/>
          <w:lang w:val="en-US" w:eastAsia="zh-CN"/>
        </w:rPr>
        <w:t>100.00</w:t>
      </w:r>
      <w:r>
        <w:rPr>
          <w:rStyle w:val="14"/>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公务接待费支出决算比2021年增加</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万元。主要原因是</w:t>
      </w:r>
      <w:r>
        <w:rPr>
          <w:rFonts w:hint="default" w:ascii="Times New Roman" w:hAnsi="Times New Roman" w:eastAsia="仿宋_GB2312" w:cs="Times New Roman"/>
          <w:sz w:val="32"/>
          <w:szCs w:val="32"/>
          <w:lang w:val="en-US" w:eastAsia="zh-CN"/>
        </w:rPr>
        <w:t>2021年没有公务接待支出</w:t>
      </w:r>
      <w:r>
        <w:rPr>
          <w:rFonts w:hint="default" w:ascii="Times New Roman" w:hAnsi="Times New Roman" w:eastAsia="仿宋_GB2312" w:cs="Times New Roman"/>
          <w:sz w:val="32"/>
          <w:szCs w:val="32"/>
        </w:rPr>
        <w:t>。其中：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万元，主要用于</w:t>
      </w:r>
      <w:r>
        <w:rPr>
          <w:rFonts w:hint="default" w:ascii="Times New Roman" w:hAnsi="Times New Roman" w:eastAsia="仿宋_GB2312" w:cs="Times New Roman"/>
          <w:sz w:val="32"/>
          <w:szCs w:val="32"/>
          <w:lang w:eastAsia="zh-CN"/>
        </w:rPr>
        <w:t>迎接上级开展相关环境工作</w:t>
      </w:r>
      <w:r>
        <w:rPr>
          <w:rFonts w:hint="default" w:ascii="Times New Roman" w:hAnsi="Times New Roman" w:eastAsia="仿宋_GB2312" w:cs="Times New Roman"/>
          <w:sz w:val="32"/>
          <w:szCs w:val="32"/>
        </w:rPr>
        <w:t>业务活动开支的交通费、住宿费、用餐费等。国内公务接待</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0.1</w:t>
      </w:r>
      <w:r>
        <w:rPr>
          <w:rFonts w:hint="default" w:ascii="Times New Roman" w:hAnsi="Times New Roman" w:eastAsia="仿宋_GB2312" w:cs="Times New Roman"/>
          <w:sz w:val="32"/>
          <w:szCs w:val="32"/>
        </w:rPr>
        <w:t>万元，具体内容包括：</w:t>
      </w:r>
      <w:r>
        <w:rPr>
          <w:rFonts w:hint="default" w:ascii="Times New Roman" w:hAnsi="Times New Roman" w:eastAsia="仿宋_GB2312" w:cs="Times New Roman"/>
          <w:sz w:val="32"/>
          <w:szCs w:val="32"/>
          <w:lang w:eastAsia="zh-CN"/>
        </w:rPr>
        <w:t>开展</w:t>
      </w:r>
      <w:r>
        <w:rPr>
          <w:rFonts w:hint="default" w:ascii="Times New Roman" w:hAnsi="Times New Roman" w:eastAsia="仿宋_GB2312" w:cs="Times New Roman"/>
          <w:sz w:val="32"/>
          <w:szCs w:val="32"/>
          <w:lang w:val="en-US" w:eastAsia="zh-CN"/>
        </w:rPr>
        <w:t>2022年度危险废物规范化环境管理评估工作</w:t>
      </w:r>
      <w:r>
        <w:rPr>
          <w:rFonts w:hint="default" w:ascii="Times New Roman" w:hAnsi="Times New Roman" w:eastAsia="仿宋_GB2312" w:cs="Times New Roman"/>
          <w:sz w:val="32"/>
          <w:szCs w:val="32"/>
        </w:rPr>
        <w:t>。</w:t>
      </w:r>
    </w:p>
    <w:p>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bookmarkStart w:id="40" w:name="_Toc15396610"/>
      <w:bookmarkStart w:id="41" w:name="_Toc15377218"/>
    </w:p>
    <w:p>
      <w:pPr>
        <w:spacing w:line="600" w:lineRule="exact"/>
        <w:ind w:firstLine="640"/>
        <w:outlineLvl w:val="1"/>
        <w:rPr>
          <w:rStyle w:val="25"/>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5"/>
          <w:rFonts w:hint="default" w:ascii="Times New Roman" w:hAnsi="Times New Roman" w:eastAsia="黑体" w:cs="Times New Roman"/>
          <w:b w:val="0"/>
        </w:rPr>
        <w:t>政府性基金预算支出决算情况说明</w:t>
      </w:r>
      <w:bookmarkEnd w:id="40"/>
      <w:bookmarkEnd w:id="41"/>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5"/>
          <w:rFonts w:hint="default" w:ascii="Times New Roman" w:hAnsi="Times New Roman" w:eastAsia="黑体" w:cs="Times New Roman"/>
          <w:b w:val="0"/>
        </w:rPr>
      </w:pPr>
      <w:bookmarkStart w:id="42" w:name="_Toc15396611"/>
      <w:bookmarkStart w:id="43" w:name="_Toc15377219"/>
      <w:r>
        <w:rPr>
          <w:rStyle w:val="25"/>
          <w:rFonts w:hint="default" w:ascii="Times New Roman" w:hAnsi="Times New Roman" w:eastAsia="黑体" w:cs="Times New Roman"/>
          <w:b w:val="0"/>
        </w:rPr>
        <w:t>国有资本经营预算支出决算情况说明</w:t>
      </w:r>
      <w:bookmarkEnd w:id="42"/>
      <w:bookmarkEnd w:id="43"/>
    </w:p>
    <w:p>
      <w:pPr>
        <w:spacing w:line="60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2022年国有资本经营预算财政拨款支出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5"/>
          <w:rFonts w:hint="default" w:ascii="Times New Roman" w:hAnsi="Times New Roman" w:eastAsia="黑体" w:cs="Times New Roman"/>
          <w:b w:val="0"/>
        </w:rPr>
      </w:pPr>
      <w:bookmarkStart w:id="44" w:name="_Toc15396612"/>
      <w:bookmarkStart w:id="45" w:name="_Toc15377221"/>
      <w:r>
        <w:rPr>
          <w:rStyle w:val="25"/>
          <w:rFonts w:hint="default" w:ascii="Times New Roman" w:hAnsi="Times New Roman" w:eastAsia="黑体" w:cs="Times New Roman"/>
          <w:b w:val="0"/>
        </w:rPr>
        <w:t>其他重要事项的情况说明</w:t>
      </w:r>
      <w:bookmarkEnd w:id="44"/>
      <w:bookmarkEnd w:id="45"/>
    </w:p>
    <w:p>
      <w:pPr>
        <w:spacing w:line="600" w:lineRule="exact"/>
        <w:ind w:firstLine="643" w:firstLineChars="200"/>
        <w:outlineLvl w:val="2"/>
        <w:rPr>
          <w:rFonts w:hint="default" w:ascii="Times New Roman" w:hAnsi="Times New Roman" w:eastAsia="仿宋" w:cs="Times New Roman"/>
          <w:sz w:val="32"/>
          <w:szCs w:val="32"/>
        </w:rPr>
      </w:pPr>
      <w:bookmarkStart w:id="46" w:name="_Toc15377222"/>
      <w:r>
        <w:rPr>
          <w:rFonts w:hint="default" w:ascii="Times New Roman" w:hAnsi="Times New Roman" w:eastAsia="仿宋" w:cs="Times New Roman"/>
          <w:b/>
          <w:sz w:val="32"/>
          <w:szCs w:val="32"/>
        </w:rPr>
        <w:t>（一）机关运行经费支出情况</w:t>
      </w:r>
      <w:bookmarkEnd w:id="46"/>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攀枝花市盐边生态环境监测站</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sz w:val="32"/>
          <w:szCs w:val="32"/>
          <w:lang w:val="en-US" w:eastAsia="zh-CN"/>
        </w:rPr>
        <w:t>20.35</w:t>
      </w:r>
      <w:r>
        <w:rPr>
          <w:rFonts w:hint="default" w:ascii="Times New Roman" w:hAnsi="Times New Roman" w:eastAsia="仿宋_GB2312" w:cs="Times New Roman"/>
          <w:sz w:val="32"/>
          <w:szCs w:val="32"/>
        </w:rPr>
        <w:t>万元，比2021年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17.21万元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3.14</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18.25</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主要原因是</w:t>
      </w:r>
      <w:r>
        <w:rPr>
          <w:rFonts w:hint="default" w:ascii="Times New Roman" w:hAnsi="Times New Roman" w:eastAsia="仿宋_GB2312" w:cs="Times New Roman"/>
          <w:color w:val="auto"/>
          <w:sz w:val="32"/>
          <w:szCs w:val="32"/>
          <w:lang w:eastAsia="zh-CN"/>
        </w:rPr>
        <w:t>人员增多。</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7" w:name="_Toc15377223"/>
      <w:r>
        <w:rPr>
          <w:rFonts w:hint="default" w:ascii="Times New Roman" w:hAnsi="Times New Roman" w:eastAsia="仿宋" w:cs="Times New Roman"/>
          <w:b/>
          <w:sz w:val="32"/>
          <w:szCs w:val="32"/>
        </w:rPr>
        <w:t>（二）政府采购支出情况</w:t>
      </w:r>
      <w:bookmarkEnd w:id="47"/>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攀枝花市盐边生态环境监测站</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8" w:name="_Toc15377224"/>
      <w:r>
        <w:rPr>
          <w:rFonts w:hint="default" w:ascii="Times New Roman" w:hAnsi="Times New Roman" w:eastAsia="仿宋" w:cs="Times New Roman"/>
          <w:b/>
          <w:sz w:val="32"/>
          <w:szCs w:val="32"/>
        </w:rPr>
        <w:t>（三）国有资产占有使用情况</w:t>
      </w:r>
      <w:bookmarkEnd w:id="48"/>
    </w:p>
    <w:p>
      <w:pPr>
        <w:autoSpaceDE w:val="0"/>
        <w:autoSpaceDN w:val="0"/>
        <w:adjustRightInd w:val="0"/>
        <w:spacing w:line="600" w:lineRule="exact"/>
        <w:ind w:firstLine="640" w:firstLineChars="200"/>
        <w:jc w:val="left"/>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截至2022年12月31日，</w:t>
      </w:r>
      <w:r>
        <w:rPr>
          <w:rFonts w:hint="default" w:ascii="Times New Roman" w:hAnsi="Times New Roman" w:eastAsia="仿宋_GB2312" w:cs="Times New Roman"/>
          <w:sz w:val="32"/>
          <w:szCs w:val="32"/>
          <w:lang w:eastAsia="zh-CN"/>
        </w:rPr>
        <w:t>攀枝花市盐边生态环境监测站</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辆，其他用车主要是用于</w:t>
      </w:r>
      <w:r>
        <w:rPr>
          <w:rFonts w:hint="default" w:ascii="Times New Roman" w:hAnsi="Times New Roman" w:eastAsia="仿宋_GB2312" w:cs="Times New Roman"/>
          <w:sz w:val="32"/>
          <w:szCs w:val="32"/>
          <w:lang w:eastAsia="zh-CN"/>
        </w:rPr>
        <w:t>保障生态环境监测站日常采样</w:t>
      </w:r>
      <w:r>
        <w:rPr>
          <w:rFonts w:hint="default" w:ascii="Times New Roman" w:hAnsi="Times New Roman" w:eastAsia="仿宋_GB2312" w:cs="Times New Roman"/>
          <w:sz w:val="32"/>
          <w:szCs w:val="32"/>
        </w:rPr>
        <w:t>。单价100万元以上专用设备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pStyle w:val="2"/>
        <w:spacing w:before="93"/>
        <w:ind w:firstLine="640" w:firstLineChars="200"/>
        <w:rPr>
          <w:rFonts w:hint="default" w:ascii="Times New Roman" w:hAnsi="Times New Roman" w:cs="Times New Roman"/>
          <w:highlight w:val="yellow"/>
        </w:rPr>
      </w:pPr>
      <w:r>
        <w:rPr>
          <w:rFonts w:hint="default" w:ascii="Times New Roman" w:hAnsi="Times New Roman" w:cs="Times New Roman"/>
          <w:sz w:val="32"/>
          <w:szCs w:val="32"/>
        </w:rPr>
        <w:t>根据预算绩效管理要求，本单位在2022年度预算编制阶段，组织对</w:t>
      </w:r>
      <w:r>
        <w:rPr>
          <w:rFonts w:hint="default" w:ascii="Times New Roman" w:hAnsi="Times New Roman" w:cs="Times New Roman"/>
          <w:sz w:val="32"/>
          <w:szCs w:val="32"/>
          <w:lang w:eastAsia="zh-CN"/>
        </w:rPr>
        <w:t>住房公积金</w:t>
      </w:r>
      <w:r>
        <w:rPr>
          <w:rFonts w:hint="default" w:ascii="Times New Roman" w:hAnsi="Times New Roman" w:cs="Times New Roman"/>
          <w:sz w:val="32"/>
          <w:szCs w:val="32"/>
        </w:rPr>
        <w:t>项目等</w:t>
      </w:r>
      <w:r>
        <w:rPr>
          <w:rFonts w:hint="default" w:ascii="Times New Roman" w:hAnsi="Times New Roman" w:cs="Times New Roman"/>
          <w:sz w:val="32"/>
          <w:szCs w:val="32"/>
          <w:lang w:val="en-US" w:eastAsia="zh-CN"/>
        </w:rPr>
        <w:t>11</w:t>
      </w:r>
      <w:r>
        <w:rPr>
          <w:rFonts w:hint="default" w:ascii="Times New Roman" w:hAnsi="Times New Roman" w:cs="Times New Roman"/>
          <w:sz w:val="32"/>
          <w:szCs w:val="32"/>
        </w:rPr>
        <w:t>个项目开展了预算事前绩效评估，对</w:t>
      </w:r>
      <w:r>
        <w:rPr>
          <w:rFonts w:hint="default" w:ascii="Times New Roman" w:hAnsi="Times New Roman" w:cs="Times New Roman"/>
          <w:sz w:val="32"/>
          <w:szCs w:val="32"/>
          <w:lang w:val="en-US" w:eastAsia="zh-CN"/>
        </w:rPr>
        <w:t>11</w:t>
      </w:r>
      <w:r>
        <w:rPr>
          <w:rFonts w:hint="default" w:ascii="Times New Roman" w:hAnsi="Times New Roman" w:cs="Times New Roman"/>
          <w:sz w:val="32"/>
          <w:szCs w:val="32"/>
        </w:rPr>
        <w:t>个项目编制了绩效目标，预算执行过程中，选取</w:t>
      </w:r>
      <w:r>
        <w:rPr>
          <w:rFonts w:hint="default" w:ascii="Times New Roman" w:hAnsi="Times New Roman" w:cs="Times New Roman"/>
          <w:sz w:val="32"/>
          <w:szCs w:val="32"/>
          <w:lang w:val="en-US" w:eastAsia="zh-CN"/>
        </w:rPr>
        <w:t>11</w:t>
      </w:r>
      <w:r>
        <w:rPr>
          <w:rFonts w:hint="default" w:ascii="Times New Roman" w:hAnsi="Times New Roman" w:cs="Times New Roman"/>
          <w:sz w:val="32"/>
          <w:szCs w:val="32"/>
        </w:rPr>
        <w:t>个项目开展绩效监控，组织对</w:t>
      </w:r>
      <w:r>
        <w:rPr>
          <w:rFonts w:hint="default" w:ascii="Times New Roman" w:hAnsi="Times New Roman" w:cs="Times New Roman"/>
          <w:sz w:val="32"/>
          <w:szCs w:val="32"/>
          <w:lang w:val="en-US" w:eastAsia="zh-CN"/>
        </w:rPr>
        <w:t>11</w:t>
      </w:r>
      <w:r>
        <w:rPr>
          <w:rFonts w:hint="default" w:ascii="Times New Roman" w:hAnsi="Times New Roman" w:cs="Times New Roman"/>
          <w:sz w:val="32"/>
          <w:szCs w:val="32"/>
        </w:rPr>
        <w:t>个项目开展绩效自评，绩效自评表详见第四部分附件。</w:t>
      </w: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2"/>
        </w:numPr>
        <w:spacing w:line="600" w:lineRule="exact"/>
        <w:ind w:firstLine="660" w:firstLineChars="150"/>
        <w:jc w:val="center"/>
        <w:outlineLvl w:val="0"/>
        <w:rPr>
          <w:rStyle w:val="24"/>
          <w:rFonts w:hint="default" w:ascii="Times New Roman" w:hAnsi="Times New Roman" w:eastAsia="黑体" w:cs="Times New Roman"/>
          <w:b w:val="0"/>
        </w:rPr>
      </w:pPr>
      <w:bookmarkStart w:id="49" w:name="_Toc15396613"/>
      <w:bookmarkStart w:id="50" w:name="_Toc15377225"/>
      <w:r>
        <w:rPr>
          <w:rFonts w:hint="default" w:ascii="Times New Roman" w:hAnsi="Times New Roman" w:eastAsia="黑体" w:cs="Times New Roman"/>
          <w:sz w:val="44"/>
          <w:szCs w:val="44"/>
        </w:rPr>
        <w:t>名</w:t>
      </w:r>
      <w:r>
        <w:rPr>
          <w:rStyle w:val="24"/>
          <w:rFonts w:hint="default" w:ascii="Times New Roman" w:hAnsi="Times New Roman" w:eastAsia="黑体" w:cs="Times New Roman"/>
          <w:b w:val="0"/>
        </w:rPr>
        <w:t>词解释</w:t>
      </w:r>
      <w:bookmarkEnd w:id="49"/>
      <w:bookmarkEnd w:id="50"/>
    </w:p>
    <w:p>
      <w:pPr>
        <w:spacing w:line="600" w:lineRule="exact"/>
        <w:jc w:val="left"/>
        <w:rPr>
          <w:rFonts w:hint="default" w:ascii="Times New Roman" w:hAnsi="Times New Roman" w:cs="Times New Roman"/>
          <w:b/>
          <w:sz w:val="44"/>
          <w:szCs w:val="44"/>
        </w:rPr>
      </w:pP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30"/>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.社会保障和就业（类）行政事业单位养老（款）机关事业单位基本养老保险缴费（项）：指机关事业单位实施养老保险制度由单位缴纳的基本养老保险支出。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.节能环保</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环境保护管理事务</w:t>
      </w:r>
      <w:r>
        <w:rPr>
          <w:rFonts w:hint="default" w:ascii="Times New Roman" w:hAnsi="Times New Roman" w:eastAsia="仿宋_GB2312" w:cs="Times New Roman"/>
          <w:sz w:val="32"/>
          <w:szCs w:val="32"/>
        </w:rPr>
        <w:t>（款）</w:t>
      </w:r>
      <w:r>
        <w:rPr>
          <w:rFonts w:hint="default" w:ascii="Times New Roman" w:hAnsi="Times New Roman" w:eastAsia="仿宋_GB2312" w:cs="Times New Roman"/>
          <w:sz w:val="32"/>
          <w:szCs w:val="32"/>
          <w:lang w:eastAsia="zh-CN"/>
        </w:rPr>
        <w:t>其他环境保护管理事务支出</w:t>
      </w:r>
      <w:r>
        <w:rPr>
          <w:rFonts w:hint="default" w:ascii="Times New Roman" w:hAnsi="Times New Roman" w:eastAsia="仿宋_GB2312" w:cs="Times New Roman"/>
          <w:sz w:val="32"/>
          <w:szCs w:val="32"/>
        </w:rPr>
        <w:t>（项）：指</w:t>
      </w:r>
      <w:r>
        <w:rPr>
          <w:rFonts w:hint="default" w:ascii="Times New Roman" w:hAnsi="Times New Roman" w:eastAsia="仿宋_GB2312" w:cs="Times New Roman"/>
          <w:sz w:val="32"/>
          <w:szCs w:val="32"/>
          <w:lang w:eastAsia="zh-CN"/>
        </w:rPr>
        <w:t>其他用于环境保护管理事务方面的支出</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beforeLines="0"/>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rPr>
        <w:t>节能环保</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环境</w:t>
      </w:r>
      <w:r>
        <w:rPr>
          <w:rFonts w:hint="default" w:ascii="Times New Roman" w:hAnsi="Times New Roman" w:cs="Times New Roman"/>
          <w:sz w:val="32"/>
          <w:szCs w:val="32"/>
          <w:lang w:eastAsia="zh-CN"/>
        </w:rPr>
        <w:t>监测与监察</w:t>
      </w:r>
      <w:r>
        <w:rPr>
          <w:rFonts w:hint="default" w:ascii="Times New Roman" w:hAnsi="Times New Roman" w:eastAsia="仿宋_GB2312" w:cs="Times New Roman"/>
          <w:sz w:val="32"/>
          <w:szCs w:val="32"/>
        </w:rPr>
        <w:t>（款）</w:t>
      </w:r>
      <w:r>
        <w:rPr>
          <w:rFonts w:hint="default" w:ascii="Times New Roman" w:hAnsi="Times New Roman" w:cs="Times New Roman"/>
          <w:sz w:val="32"/>
          <w:szCs w:val="32"/>
          <w:lang w:eastAsia="zh-CN"/>
        </w:rPr>
        <w:t>其他</w:t>
      </w:r>
      <w:r>
        <w:rPr>
          <w:rFonts w:hint="default" w:ascii="Times New Roman" w:hAnsi="Times New Roman" w:eastAsia="仿宋_GB2312" w:cs="Times New Roman"/>
          <w:sz w:val="32"/>
          <w:szCs w:val="32"/>
          <w:lang w:eastAsia="zh-CN"/>
        </w:rPr>
        <w:t>环境</w:t>
      </w:r>
      <w:r>
        <w:rPr>
          <w:rFonts w:hint="default" w:ascii="Times New Roman" w:hAnsi="Times New Roman" w:cs="Times New Roman"/>
          <w:sz w:val="32"/>
          <w:szCs w:val="32"/>
          <w:lang w:eastAsia="zh-CN"/>
        </w:rPr>
        <w:t>监测与监察（项）：指用于其他</w:t>
      </w:r>
      <w:r>
        <w:rPr>
          <w:rFonts w:hint="default" w:ascii="Times New Roman" w:hAnsi="Times New Roman" w:eastAsia="仿宋_GB2312" w:cs="Times New Roman"/>
          <w:sz w:val="32"/>
          <w:szCs w:val="32"/>
          <w:lang w:eastAsia="zh-CN"/>
        </w:rPr>
        <w:t>环境</w:t>
      </w:r>
      <w:r>
        <w:rPr>
          <w:rFonts w:hint="default" w:ascii="Times New Roman" w:hAnsi="Times New Roman" w:cs="Times New Roman"/>
          <w:sz w:val="32"/>
          <w:szCs w:val="32"/>
          <w:lang w:eastAsia="zh-CN"/>
        </w:rPr>
        <w:t>监测与监察方面的支出。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 w:cs="Times New Roman"/>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.基本支出：指为保障机构正常运转、完成日常工作任务而发生的人员支出和公用支出。</w:t>
      </w:r>
    </w:p>
    <w:p>
      <w:pPr>
        <w:pStyle w:val="22"/>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hint="default" w:ascii="Times New Roman" w:hAnsi="Times New Roman" w:eastAsia="黑体" w:cs="Times New Roman"/>
          <w:b w:val="0"/>
        </w:rPr>
      </w:pPr>
      <w:bookmarkStart w:id="51" w:name="_Toc15377226"/>
      <w:r>
        <w:rPr>
          <w:rFonts w:hint="default" w:ascii="Times New Roman" w:hAnsi="Times New Roman" w:cs="Times New Roman"/>
          <w:b/>
          <w:sz w:val="44"/>
          <w:szCs w:val="44"/>
        </w:rPr>
        <w:br w:type="page"/>
      </w:r>
      <w:bookmarkStart w:id="52" w:name="_Toc15396614"/>
      <w:r>
        <w:rPr>
          <w:rFonts w:hint="default" w:ascii="Times New Roman" w:hAnsi="Times New Roman" w:eastAsia="黑体" w:cs="Times New Roman"/>
          <w:sz w:val="44"/>
          <w:szCs w:val="44"/>
        </w:rPr>
        <w:t>第</w:t>
      </w:r>
      <w:r>
        <w:rPr>
          <w:rStyle w:val="24"/>
          <w:rFonts w:hint="default" w:ascii="Times New Roman" w:hAnsi="Times New Roman" w:eastAsia="黑体" w:cs="Times New Roman"/>
          <w:b w:val="0"/>
        </w:rPr>
        <w:t>四部分 附件</w:t>
      </w:r>
      <w:bookmarkEnd w:id="52"/>
    </w:p>
    <w:p>
      <w:pPr>
        <w:spacing w:line="572" w:lineRule="exact"/>
        <w:jc w:val="left"/>
        <w:outlineLvl w:val="0"/>
        <w:rPr>
          <w:rFonts w:hint="default" w:ascii="Times New Roman" w:hAnsi="Times New Roman" w:eastAsia="仿宋_GB2312" w:cs="Times New Roman"/>
          <w:sz w:val="32"/>
          <w:szCs w:val="32"/>
        </w:rPr>
      </w:pPr>
    </w:p>
    <w:p>
      <w:pPr>
        <w:spacing w:line="600" w:lineRule="exact"/>
        <w:jc w:val="center"/>
        <w:outlineLvl w:val="0"/>
        <w:rPr>
          <w:rFonts w:hint="eastAsia" w:ascii="仿宋_GB2312" w:hAnsi="仿宋_GB2312" w:eastAsia="仿宋_GB2312" w:cs="仿宋_GB2312"/>
          <w:kern w:val="0"/>
          <w:sz w:val="32"/>
          <w:szCs w:val="32"/>
          <w:lang w:val="en-US" w:eastAsia="zh-CN"/>
        </w:rPr>
      </w:pPr>
      <w:bookmarkStart w:id="53" w:name="_Toc15396618"/>
      <w:r>
        <w:rPr>
          <w:rFonts w:hint="eastAsia" w:ascii="仿宋_GB2312" w:hAnsi="仿宋_GB2312" w:eastAsia="仿宋_GB2312" w:cs="仿宋_GB2312"/>
          <w:kern w:val="0"/>
          <w:sz w:val="32"/>
          <w:szCs w:val="32"/>
        </w:rPr>
        <w:t>部门预算项目支出绩效自评表</w:t>
      </w:r>
      <w:r>
        <w:rPr>
          <w:rFonts w:hint="default" w:ascii="Times New Roman" w:hAnsi="Times New Roman" w:eastAsia="仿宋_GB2312" w:cs="Times New Roman"/>
          <w:kern w:val="0"/>
          <w:sz w:val="32"/>
          <w:szCs w:val="32"/>
        </w:rPr>
        <w:t>（2022</w:t>
      </w:r>
      <w:r>
        <w:rPr>
          <w:rFonts w:hint="eastAsia" w:ascii="仿宋_GB2312" w:hAnsi="仿宋_GB2312" w:eastAsia="仿宋_GB2312" w:cs="仿宋_GB2312"/>
          <w:kern w:val="0"/>
          <w:sz w:val="32"/>
          <w:szCs w:val="32"/>
        </w:rPr>
        <w:t>年度）见附件</w:t>
      </w: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pStyle w:val="2"/>
        <w:spacing w:before="93"/>
        <w:rPr>
          <w:rFonts w:hint="default" w:ascii="Times New Roman" w:hAnsi="Times New Roman" w:cs="Times New Roman"/>
          <w:sz w:val="32"/>
          <w:szCs w:val="32"/>
        </w:rPr>
      </w:pPr>
    </w:p>
    <w:p>
      <w:pPr>
        <w:spacing w:line="600" w:lineRule="exact"/>
        <w:jc w:val="center"/>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24"/>
          <w:rFonts w:hint="default" w:ascii="Times New Roman" w:hAnsi="Times New Roman" w:eastAsia="黑体" w:cs="Times New Roman"/>
          <w:b w:val="0"/>
        </w:rPr>
        <w:t>五部分 附表</w:t>
      </w:r>
      <w:bookmarkEnd w:id="51"/>
      <w:bookmarkEnd w:id="53"/>
      <w:bookmarkStart w:id="54"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25"/>
          <w:rFonts w:hint="default" w:ascii="Times New Roman" w:hAnsi="Times New Roman" w:eastAsia="仿宋" w:cs="Times New Roman"/>
          <w:b w:val="0"/>
          <w:bCs w:val="0"/>
        </w:rPr>
        <w:t>入支出决算总表</w:t>
      </w:r>
      <w:bookmarkEnd w:id="54"/>
    </w:p>
    <w:p>
      <w:pPr>
        <w:pStyle w:val="4"/>
        <w:rPr>
          <w:rFonts w:hint="default" w:ascii="Times New Roman" w:hAnsi="Times New Roman" w:eastAsia="仿宋" w:cs="Times New Roman"/>
        </w:rPr>
      </w:pPr>
      <w:bookmarkStart w:id="55" w:name="_Toc15396620"/>
      <w:r>
        <w:rPr>
          <w:rFonts w:hint="default" w:ascii="Times New Roman" w:hAnsi="Times New Roman" w:eastAsia="仿宋" w:cs="Times New Roman"/>
          <w:b w:val="0"/>
        </w:rPr>
        <w:t>二、收</w:t>
      </w:r>
      <w:r>
        <w:rPr>
          <w:rStyle w:val="25"/>
          <w:rFonts w:hint="default" w:ascii="Times New Roman" w:hAnsi="Times New Roman" w:eastAsia="仿宋" w:cs="Times New Roman"/>
          <w:b w:val="0"/>
          <w:bCs w:val="0"/>
        </w:rPr>
        <w:t>入决算表</w:t>
      </w:r>
      <w:bookmarkEnd w:id="55"/>
    </w:p>
    <w:p>
      <w:pPr>
        <w:pStyle w:val="4"/>
        <w:rPr>
          <w:rFonts w:hint="default" w:ascii="Times New Roman" w:hAnsi="Times New Roman" w:eastAsia="仿宋" w:cs="Times New Roman"/>
        </w:rPr>
      </w:pPr>
      <w:bookmarkStart w:id="56" w:name="_Toc15396621"/>
      <w:r>
        <w:rPr>
          <w:rStyle w:val="25"/>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5"/>
          <w:rFonts w:hint="default" w:ascii="Times New Roman" w:hAnsi="Times New Roman" w:eastAsia="仿宋" w:cs="Times New Roman"/>
          <w:b w:val="0"/>
          <w:bCs w:val="0"/>
        </w:rPr>
        <w:t>出决算表</w:t>
      </w:r>
      <w:bookmarkEnd w:id="56"/>
    </w:p>
    <w:p>
      <w:pPr>
        <w:pStyle w:val="4"/>
        <w:rPr>
          <w:rFonts w:hint="default" w:ascii="Times New Roman" w:hAnsi="Times New Roman" w:eastAsia="仿宋" w:cs="Times New Roman"/>
          <w:b w:val="0"/>
        </w:rPr>
      </w:pPr>
      <w:bookmarkStart w:id="57" w:name="_Toc15396622"/>
      <w:r>
        <w:rPr>
          <w:rStyle w:val="25"/>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5"/>
          <w:rFonts w:hint="default" w:ascii="Times New Roman" w:hAnsi="Times New Roman" w:eastAsia="仿宋" w:cs="Times New Roman"/>
          <w:b w:val="0"/>
          <w:bCs w:val="0"/>
        </w:rPr>
        <w:t>政拨款收入支出决算总表</w:t>
      </w:r>
      <w:bookmarkEnd w:id="57"/>
    </w:p>
    <w:p>
      <w:pPr>
        <w:pStyle w:val="4"/>
        <w:rPr>
          <w:rStyle w:val="25"/>
          <w:rFonts w:hint="default" w:ascii="Times New Roman" w:hAnsi="Times New Roman" w:eastAsia="仿宋" w:cs="Times New Roman"/>
          <w:b w:val="0"/>
          <w:bCs w:val="0"/>
        </w:rPr>
      </w:pPr>
      <w:bookmarkStart w:id="58" w:name="_Toc15396623"/>
      <w:r>
        <w:rPr>
          <w:rStyle w:val="25"/>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5"/>
          <w:rFonts w:hint="default" w:ascii="Times New Roman" w:hAnsi="Times New Roman" w:eastAsia="仿宋" w:cs="Times New Roman"/>
          <w:b w:val="0"/>
          <w:bCs w:val="0"/>
        </w:rPr>
        <w:t>政拨款支出决算明细表</w:t>
      </w:r>
      <w:bookmarkEnd w:id="58"/>
      <w:bookmarkStart w:id="59" w:name="_Toc15396624"/>
    </w:p>
    <w:p>
      <w:pPr>
        <w:pStyle w:val="4"/>
        <w:rPr>
          <w:rFonts w:hint="default" w:ascii="Times New Roman" w:hAnsi="Times New Roman" w:eastAsia="仿宋" w:cs="Times New Roman"/>
        </w:rPr>
      </w:pPr>
      <w:r>
        <w:rPr>
          <w:rStyle w:val="25"/>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般公共预算财政拨款支出决算表</w:t>
      </w:r>
      <w:bookmarkEnd w:id="59"/>
    </w:p>
    <w:p>
      <w:pPr>
        <w:pStyle w:val="4"/>
        <w:rPr>
          <w:rFonts w:hint="default" w:ascii="Times New Roman" w:hAnsi="Times New Roman" w:eastAsia="仿宋" w:cs="Times New Roman"/>
        </w:rPr>
      </w:pPr>
      <w:bookmarkStart w:id="60" w:name="_Toc15396625"/>
      <w:r>
        <w:rPr>
          <w:rStyle w:val="25"/>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般公共预算财政拨款支出决算明细表</w:t>
      </w:r>
      <w:bookmarkEnd w:id="60"/>
    </w:p>
    <w:p>
      <w:pPr>
        <w:pStyle w:val="4"/>
        <w:rPr>
          <w:rFonts w:hint="default" w:ascii="Times New Roman" w:hAnsi="Times New Roman" w:eastAsia="仿宋" w:cs="Times New Roman"/>
        </w:rPr>
      </w:pPr>
      <w:bookmarkStart w:id="61" w:name="_Toc15396626"/>
      <w:r>
        <w:rPr>
          <w:rStyle w:val="25"/>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般公共预算财政拨款基本支出决算表</w:t>
      </w:r>
      <w:bookmarkEnd w:id="61"/>
    </w:p>
    <w:p>
      <w:pPr>
        <w:pStyle w:val="4"/>
        <w:rPr>
          <w:rFonts w:hint="default" w:ascii="Times New Roman" w:hAnsi="Times New Roman" w:eastAsia="仿宋" w:cs="Times New Roman"/>
        </w:rPr>
      </w:pPr>
      <w:bookmarkStart w:id="62" w:name="_Toc15396627"/>
      <w:r>
        <w:rPr>
          <w:rStyle w:val="25"/>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般公共预算财政拨款项目支出决算表</w:t>
      </w:r>
      <w:bookmarkEnd w:id="62"/>
    </w:p>
    <w:p>
      <w:pPr>
        <w:pStyle w:val="4"/>
        <w:rPr>
          <w:rFonts w:hint="default" w:ascii="Times New Roman" w:hAnsi="Times New Roman" w:eastAsia="仿宋" w:cs="Times New Roman"/>
        </w:rPr>
      </w:pPr>
      <w:bookmarkStart w:id="63" w:name="_Toc15396628"/>
      <w:r>
        <w:rPr>
          <w:rStyle w:val="25"/>
          <w:rFonts w:hint="default" w:ascii="Times New Roman" w:hAnsi="Times New Roman" w:eastAsia="仿宋" w:cs="Times New Roman"/>
          <w:b w:val="0"/>
          <w:bCs w:val="0"/>
        </w:rPr>
        <w:t>十、</w:t>
      </w:r>
      <w:bookmarkEnd w:id="63"/>
      <w:r>
        <w:rPr>
          <w:rFonts w:hint="default" w:ascii="Times New Roman" w:hAnsi="Times New Roman" w:eastAsia="仿宋" w:cs="Times New Roman"/>
          <w:b w:val="0"/>
        </w:rPr>
        <w:t>政</w:t>
      </w:r>
      <w:r>
        <w:rPr>
          <w:rStyle w:val="25"/>
          <w:rFonts w:hint="default" w:ascii="Times New Roman" w:hAnsi="Times New Roman" w:eastAsia="仿宋" w:cs="Times New Roman"/>
          <w:b w:val="0"/>
          <w:bCs w:val="0"/>
        </w:rPr>
        <w:t>府性基金预算财政拨款收入支出决算表</w:t>
      </w:r>
    </w:p>
    <w:p>
      <w:pPr>
        <w:pStyle w:val="4"/>
        <w:rPr>
          <w:rFonts w:hint="default" w:ascii="Times New Roman" w:hAnsi="Times New Roman" w:eastAsia="仿宋" w:cs="Times New Roman"/>
        </w:rPr>
      </w:pPr>
      <w:bookmarkStart w:id="64" w:name="_Toc15396629"/>
      <w:r>
        <w:rPr>
          <w:rStyle w:val="25"/>
          <w:rFonts w:hint="default" w:ascii="Times New Roman" w:hAnsi="Times New Roman" w:eastAsia="仿宋" w:cs="Times New Roman"/>
          <w:b w:val="0"/>
          <w:bCs w:val="0"/>
        </w:rPr>
        <w:t>十一、</w:t>
      </w:r>
      <w:bookmarkEnd w:id="64"/>
      <w:r>
        <w:rPr>
          <w:rFonts w:hint="default" w:ascii="Times New Roman" w:hAnsi="Times New Roman" w:eastAsia="仿宋" w:cs="Times New Roman"/>
          <w:b w:val="0"/>
        </w:rPr>
        <w:t>国</w:t>
      </w:r>
      <w:r>
        <w:rPr>
          <w:rStyle w:val="25"/>
          <w:rFonts w:hint="default" w:ascii="Times New Roman" w:hAnsi="Times New Roman" w:eastAsia="仿宋" w:cs="Times New Roman"/>
          <w:b w:val="0"/>
          <w:bCs w:val="0"/>
        </w:rPr>
        <w:t>有资本经营预算财政拨款收入支出决算表</w:t>
      </w:r>
    </w:p>
    <w:p>
      <w:pPr>
        <w:pStyle w:val="4"/>
        <w:rPr>
          <w:rFonts w:hint="default" w:ascii="Times New Roman" w:hAnsi="Times New Roman" w:eastAsia="仿宋" w:cs="Times New Roman"/>
        </w:rPr>
      </w:pPr>
      <w:bookmarkStart w:id="65" w:name="_Toc15396630"/>
      <w:r>
        <w:rPr>
          <w:rStyle w:val="25"/>
          <w:rFonts w:hint="default" w:ascii="Times New Roman" w:hAnsi="Times New Roman" w:eastAsia="仿宋" w:cs="Times New Roman"/>
          <w:b w:val="0"/>
          <w:bCs w:val="0"/>
        </w:rPr>
        <w:t>十二、</w:t>
      </w:r>
      <w:bookmarkEnd w:id="65"/>
      <w:r>
        <w:rPr>
          <w:rStyle w:val="25"/>
          <w:rFonts w:hint="default" w:ascii="Times New Roman" w:hAnsi="Times New Roman" w:eastAsia="仿宋" w:cs="Times New Roman"/>
          <w:b w:val="0"/>
          <w:bCs w:val="0"/>
        </w:rPr>
        <w:t>国有资本经营预算财政拨款支出决算表</w:t>
      </w:r>
    </w:p>
    <w:p>
      <w:pPr>
        <w:pStyle w:val="4"/>
        <w:rPr>
          <w:rFonts w:hint="default" w:ascii="Times New Roman" w:hAnsi="Times New Roman" w:eastAsia="仿宋" w:cs="Times New Roman"/>
        </w:rPr>
      </w:pPr>
      <w:bookmarkStart w:id="66" w:name="_Toc15396631"/>
      <w:r>
        <w:rPr>
          <w:rStyle w:val="25"/>
          <w:rFonts w:hint="default" w:ascii="Times New Roman" w:hAnsi="Times New Roman" w:eastAsia="仿宋" w:cs="Times New Roman"/>
          <w:b w:val="0"/>
          <w:bCs w:val="0"/>
        </w:rPr>
        <w:t>十三、</w:t>
      </w:r>
      <w:bookmarkEnd w:id="66"/>
      <w:r>
        <w:rPr>
          <w:rStyle w:val="25"/>
          <w:rFonts w:hint="default" w:ascii="Times New Roman" w:hAnsi="Times New Roman" w:eastAsia="仿宋" w:cs="Times New Roman"/>
          <w:b w:val="0"/>
          <w:bCs w:val="0"/>
        </w:rPr>
        <w:t>财政拨款“三公”经费支出决算表</w:t>
      </w:r>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0C44397F"/>
    <w:rsid w:val="0C695B33"/>
    <w:rsid w:val="0E1906EB"/>
    <w:rsid w:val="10295964"/>
    <w:rsid w:val="10C055FF"/>
    <w:rsid w:val="118107EC"/>
    <w:rsid w:val="11DD6519"/>
    <w:rsid w:val="142F26D3"/>
    <w:rsid w:val="16BB723D"/>
    <w:rsid w:val="18015F3F"/>
    <w:rsid w:val="1BE8440E"/>
    <w:rsid w:val="1BF43C29"/>
    <w:rsid w:val="1CE30416"/>
    <w:rsid w:val="1D155CEE"/>
    <w:rsid w:val="1FD8354B"/>
    <w:rsid w:val="20F57F95"/>
    <w:rsid w:val="240371BF"/>
    <w:rsid w:val="25711CC6"/>
    <w:rsid w:val="25C741E6"/>
    <w:rsid w:val="26EC0348"/>
    <w:rsid w:val="273555E6"/>
    <w:rsid w:val="27842671"/>
    <w:rsid w:val="29FD04D3"/>
    <w:rsid w:val="2ABE7A3E"/>
    <w:rsid w:val="2CA234A8"/>
    <w:rsid w:val="2EFA178C"/>
    <w:rsid w:val="30B46D73"/>
    <w:rsid w:val="319F7F4E"/>
    <w:rsid w:val="383D272C"/>
    <w:rsid w:val="39AE70AB"/>
    <w:rsid w:val="3C0C0783"/>
    <w:rsid w:val="3F9F3A96"/>
    <w:rsid w:val="42A34288"/>
    <w:rsid w:val="48BF60AB"/>
    <w:rsid w:val="493C27E9"/>
    <w:rsid w:val="496F39ED"/>
    <w:rsid w:val="49FF41D3"/>
    <w:rsid w:val="4BE068DB"/>
    <w:rsid w:val="4BF6002B"/>
    <w:rsid w:val="4D66608B"/>
    <w:rsid w:val="4EA17F81"/>
    <w:rsid w:val="4ECE2238"/>
    <w:rsid w:val="51DB4B86"/>
    <w:rsid w:val="545753D2"/>
    <w:rsid w:val="55333C3E"/>
    <w:rsid w:val="55A968C7"/>
    <w:rsid w:val="5BD744A5"/>
    <w:rsid w:val="648760B0"/>
    <w:rsid w:val="64CA39A1"/>
    <w:rsid w:val="69630ADE"/>
    <w:rsid w:val="6C4A05C8"/>
    <w:rsid w:val="6D3B1A89"/>
    <w:rsid w:val="70B73DED"/>
    <w:rsid w:val="71BF4EC2"/>
    <w:rsid w:val="72734D90"/>
    <w:rsid w:val="7412278C"/>
    <w:rsid w:val="79E7B28D"/>
    <w:rsid w:val="7C56438D"/>
    <w:rsid w:val="7F9F20EE"/>
    <w:rsid w:val="7FEF6E6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3"/>
    <w:qFormat/>
    <w:uiPriority w:val="9"/>
    <w:rPr>
      <w:rFonts w:ascii="Times New Roman" w:hAnsi="Times New Roman"/>
      <w:b/>
      <w:bCs/>
      <w:kern w:val="44"/>
      <w:sz w:val="44"/>
      <w:szCs w:val="44"/>
    </w:rPr>
  </w:style>
  <w:style w:type="character" w:customStyle="1" w:styleId="25">
    <w:name w:val="标题 2 字符"/>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收入支出决算总体情况</a:t>
            </a:r>
          </a:p>
          <a:p>
            <a:pPr defTabSz="914400">
              <a:defRPr lang="zh-CN" sz="1600" b="1" i="0" u="none" strike="noStrike" kern="1200" baseline="0">
                <a:solidFill>
                  <a:schemeClr val="tx2"/>
                </a:solidFill>
                <a:latin typeface="+mn-lt"/>
                <a:ea typeface="+mn-ea"/>
                <a:cs typeface="+mn-cs"/>
              </a:defRPr>
            </a:pPr>
          </a:p>
          <a:p>
            <a:pPr defTabSz="914400">
              <a:defRPr lang="zh-CN" sz="1600" b="1" i="0" u="none" strike="noStrike" kern="1200" baseline="0">
                <a:solidFill>
                  <a:schemeClr val="tx2"/>
                </a:solidFill>
                <a:latin typeface="+mn-lt"/>
                <a:ea typeface="+mn-ea"/>
                <a:cs typeface="+mn-cs"/>
              </a:defRPr>
            </a:pPr>
          </a:p>
          <a:p>
            <a:pPr defTabSz="914400">
              <a:defRPr lang="zh-CN" sz="1600" b="1" i="0" u="none" strike="noStrike" kern="1200" baseline="0">
                <a:solidFill>
                  <a:schemeClr val="tx2"/>
                </a:solidFill>
                <a:latin typeface="+mn-lt"/>
                <a:ea typeface="+mn-ea"/>
                <a:cs typeface="+mn-cs"/>
              </a:defRPr>
            </a:pPr>
            <a:r>
              <a:t>                        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c:f>
              <c:strCache>
                <c:ptCount val="1"/>
                <c:pt idx="0">
                  <c:v>类别 1</c:v>
                </c:pt>
              </c:strCache>
            </c:strRef>
          </c:cat>
          <c:val>
            <c:numRef>
              <c:f>Sheet1!$B$2</c:f>
              <c:numCache>
                <c:formatCode>General</c:formatCode>
                <c:ptCount val="1"/>
                <c:pt idx="0">
                  <c:v>196.58</c:v>
                </c:pt>
              </c:numCache>
            </c:numRef>
          </c:val>
        </c:ser>
        <c:ser>
          <c:idx val="1"/>
          <c:order val="1"/>
          <c:tx>
            <c:strRef>
              <c:f>Sheet1!$C$1</c:f>
              <c:strCache>
                <c:ptCount val="1"/>
                <c:pt idx="0">
                  <c:v>2022年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c:f>
              <c:strCache>
                <c:ptCount val="1"/>
                <c:pt idx="0">
                  <c:v>类别 1</c:v>
                </c:pt>
              </c:strCache>
            </c:strRef>
          </c:cat>
          <c:val>
            <c:numRef>
              <c:f>Sheet1!$C$2</c:f>
              <c:numCache>
                <c:formatCode>General</c:formatCode>
                <c:ptCount val="1"/>
                <c:pt idx="0">
                  <c:v>220.8</c:v>
                </c:pt>
              </c:numCache>
            </c:numRef>
          </c:val>
        </c:ser>
        <c:dLbls>
          <c:showLegendKey val="0"/>
          <c:showVal val="1"/>
          <c:showCatName val="0"/>
          <c:showSerName val="0"/>
          <c:showPercent val="0"/>
          <c:showBubbleSize val="0"/>
        </c:dLbls>
        <c:gapWidth val="100"/>
        <c:overlap val="-24"/>
        <c:axId val="388883406"/>
        <c:axId val="487337522"/>
      </c:barChart>
      <c:catAx>
        <c:axId val="388883406"/>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487337522"/>
        <c:crosses val="autoZero"/>
        <c:auto val="1"/>
        <c:lblAlgn val="ctr"/>
        <c:lblOffset val="100"/>
        <c:noMultiLvlLbl val="0"/>
      </c:catAx>
      <c:valAx>
        <c:axId val="48733752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3888834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213.6</c:v>
                </c:pt>
                <c:pt idx="1">
                  <c:v>0</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220.8</c:v>
                </c:pt>
                <c:pt idx="1">
                  <c:v>0</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财政拨款收入支出决算总计变动情况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c:f>
              <c:strCache>
                <c:ptCount val="1"/>
                <c:pt idx="0">
                  <c:v>类别 1</c:v>
                </c:pt>
              </c:strCache>
            </c:strRef>
          </c:cat>
          <c:val>
            <c:numRef>
              <c:f>Sheet1!$B$2</c:f>
              <c:numCache>
                <c:formatCode>General</c:formatCode>
                <c:ptCount val="1"/>
                <c:pt idx="0">
                  <c:v>196.58</c:v>
                </c:pt>
              </c:numCache>
            </c:numRef>
          </c:val>
        </c:ser>
        <c:ser>
          <c:idx val="1"/>
          <c:order val="1"/>
          <c:tx>
            <c:strRef>
              <c:f>Sheet1!$C$1</c:f>
              <c:strCache>
                <c:ptCount val="1"/>
                <c:pt idx="0">
                  <c:v>2022年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a:solidFill>
                        <a:schemeClr val="tx2">
                          <a:lumMod val="35000"/>
                          <a:lumOff val="65000"/>
                        </a:schemeClr>
                      </a:solidFill>
                    </a:ln>
                    <a:effectLst/>
                  </c:spPr>
                </c15:leaderLines>
              </c:ext>
            </c:extLst>
          </c:dLbls>
          <c:cat>
            <c:strRef>
              <c:f>Sheet1!$A$2</c:f>
              <c:strCache>
                <c:ptCount val="1"/>
                <c:pt idx="0">
                  <c:v>类别 1</c:v>
                </c:pt>
              </c:strCache>
            </c:strRef>
          </c:cat>
          <c:val>
            <c:numRef>
              <c:f>Sheet1!$C$2</c:f>
              <c:numCache>
                <c:formatCode>General</c:formatCode>
                <c:ptCount val="1"/>
                <c:pt idx="0">
                  <c:v>213.6</c:v>
                </c:pt>
              </c:numCache>
            </c:numRef>
          </c:val>
        </c:ser>
        <c:dLbls>
          <c:showLegendKey val="0"/>
          <c:showVal val="1"/>
          <c:showCatName val="0"/>
          <c:showSerName val="0"/>
          <c:showPercent val="0"/>
          <c:showBubbleSize val="0"/>
        </c:dLbls>
        <c:gapWidth val="100"/>
        <c:overlap val="-24"/>
        <c:axId val="63076734"/>
        <c:axId val="963340062"/>
      </c:barChart>
      <c:catAx>
        <c:axId val="630767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963340062"/>
        <c:crosses val="autoZero"/>
        <c:auto val="1"/>
        <c:lblAlgn val="ctr"/>
        <c:lblOffset val="100"/>
        <c:noMultiLvlLbl val="0"/>
      </c:catAx>
      <c:valAx>
        <c:axId val="96334006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630767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a:p>
            <a:pPr defTabSz="914400">
              <a:defRPr lang="zh-CN" sz="1400" b="0" i="0" u="none" strike="noStrike" kern="1200" spc="0" baseline="0">
                <a:solidFill>
                  <a:schemeClr val="tx1">
                    <a:lumMod val="65000"/>
                    <a:lumOff val="35000"/>
                  </a:schemeClr>
                </a:solidFill>
                <a:latin typeface="+mn-lt"/>
                <a:ea typeface="+mn-ea"/>
                <a:cs typeface="+mn-cs"/>
              </a:defRPr>
            </a:pPr>
          </a:p>
          <a:p>
            <a:pPr defTabSz="914400">
              <a:defRPr lang="zh-CN" sz="1400" b="0" i="0" u="none" strike="noStrike" kern="1200" spc="0" baseline="0">
                <a:solidFill>
                  <a:schemeClr val="tx1">
                    <a:lumMod val="65000"/>
                    <a:lumOff val="35000"/>
                  </a:schemeClr>
                </a:solidFill>
                <a:latin typeface="+mn-lt"/>
                <a:ea typeface="+mn-ea"/>
                <a:cs typeface="+mn-cs"/>
              </a:defRPr>
            </a:pPr>
          </a:p>
          <a:p>
            <a:pPr defTabSz="914400">
              <a:defRPr lang="zh-CN" sz="1400" b="0" i="0" u="none" strike="noStrike" kern="1200" spc="0" baseline="0">
                <a:solidFill>
                  <a:schemeClr val="tx1">
                    <a:lumMod val="65000"/>
                    <a:lumOff val="35000"/>
                  </a:schemeClr>
                </a:solidFill>
                <a:latin typeface="+mn-lt"/>
                <a:ea typeface="+mn-ea"/>
                <a:cs typeface="+mn-cs"/>
              </a:defRPr>
            </a:pPr>
            <a:r>
              <a:t>                                                                   单位：万元</a:t>
            </a:r>
          </a:p>
        </c:rich>
      </c:tx>
      <c:layout/>
      <c:overlay val="0"/>
      <c:spPr>
        <a:noFill/>
        <a:ln>
          <a:noFill/>
        </a:ln>
        <a:effectLst/>
      </c:spPr>
    </c:title>
    <c:autoTitleDeleted val="0"/>
    <c:plotArea>
      <c:layout/>
      <c:barChart>
        <c:barDir val="col"/>
        <c:grouping val="clustered"/>
        <c:varyColors val="0"/>
        <c:ser>
          <c:idx val="0"/>
          <c:order val="0"/>
          <c:tx>
            <c:strRef>
              <c:f>Sheet1!$A$1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Sheet1!$A$2</c:f>
              <c:numCache>
                <c:formatCode>General</c:formatCode>
                <c:ptCount val="1"/>
                <c:pt idx="0">
                  <c:v>196.58</c:v>
                </c:pt>
              </c:numCache>
            </c:numRef>
          </c:val>
        </c:ser>
        <c:ser>
          <c:idx val="1"/>
          <c:order val="1"/>
          <c:tx>
            <c:strRef>
              <c:f>Sheet1!$B$1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Sheet1!#REF!</c:f>
              <c:numCache>
                <c:ptCount val="0"/>
              </c:numCache>
            </c:numRef>
          </c:cat>
          <c:val>
            <c:numRef>
              <c:f>Sheet1!$B$2</c:f>
              <c:numCache>
                <c:formatCode>General</c:formatCode>
                <c:ptCount val="1"/>
                <c:pt idx="0">
                  <c:v>220.8</c:v>
                </c:pt>
              </c:numCache>
            </c:numRef>
          </c:val>
        </c:ser>
        <c:dLbls>
          <c:showLegendKey val="0"/>
          <c:showVal val="1"/>
          <c:showCatName val="0"/>
          <c:showSerName val="0"/>
          <c:showPercent val="0"/>
          <c:showBubbleSize val="0"/>
        </c:dLbls>
        <c:gapWidth val="219"/>
        <c:overlap val="-27"/>
        <c:axId val="475823226"/>
        <c:axId val="513621038"/>
      </c:barChart>
      <c:catAx>
        <c:axId val="4758232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621038"/>
        <c:crosses val="autoZero"/>
        <c:auto val="1"/>
        <c:lblAlgn val="ctr"/>
        <c:lblOffset val="100"/>
        <c:noMultiLvlLbl val="0"/>
      </c:catAx>
      <c:valAx>
        <c:axId val="51362103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58232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baseline="0">
              <a:solidFill>
                <a:schemeClr val="tx2"/>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Sheet1!$A$2:$A$4</c:f>
              <c:strCache>
                <c:ptCount val="3"/>
                <c:pt idx="0">
                  <c:v>社会保障和就业支出</c:v>
                </c:pt>
                <c:pt idx="1">
                  <c:v>住房保障支出</c:v>
                </c:pt>
                <c:pt idx="2">
                  <c:v>节能环保支出</c:v>
                </c:pt>
              </c:strCache>
            </c:strRef>
          </c:cat>
          <c:val>
            <c:numRef>
              <c:f>Sheet1!$B$2:$B$4</c:f>
              <c:numCache>
                <c:formatCode>General</c:formatCode>
                <c:ptCount val="3"/>
                <c:pt idx="0">
                  <c:v>17.98</c:v>
                </c:pt>
                <c:pt idx="1">
                  <c:v>21.22</c:v>
                </c:pt>
                <c:pt idx="2">
                  <c:v>181.6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625142315711695"/>
                  <c:y val="0.19255593240832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275"/>
                      <c:h val="0.0905"/>
                    </c:manualLayout>
                  </c15:layout>
                </c:ext>
              </c:extLst>
            </c:dLbl>
            <c:dLbl>
              <c:idx val="1"/>
              <c:layout>
                <c:manualLayout>
                  <c:x val="-0.181881154392443"/>
                  <c:y val="0.24120240433956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72875"/>
                      <c:h val="0.115166666666667"/>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c:v>
                </c:pt>
                <c:pt idx="2">
                  <c:v>公务用车购置及运行维护费</c:v>
                </c:pt>
              </c:strCache>
            </c:strRef>
          </c:cat>
          <c:val>
            <c:numRef>
              <c:f>Sheet1!$B$2:$B$4</c:f>
              <c:numCache>
                <c:formatCode>General</c:formatCode>
                <c:ptCount val="3"/>
                <c:pt idx="0">
                  <c:v>0.1</c:v>
                </c:pt>
                <c:pt idx="1">
                  <c:v>0</c:v>
                </c:pt>
                <c:pt idx="2">
                  <c:v>2.64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882</Words>
  <Characters>5030</Characters>
  <Lines>41</Lines>
  <Paragraphs>11</Paragraphs>
  <TotalTime>6</TotalTime>
  <ScaleCrop>false</ScaleCrop>
  <LinksUpToDate>false</LinksUpToDate>
  <CharactersWithSpaces>5901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2023-07-31T02:35:00Z</cp:lastPrinted>
  <dcterms:modified xsi:type="dcterms:W3CDTF">2023-09-06T07:29:44Z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