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96597"/>
      <w:bookmarkStart w:id="3" w:name="_Toc15377425"/>
      <w:bookmarkStart w:id="4" w:name="_Toc15396475"/>
      <w:bookmarkStart w:id="5" w:name="_Toc15378441"/>
      <w:r>
        <w:rPr>
          <w:rFonts w:ascii="黑体" w:hAnsi="黑体" w:eastAsia="黑体"/>
          <w:color w:val="000000"/>
          <w:sz w:val="72"/>
          <w:szCs w:val="72"/>
        </w:rPr>
        <w:t>2020</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96476"/>
      <w:bookmarkStart w:id="7" w:name="_Toc15377426"/>
      <w:bookmarkStart w:id="8" w:name="_Toc15378442"/>
      <w:bookmarkStart w:id="9" w:name="_Toc15396598"/>
      <w:bookmarkStart w:id="10" w:name="_Toc15377194"/>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攀枝花市生态环境局部门决算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52"/>
          <w:szCs w:val="5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p>
      <w:pPr>
        <w:pStyle w:val="12"/>
      </w:pPr>
      <w:r>
        <w:rPr>
          <w:rFonts w:hint="eastAsia"/>
        </w:rPr>
        <w:t>公开时间：</w:t>
      </w:r>
      <w:r>
        <w:t>2021</w:t>
      </w:r>
      <w:r>
        <w:rPr>
          <w:rFonts w:hint="eastAsia"/>
        </w:rPr>
        <w:t>年 9月8 日</w:t>
      </w:r>
    </w:p>
    <w:p/>
    <w:p>
      <w:pPr>
        <w:pStyle w:val="12"/>
        <w:adjustRightInd w:val="0"/>
        <w:snapToGrid w:val="0"/>
        <w:spacing w:before="0" w:line="440" w:lineRule="exact"/>
        <w:jc w:val="left"/>
        <w:rPr>
          <w:rFonts w:ascii="宋体" w:hAnsi="宋体" w:eastAsia="宋体"/>
          <w:sz w:val="24"/>
          <w:szCs w:val="24"/>
        </w:rPr>
      </w:pPr>
      <w:r>
        <w:rPr>
          <w:rFonts w:hint="eastAsia" w:ascii="宋体" w:hAnsi="宋体" w:eastAsia="宋体"/>
          <w:sz w:val="24"/>
        </w:rPr>
        <w:t>第一部分</w:t>
      </w:r>
      <w:r>
        <w:rPr>
          <w:rFonts w:ascii="宋体" w:hAnsi="宋体" w:eastAsia="宋体"/>
          <w:sz w:val="24"/>
        </w:rPr>
        <w:t xml:space="preserve"> </w:t>
      </w:r>
      <w:r>
        <w:rPr>
          <w:rFonts w:hint="eastAsia" w:ascii="宋体" w:hAnsi="宋体" w:eastAsia="宋体"/>
          <w:sz w:val="24"/>
        </w:rPr>
        <w:t>部门概况………………………………………………………………4</w:t>
      </w:r>
    </w:p>
    <w:p>
      <w:pPr>
        <w:pStyle w:val="13"/>
        <w:adjustRightInd w:val="0"/>
        <w:snapToGrid w:val="0"/>
        <w:spacing w:line="440" w:lineRule="exact"/>
        <w:jc w:val="left"/>
        <w:rPr>
          <w:rFonts w:ascii="宋体" w:hAnsi="宋体"/>
          <w:sz w:val="24"/>
        </w:rPr>
      </w:pPr>
      <w:r>
        <w:rPr>
          <w:rFonts w:hint="eastAsia" w:ascii="宋体" w:hAnsi="宋体"/>
          <w:sz w:val="24"/>
        </w:rPr>
        <w:t>一、基本职能及主要工作……………………………………………………4</w:t>
      </w:r>
    </w:p>
    <w:p>
      <w:pPr>
        <w:pStyle w:val="13"/>
        <w:adjustRightInd w:val="0"/>
        <w:snapToGrid w:val="0"/>
        <w:spacing w:line="440" w:lineRule="exact"/>
        <w:jc w:val="left"/>
        <w:rPr>
          <w:rFonts w:ascii="宋体" w:hAnsi="宋体"/>
          <w:sz w:val="24"/>
        </w:rPr>
      </w:pPr>
      <w:r>
        <w:rPr>
          <w:rFonts w:hint="eastAsia" w:ascii="宋体" w:hAnsi="宋体"/>
          <w:sz w:val="24"/>
        </w:rPr>
        <w:t>二、机构设置…………………………………………………………………15</w:t>
      </w:r>
    </w:p>
    <w:p>
      <w:pPr>
        <w:pStyle w:val="12"/>
        <w:adjustRightInd w:val="0"/>
        <w:snapToGrid w:val="0"/>
        <w:spacing w:before="0" w:line="440" w:lineRule="exact"/>
        <w:jc w:val="left"/>
        <w:rPr>
          <w:rFonts w:ascii="宋体" w:hAnsi="宋体" w:eastAsia="宋体"/>
          <w:sz w:val="24"/>
          <w:szCs w:val="24"/>
        </w:rPr>
      </w:pPr>
      <w:r>
        <w:rPr>
          <w:rFonts w:hint="eastAsia" w:ascii="宋体" w:hAnsi="宋体" w:eastAsia="宋体"/>
          <w:sz w:val="24"/>
        </w:rPr>
        <w:t>第二部分2</w:t>
      </w:r>
      <w:r>
        <w:rPr>
          <w:rFonts w:ascii="宋体" w:hAnsi="宋体" w:eastAsia="宋体"/>
          <w:sz w:val="24"/>
        </w:rPr>
        <w:t>020</w:t>
      </w:r>
      <w:r>
        <w:rPr>
          <w:rFonts w:hint="eastAsia" w:ascii="宋体" w:hAnsi="宋体" w:eastAsia="宋体"/>
          <w:sz w:val="24"/>
        </w:rPr>
        <w:t>年度部门决算情况说明…………………………………………16</w:t>
      </w:r>
    </w:p>
    <w:p>
      <w:pPr>
        <w:pStyle w:val="13"/>
        <w:adjustRightInd w:val="0"/>
        <w:snapToGrid w:val="0"/>
        <w:spacing w:line="440" w:lineRule="exact"/>
        <w:jc w:val="left"/>
        <w:rPr>
          <w:rFonts w:ascii="宋体" w:hAnsi="宋体"/>
          <w:sz w:val="24"/>
        </w:rPr>
      </w:pPr>
      <w:r>
        <w:rPr>
          <w:rFonts w:hint="eastAsia" w:ascii="宋体" w:hAnsi="宋体"/>
          <w:sz w:val="24"/>
        </w:rPr>
        <w:t>一、收入支出决算总体情况说明……………………………………………16</w:t>
      </w:r>
    </w:p>
    <w:p>
      <w:pPr>
        <w:pStyle w:val="13"/>
        <w:adjustRightInd w:val="0"/>
        <w:snapToGrid w:val="0"/>
        <w:spacing w:line="440" w:lineRule="exact"/>
        <w:jc w:val="left"/>
        <w:rPr>
          <w:rFonts w:ascii="宋体" w:hAnsi="宋体"/>
          <w:sz w:val="24"/>
        </w:rPr>
      </w:pPr>
      <w:r>
        <w:rPr>
          <w:rFonts w:hint="eastAsia" w:ascii="宋体" w:hAnsi="宋体"/>
          <w:sz w:val="24"/>
        </w:rPr>
        <w:t>二、收入决算情况说明………………………………………………………16</w:t>
      </w:r>
    </w:p>
    <w:p>
      <w:pPr>
        <w:pStyle w:val="13"/>
        <w:adjustRightInd w:val="0"/>
        <w:snapToGrid w:val="0"/>
        <w:spacing w:line="440" w:lineRule="exact"/>
        <w:jc w:val="left"/>
        <w:rPr>
          <w:rFonts w:ascii="宋体" w:hAnsi="宋体"/>
          <w:sz w:val="24"/>
        </w:rPr>
      </w:pPr>
      <w:r>
        <w:rPr>
          <w:rFonts w:hint="eastAsia" w:ascii="宋体" w:hAnsi="宋体"/>
          <w:sz w:val="24"/>
        </w:rPr>
        <w:t>三、支出决算情况说明………………………………………………………17</w:t>
      </w:r>
    </w:p>
    <w:p>
      <w:pPr>
        <w:pStyle w:val="13"/>
        <w:adjustRightInd w:val="0"/>
        <w:snapToGrid w:val="0"/>
        <w:spacing w:line="440" w:lineRule="exact"/>
        <w:jc w:val="left"/>
        <w:rPr>
          <w:rFonts w:ascii="宋体" w:hAnsi="宋体"/>
          <w:sz w:val="24"/>
        </w:rPr>
      </w:pPr>
      <w:r>
        <w:rPr>
          <w:rFonts w:hint="eastAsia" w:ascii="宋体" w:hAnsi="宋体"/>
          <w:sz w:val="24"/>
        </w:rPr>
        <w:t>四、财政拨款收入支出决算总体情况说明…………………………………17</w:t>
      </w:r>
    </w:p>
    <w:p>
      <w:pPr>
        <w:pStyle w:val="13"/>
        <w:adjustRightInd w:val="0"/>
        <w:snapToGrid w:val="0"/>
        <w:spacing w:line="440" w:lineRule="exact"/>
        <w:jc w:val="left"/>
        <w:rPr>
          <w:rFonts w:ascii="宋体" w:hAnsi="宋体"/>
          <w:sz w:val="24"/>
        </w:rPr>
      </w:pPr>
      <w:r>
        <w:rPr>
          <w:rFonts w:hint="eastAsia" w:ascii="宋体" w:hAnsi="宋体"/>
          <w:sz w:val="24"/>
        </w:rPr>
        <w:t>五、一般公共预算财政拨款支出决算情况说明……………………………18</w:t>
      </w:r>
    </w:p>
    <w:p>
      <w:pPr>
        <w:pStyle w:val="13"/>
        <w:adjustRightInd w:val="0"/>
        <w:snapToGrid w:val="0"/>
        <w:spacing w:line="440" w:lineRule="exact"/>
        <w:jc w:val="left"/>
        <w:rPr>
          <w:rFonts w:ascii="宋体" w:hAnsi="宋体"/>
          <w:sz w:val="24"/>
        </w:rPr>
      </w:pPr>
      <w:r>
        <w:rPr>
          <w:rFonts w:hint="eastAsia" w:ascii="宋体" w:hAnsi="宋体"/>
          <w:sz w:val="24"/>
        </w:rPr>
        <w:t>六、一般公共预算财政拨款基本支出决算情况说明………………………21</w:t>
      </w:r>
    </w:p>
    <w:p>
      <w:pPr>
        <w:pStyle w:val="13"/>
        <w:adjustRightInd w:val="0"/>
        <w:snapToGrid w:val="0"/>
        <w:spacing w:line="440" w:lineRule="exact"/>
        <w:jc w:val="left"/>
        <w:rPr>
          <w:rFonts w:ascii="宋体" w:hAnsi="宋体"/>
          <w:sz w:val="24"/>
        </w:rPr>
      </w:pPr>
      <w:r>
        <w:rPr>
          <w:rFonts w:hint="eastAsia" w:ascii="宋体" w:hAnsi="宋体"/>
          <w:sz w:val="24"/>
        </w:rPr>
        <w:t>七、</w:t>
      </w:r>
      <w:r>
        <w:rPr>
          <w:rFonts w:ascii="宋体" w:hAnsi="宋体"/>
          <w:sz w:val="24"/>
        </w:rPr>
        <w:t>“</w:t>
      </w:r>
      <w:r>
        <w:rPr>
          <w:rFonts w:hint="eastAsia" w:ascii="宋体" w:hAnsi="宋体"/>
          <w:sz w:val="24"/>
        </w:rPr>
        <w:t>三公”经费财政拨款支出决算情况说明……………………………22</w:t>
      </w:r>
    </w:p>
    <w:p>
      <w:pPr>
        <w:pStyle w:val="13"/>
        <w:adjustRightInd w:val="0"/>
        <w:snapToGrid w:val="0"/>
        <w:spacing w:line="440" w:lineRule="exact"/>
        <w:jc w:val="left"/>
        <w:rPr>
          <w:rFonts w:ascii="宋体" w:hAnsi="宋体"/>
          <w:sz w:val="24"/>
        </w:rPr>
      </w:pPr>
      <w:r>
        <w:rPr>
          <w:rFonts w:hint="eastAsia" w:ascii="宋体" w:hAnsi="宋体"/>
          <w:sz w:val="24"/>
        </w:rPr>
        <w:t>八、政府性基金预算支出决算情况说明……………………………………23</w:t>
      </w:r>
    </w:p>
    <w:p>
      <w:pPr>
        <w:pStyle w:val="13"/>
        <w:adjustRightInd w:val="0"/>
        <w:snapToGrid w:val="0"/>
        <w:spacing w:line="440" w:lineRule="exact"/>
        <w:ind w:leftChars="0"/>
        <w:jc w:val="left"/>
        <w:rPr>
          <w:rFonts w:ascii="宋体" w:hAnsi="宋体"/>
          <w:sz w:val="24"/>
        </w:rPr>
      </w:pPr>
      <w:r>
        <w:rPr>
          <w:rFonts w:hint="eastAsia" w:ascii="宋体" w:hAnsi="宋体"/>
          <w:sz w:val="24"/>
        </w:rPr>
        <w:t>九、</w:t>
      </w:r>
      <w:r>
        <w:rPr>
          <w:rFonts w:ascii="宋体" w:hAnsi="宋体"/>
          <w:sz w:val="24"/>
        </w:rPr>
        <w:t xml:space="preserve"> </w:t>
      </w:r>
      <w:r>
        <w:rPr>
          <w:rFonts w:hint="eastAsia" w:ascii="宋体" w:hAnsi="宋体"/>
          <w:sz w:val="24"/>
        </w:rPr>
        <w:t>国有资本经营预算支出决算情况说明…………………………………24</w:t>
      </w:r>
    </w:p>
    <w:p>
      <w:pPr>
        <w:adjustRightInd w:val="0"/>
        <w:snapToGrid w:val="0"/>
        <w:spacing w:line="440" w:lineRule="exact"/>
        <w:ind w:firstLine="480" w:firstLineChars="200"/>
        <w:jc w:val="left"/>
        <w:rPr>
          <w:rFonts w:ascii="宋体" w:hAnsi="宋体"/>
          <w:sz w:val="24"/>
        </w:rPr>
      </w:pPr>
      <w:r>
        <w:rPr>
          <w:rStyle w:val="18"/>
          <w:rFonts w:hint="eastAsia" w:ascii="宋体" w:hAnsi="宋体"/>
          <w:color w:val="000000"/>
          <w:sz w:val="24"/>
          <w:u w:val="none"/>
        </w:rPr>
        <w:t>十、</w:t>
      </w:r>
      <w:r>
        <w:rPr>
          <w:rFonts w:hint="eastAsia" w:ascii="宋体" w:hAnsi="宋体"/>
          <w:sz w:val="24"/>
        </w:rPr>
        <w:t>其他重要事项的情况说明</w:t>
      </w:r>
      <w:r>
        <w:rPr>
          <w:rFonts w:ascii="宋体" w:hAnsi="宋体"/>
          <w:sz w:val="24"/>
        </w:rPr>
        <w:tab/>
      </w:r>
      <w:r>
        <w:rPr>
          <w:rFonts w:hint="eastAsia" w:ascii="宋体" w:hAnsi="宋体"/>
          <w:sz w:val="24"/>
        </w:rPr>
        <w:t>……………………………………………24</w:t>
      </w:r>
    </w:p>
    <w:p>
      <w:pPr>
        <w:pStyle w:val="12"/>
        <w:adjustRightInd w:val="0"/>
        <w:snapToGrid w:val="0"/>
        <w:spacing w:before="0" w:line="440" w:lineRule="exact"/>
        <w:jc w:val="left"/>
        <w:rPr>
          <w:rFonts w:ascii="宋体" w:hAnsi="宋体" w:eastAsia="宋体"/>
          <w:sz w:val="24"/>
          <w:szCs w:val="24"/>
        </w:rPr>
      </w:pPr>
      <w:r>
        <w:rPr>
          <w:rFonts w:hint="eastAsia" w:ascii="宋体" w:hAnsi="宋体" w:eastAsia="宋体"/>
          <w:sz w:val="24"/>
        </w:rPr>
        <w:t>第三部分</w:t>
      </w:r>
      <w:r>
        <w:rPr>
          <w:rFonts w:ascii="宋体" w:hAnsi="宋体" w:eastAsia="宋体"/>
          <w:sz w:val="24"/>
        </w:rPr>
        <w:t xml:space="preserve"> </w:t>
      </w:r>
      <w:r>
        <w:rPr>
          <w:rFonts w:hint="eastAsia" w:ascii="宋体" w:hAnsi="宋体" w:eastAsia="宋体"/>
          <w:sz w:val="24"/>
        </w:rPr>
        <w:t>名词解释…………………………………………………………………35</w:t>
      </w:r>
    </w:p>
    <w:p>
      <w:pPr>
        <w:pStyle w:val="12"/>
        <w:adjustRightInd w:val="0"/>
        <w:snapToGrid w:val="0"/>
        <w:spacing w:before="0" w:line="440" w:lineRule="exact"/>
        <w:jc w:val="left"/>
        <w:rPr>
          <w:rFonts w:ascii="宋体" w:hAnsi="宋体" w:eastAsia="宋体"/>
          <w:sz w:val="24"/>
          <w:szCs w:val="24"/>
        </w:rPr>
      </w:pPr>
      <w:r>
        <w:rPr>
          <w:rFonts w:hint="eastAsia" w:ascii="宋体" w:hAnsi="宋体" w:eastAsia="宋体"/>
          <w:sz w:val="24"/>
        </w:rPr>
        <w:t>第四部分</w:t>
      </w:r>
      <w:r>
        <w:rPr>
          <w:rFonts w:ascii="宋体" w:hAnsi="宋体" w:eastAsia="宋体"/>
          <w:sz w:val="24"/>
        </w:rPr>
        <w:t xml:space="preserve"> </w:t>
      </w:r>
      <w:r>
        <w:rPr>
          <w:rFonts w:hint="eastAsia" w:ascii="宋体" w:hAnsi="宋体" w:eastAsia="宋体"/>
          <w:sz w:val="24"/>
        </w:rPr>
        <w:t>附件………………………………………………………………………39</w:t>
      </w:r>
    </w:p>
    <w:p>
      <w:pPr>
        <w:pStyle w:val="13"/>
        <w:adjustRightInd w:val="0"/>
        <w:snapToGrid w:val="0"/>
        <w:spacing w:line="440" w:lineRule="exact"/>
        <w:jc w:val="left"/>
        <w:rPr>
          <w:rFonts w:ascii="宋体" w:hAnsi="宋体"/>
          <w:sz w:val="24"/>
        </w:rPr>
      </w:pPr>
      <w:r>
        <w:rPr>
          <w:rFonts w:hint="eastAsia" w:ascii="宋体" w:hAnsi="宋体"/>
          <w:sz w:val="24"/>
        </w:rPr>
        <w:t>附件</w:t>
      </w:r>
      <w:r>
        <w:rPr>
          <w:rFonts w:ascii="宋体" w:hAnsi="宋体"/>
          <w:sz w:val="24"/>
        </w:rPr>
        <w:t>1</w:t>
      </w:r>
      <w:r>
        <w:rPr>
          <w:rFonts w:hint="eastAsia" w:ascii="宋体" w:hAnsi="宋体"/>
          <w:sz w:val="24"/>
        </w:rPr>
        <w:t>……………………………………………………………………………39</w:t>
      </w:r>
    </w:p>
    <w:p>
      <w:pPr>
        <w:pStyle w:val="13"/>
        <w:adjustRightInd w:val="0"/>
        <w:snapToGrid w:val="0"/>
        <w:spacing w:line="440" w:lineRule="exact"/>
        <w:jc w:val="left"/>
        <w:rPr>
          <w:rFonts w:ascii="宋体" w:hAnsi="宋体"/>
          <w:sz w:val="24"/>
        </w:rPr>
      </w:pPr>
      <w:r>
        <w:rPr>
          <w:rFonts w:hint="eastAsia" w:ascii="宋体" w:hAnsi="宋体"/>
          <w:sz w:val="24"/>
        </w:rPr>
        <w:t>附件</w:t>
      </w:r>
      <w:r>
        <w:rPr>
          <w:rFonts w:ascii="宋体" w:hAnsi="宋体"/>
          <w:sz w:val="24"/>
        </w:rPr>
        <w:t>2</w:t>
      </w:r>
      <w:r>
        <w:rPr>
          <w:rFonts w:hint="eastAsia" w:ascii="宋体" w:hAnsi="宋体"/>
          <w:sz w:val="24"/>
        </w:rPr>
        <w:t>……………………………………………………………………………47</w:t>
      </w:r>
    </w:p>
    <w:p>
      <w:pPr>
        <w:pStyle w:val="12"/>
        <w:adjustRightInd w:val="0"/>
        <w:snapToGrid w:val="0"/>
        <w:spacing w:before="0" w:line="440" w:lineRule="exact"/>
        <w:jc w:val="left"/>
        <w:rPr>
          <w:rFonts w:ascii="宋体" w:hAnsi="宋体" w:eastAsia="宋体"/>
          <w:sz w:val="24"/>
          <w:szCs w:val="24"/>
        </w:rPr>
      </w:pPr>
      <w:r>
        <w:rPr>
          <w:rFonts w:hint="eastAsia" w:ascii="宋体" w:hAnsi="宋体" w:eastAsia="宋体"/>
          <w:sz w:val="24"/>
        </w:rPr>
        <w:t>第五部分</w:t>
      </w:r>
      <w:r>
        <w:rPr>
          <w:rFonts w:ascii="宋体" w:hAnsi="宋体" w:eastAsia="宋体"/>
          <w:sz w:val="24"/>
        </w:rPr>
        <w:t xml:space="preserve"> </w:t>
      </w:r>
      <w:r>
        <w:rPr>
          <w:rFonts w:hint="eastAsia" w:ascii="宋体" w:hAnsi="宋体" w:eastAsia="宋体"/>
          <w:sz w:val="24"/>
        </w:rPr>
        <w:t>附表………………………………………………………………………54</w:t>
      </w:r>
    </w:p>
    <w:p>
      <w:pPr>
        <w:pStyle w:val="13"/>
        <w:adjustRightInd w:val="0"/>
        <w:snapToGrid w:val="0"/>
        <w:spacing w:line="440" w:lineRule="exact"/>
        <w:jc w:val="left"/>
        <w:rPr>
          <w:rFonts w:ascii="宋体" w:hAnsi="宋体"/>
          <w:sz w:val="24"/>
        </w:rPr>
      </w:pPr>
      <w:r>
        <w:rPr>
          <w:rFonts w:hint="eastAsia" w:ascii="宋体" w:hAnsi="宋体"/>
          <w:sz w:val="24"/>
        </w:rPr>
        <w:t>一、收入支出决算总表………………………………………………………54</w:t>
      </w:r>
    </w:p>
    <w:p>
      <w:pPr>
        <w:pStyle w:val="13"/>
        <w:adjustRightInd w:val="0"/>
        <w:snapToGrid w:val="0"/>
        <w:spacing w:line="440" w:lineRule="exact"/>
        <w:jc w:val="left"/>
        <w:rPr>
          <w:rFonts w:ascii="宋体" w:hAnsi="宋体"/>
          <w:sz w:val="24"/>
        </w:rPr>
      </w:pPr>
      <w:r>
        <w:rPr>
          <w:rFonts w:hint="eastAsia" w:ascii="宋体" w:hAnsi="宋体"/>
          <w:sz w:val="24"/>
        </w:rPr>
        <w:t>二、收入决算表………………………………………………………………54</w:t>
      </w:r>
    </w:p>
    <w:p>
      <w:pPr>
        <w:pStyle w:val="13"/>
        <w:adjustRightInd w:val="0"/>
        <w:snapToGrid w:val="0"/>
        <w:spacing w:line="440" w:lineRule="exact"/>
        <w:jc w:val="left"/>
        <w:rPr>
          <w:rFonts w:ascii="宋体" w:hAnsi="宋体"/>
          <w:sz w:val="24"/>
        </w:rPr>
      </w:pPr>
      <w:r>
        <w:rPr>
          <w:rFonts w:hint="eastAsia" w:ascii="宋体" w:hAnsi="宋体"/>
          <w:sz w:val="24"/>
        </w:rPr>
        <w:t>三、支出决算表………………………………………………………………54</w:t>
      </w:r>
    </w:p>
    <w:p>
      <w:pPr>
        <w:pStyle w:val="13"/>
        <w:adjustRightInd w:val="0"/>
        <w:snapToGrid w:val="0"/>
        <w:spacing w:line="440" w:lineRule="exact"/>
        <w:jc w:val="left"/>
        <w:rPr>
          <w:rFonts w:ascii="宋体" w:hAnsi="宋体"/>
          <w:sz w:val="24"/>
        </w:rPr>
      </w:pPr>
      <w:r>
        <w:rPr>
          <w:rFonts w:hint="eastAsia" w:ascii="宋体" w:hAnsi="宋体"/>
          <w:sz w:val="24"/>
        </w:rPr>
        <w:t>四、财政拨款收入支出决算总表……………………………………………54</w:t>
      </w:r>
    </w:p>
    <w:p>
      <w:pPr>
        <w:pStyle w:val="13"/>
        <w:adjustRightInd w:val="0"/>
        <w:snapToGrid w:val="0"/>
        <w:spacing w:line="440" w:lineRule="exact"/>
        <w:jc w:val="left"/>
        <w:rPr>
          <w:rFonts w:ascii="宋体" w:hAnsi="宋体"/>
          <w:sz w:val="24"/>
        </w:rPr>
      </w:pPr>
      <w:r>
        <w:rPr>
          <w:rFonts w:hint="eastAsia" w:ascii="宋体" w:hAnsi="宋体"/>
          <w:sz w:val="24"/>
        </w:rPr>
        <w:t>五、财政拨款支出决算明细表………………………………………………54</w:t>
      </w:r>
    </w:p>
    <w:p>
      <w:pPr>
        <w:pStyle w:val="13"/>
        <w:adjustRightInd w:val="0"/>
        <w:snapToGrid w:val="0"/>
        <w:spacing w:line="440" w:lineRule="exact"/>
        <w:jc w:val="left"/>
        <w:rPr>
          <w:rFonts w:ascii="宋体" w:hAnsi="宋体"/>
          <w:sz w:val="24"/>
        </w:rPr>
      </w:pPr>
      <w:r>
        <w:rPr>
          <w:rFonts w:hint="eastAsia" w:ascii="宋体" w:hAnsi="宋体"/>
          <w:sz w:val="24"/>
        </w:rPr>
        <w:t>六、一般公共预算财政拨款支出决算表……………………………………54</w:t>
      </w:r>
    </w:p>
    <w:p>
      <w:pPr>
        <w:pStyle w:val="13"/>
        <w:adjustRightInd w:val="0"/>
        <w:snapToGrid w:val="0"/>
        <w:spacing w:line="440" w:lineRule="exact"/>
        <w:jc w:val="left"/>
        <w:rPr>
          <w:rFonts w:ascii="宋体" w:hAnsi="宋体"/>
          <w:sz w:val="24"/>
        </w:rPr>
      </w:pPr>
      <w:r>
        <w:rPr>
          <w:rFonts w:hint="eastAsia" w:ascii="宋体" w:hAnsi="宋体"/>
          <w:sz w:val="24"/>
        </w:rPr>
        <w:t>七、一般公共预算财政拨款支出决算明细表………………………………54</w:t>
      </w:r>
    </w:p>
    <w:p>
      <w:pPr>
        <w:pStyle w:val="13"/>
        <w:adjustRightInd w:val="0"/>
        <w:snapToGrid w:val="0"/>
        <w:spacing w:line="440" w:lineRule="exact"/>
        <w:jc w:val="left"/>
        <w:rPr>
          <w:rFonts w:ascii="宋体" w:hAnsi="宋体"/>
          <w:sz w:val="24"/>
        </w:rPr>
      </w:pPr>
      <w:r>
        <w:rPr>
          <w:rFonts w:hint="eastAsia" w:ascii="宋体" w:hAnsi="宋体"/>
          <w:sz w:val="24"/>
        </w:rPr>
        <w:t>八、一般公共预算财政拨款基本支出决算表………………………………54</w:t>
      </w:r>
    </w:p>
    <w:p>
      <w:pPr>
        <w:pStyle w:val="13"/>
        <w:adjustRightInd w:val="0"/>
        <w:snapToGrid w:val="0"/>
        <w:spacing w:line="440" w:lineRule="exact"/>
        <w:jc w:val="left"/>
        <w:rPr>
          <w:rFonts w:ascii="宋体" w:hAnsi="宋体"/>
          <w:sz w:val="24"/>
        </w:rPr>
      </w:pPr>
      <w:r>
        <w:rPr>
          <w:rFonts w:hint="eastAsia" w:ascii="宋体" w:hAnsi="宋体"/>
          <w:sz w:val="24"/>
        </w:rPr>
        <w:t>九、一般公共预算财政拨款项目支出决算表………………………………54</w:t>
      </w:r>
    </w:p>
    <w:p>
      <w:pPr>
        <w:pStyle w:val="13"/>
        <w:adjustRightInd w:val="0"/>
        <w:snapToGrid w:val="0"/>
        <w:spacing w:line="440" w:lineRule="exact"/>
        <w:jc w:val="left"/>
        <w:rPr>
          <w:rFonts w:ascii="宋体" w:hAnsi="宋体"/>
          <w:sz w:val="24"/>
        </w:rPr>
      </w:pPr>
      <w:r>
        <w:rPr>
          <w:rFonts w:hint="eastAsia" w:ascii="宋体" w:hAnsi="宋体"/>
          <w:sz w:val="24"/>
        </w:rPr>
        <w:t>十、一般公共预算财政拨款“三公”经费支出决算表……………………54</w:t>
      </w:r>
    </w:p>
    <w:p>
      <w:pPr>
        <w:pStyle w:val="13"/>
        <w:adjustRightInd w:val="0"/>
        <w:snapToGrid w:val="0"/>
        <w:spacing w:line="440" w:lineRule="exact"/>
        <w:jc w:val="left"/>
        <w:rPr>
          <w:rFonts w:ascii="宋体" w:hAnsi="宋体"/>
          <w:sz w:val="24"/>
        </w:rPr>
      </w:pPr>
      <w:r>
        <w:rPr>
          <w:rFonts w:hint="eastAsia" w:ascii="宋体" w:hAnsi="宋体"/>
          <w:sz w:val="24"/>
        </w:rPr>
        <w:t>十一、政府性基金预算财政拨款收入支出决算表…………………………54</w:t>
      </w:r>
    </w:p>
    <w:p>
      <w:pPr>
        <w:pStyle w:val="13"/>
        <w:adjustRightInd w:val="0"/>
        <w:snapToGrid w:val="0"/>
        <w:spacing w:line="440" w:lineRule="exact"/>
        <w:jc w:val="left"/>
        <w:rPr>
          <w:rFonts w:ascii="宋体" w:hAnsi="宋体"/>
          <w:sz w:val="24"/>
        </w:rPr>
      </w:pPr>
      <w:r>
        <w:rPr>
          <w:rFonts w:hint="eastAsia" w:ascii="宋体" w:hAnsi="宋体"/>
          <w:sz w:val="24"/>
        </w:rPr>
        <w:t>十二、政府性基金预算财政拨款“三公”经费支出决算表………………54</w:t>
      </w:r>
    </w:p>
    <w:p>
      <w:pPr>
        <w:pStyle w:val="13"/>
        <w:adjustRightInd w:val="0"/>
        <w:snapToGrid w:val="0"/>
        <w:spacing w:line="440" w:lineRule="exact"/>
        <w:jc w:val="left"/>
        <w:rPr>
          <w:rFonts w:hint="eastAsia" w:ascii="宋体" w:hAnsi="宋体"/>
          <w:sz w:val="24"/>
        </w:rPr>
      </w:pPr>
      <w:r>
        <w:rPr>
          <w:rFonts w:hint="eastAsia" w:ascii="宋体" w:hAnsi="宋体"/>
          <w:sz w:val="24"/>
        </w:rPr>
        <w:t>十三、国有资本经营预算财政拨款收入支出决算表………………………54</w:t>
      </w:r>
    </w:p>
    <w:p>
      <w:pPr>
        <w:pStyle w:val="13"/>
        <w:adjustRightInd w:val="0"/>
        <w:snapToGrid w:val="0"/>
        <w:spacing w:line="440" w:lineRule="exact"/>
        <w:jc w:val="left"/>
        <w:rPr>
          <w:rFonts w:hint="eastAsia" w:ascii="宋体" w:hAnsi="宋体"/>
          <w:sz w:val="24"/>
        </w:rPr>
      </w:pPr>
      <w:r>
        <w:rPr>
          <w:rFonts w:hint="eastAsia" w:ascii="宋体" w:hAnsi="宋体"/>
          <w:sz w:val="24"/>
        </w:rPr>
        <w:t>十四、国有资本经营预算财政拨款支出决算表……………………………54</w:t>
      </w:r>
    </w:p>
    <w:p>
      <w:pPr>
        <w:widowControl/>
        <w:spacing w:line="440" w:lineRule="exact"/>
        <w:jc w:val="left"/>
        <w:rPr>
          <w:rFonts w:ascii="仿宋" w:hAnsi="仿宋" w:eastAsia="仿宋"/>
          <w:bCs/>
          <w:kern w:val="44"/>
          <w:sz w:val="24"/>
        </w:rPr>
      </w:pPr>
      <w:bookmarkStart w:id="12" w:name="_Toc15396599"/>
      <w:bookmarkStart w:id="13" w:name="_Toc15377196"/>
      <w:r>
        <w:rPr>
          <w:rFonts w:ascii="宋体" w:hAnsi="宋体"/>
          <w:b/>
          <w:sz w:val="24"/>
        </w:rPr>
        <w:br w:type="page"/>
      </w:r>
    </w:p>
    <w:p>
      <w:pPr>
        <w:pStyle w:val="2"/>
        <w:jc w:val="center"/>
        <w:rPr>
          <w:rStyle w:val="19"/>
          <w:rFonts w:ascii="黑体" w:hAnsi="黑体" w:eastAsia="黑体"/>
          <w:b/>
          <w:bCs w:val="0"/>
        </w:rPr>
      </w:pPr>
      <w:r>
        <w:rPr>
          <w:rFonts w:hint="eastAsia" w:ascii="黑体" w:hAnsi="黑体" w:eastAsia="黑体"/>
          <w:b w:val="0"/>
        </w:rPr>
        <w:t>第一部分</w:t>
      </w:r>
      <w:r>
        <w:rPr>
          <w:rFonts w:ascii="黑体" w:hAnsi="黑体" w:eastAsia="黑体"/>
          <w:b w:val="0"/>
        </w:rPr>
        <w:t xml:space="preserve"> </w:t>
      </w:r>
      <w:r>
        <w:rPr>
          <w:rStyle w:val="19"/>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Fonts w:hint="eastAsia" w:ascii="仿宋" w:hAnsi="仿宋" w:eastAsia="仿宋"/>
          <w:b w:val="0"/>
          <w:bCs w:val="0"/>
          <w:lang w:eastAsia="zh-CN"/>
        </w:rPr>
      </w:pPr>
      <w:bookmarkStart w:id="14" w:name="_Toc15377197"/>
      <w:bookmarkStart w:id="15" w:name="_Toc15396600"/>
      <w:r>
        <w:rPr>
          <w:rFonts w:hint="eastAsia" w:ascii="黑体" w:hAnsi="黑体" w:eastAsia="黑体"/>
          <w:b w:val="0"/>
          <w:color w:val="000000"/>
        </w:rPr>
        <w:t>一、基</w:t>
      </w:r>
      <w:r>
        <w:rPr>
          <w:rStyle w:val="20"/>
          <w:rFonts w:hint="eastAsia" w:ascii="黑体" w:hAnsi="黑体" w:eastAsia="黑体"/>
          <w:b w:val="0"/>
          <w:bCs w:val="0"/>
        </w:rPr>
        <w:t>本职能及主要工作</w:t>
      </w:r>
      <w:bookmarkEnd w:id="14"/>
      <w:bookmarkEnd w:id="15"/>
      <w:bookmarkStart w:id="16" w:name="_Toc15377198"/>
      <w:bookmarkStart w:id="17" w:name="_Toc15378445"/>
    </w:p>
    <w:p>
      <w:pPr>
        <w:pStyle w:val="6"/>
        <w:adjustRightInd w:val="0"/>
        <w:snapToGrid w:val="0"/>
        <w:spacing w:before="93" w:line="600" w:lineRule="exact"/>
        <w:ind w:firstLine="672" w:firstLineChars="210"/>
        <w:outlineLvl w:val="2"/>
        <w:rPr>
          <w:rFonts w:hint="eastAsia" w:ascii="仿宋" w:hAnsi="仿宋" w:eastAsia="仿宋"/>
          <w:bCs/>
          <w:color w:val="000000"/>
          <w:sz w:val="32"/>
          <w:szCs w:val="32"/>
          <w:lang w:eastAsia="zh-CN"/>
        </w:rPr>
      </w:pPr>
      <w:r>
        <w:rPr>
          <w:rFonts w:hint="eastAsia" w:ascii="仿宋" w:hAnsi="仿宋" w:eastAsia="仿宋"/>
          <w:bCs/>
          <w:color w:val="000000"/>
          <w:sz w:val="32"/>
          <w:szCs w:val="32"/>
        </w:rPr>
        <w:t>（一）主要职能。</w:t>
      </w:r>
      <w:bookmarkEnd w:id="16"/>
      <w:bookmarkEnd w:id="17"/>
    </w:p>
    <w:p>
      <w:pPr>
        <w:spacing w:line="640" w:lineRule="exact"/>
        <w:rPr>
          <w:rFonts w:ascii="仿宋" w:hAnsi="仿宋" w:eastAsia="仿宋"/>
          <w:bCs/>
          <w:color w:val="000000"/>
          <w:kern w:val="0"/>
          <w:sz w:val="32"/>
          <w:szCs w:val="32"/>
          <w:lang w:val="zh-CN" w:eastAsia="zh-CN"/>
        </w:rPr>
      </w:pPr>
      <w:r>
        <w:rPr>
          <w:rFonts w:hint="eastAsia" w:ascii="仿宋" w:hAnsi="仿宋" w:eastAsia="仿宋"/>
          <w:bCs/>
          <w:color w:val="000000"/>
          <w:kern w:val="0"/>
          <w:sz w:val="32"/>
          <w:szCs w:val="32"/>
          <w:lang w:val="zh-CN"/>
        </w:rPr>
        <w:t xml:space="preserve">    </w:t>
      </w:r>
      <w:r>
        <w:rPr>
          <w:rFonts w:hint="eastAsia" w:ascii="仿宋" w:hAnsi="仿宋" w:eastAsia="仿宋"/>
          <w:bCs/>
          <w:color w:val="000000"/>
          <w:kern w:val="0"/>
          <w:sz w:val="32"/>
          <w:szCs w:val="32"/>
          <w:lang w:val="zh-CN" w:eastAsia="zh-CN"/>
        </w:rPr>
        <w:t>1.负责建立健全全市生态环境基本制度。会同有关部门拟订并组织实施全市生态环境政策、规划，起草生态环境保护的地方性法规、规章草案，并依法组织实施和监督检查。组织编制环境功能区划，会同有关部门编制并监督实施重点区域、流域、饮用水水源地生态环境规划和水功能区划，组织拟订生态环境地方标准、技术规范。参与制定与全市生态环境相关的经济、技术、资源配置和产业政策。参与拟订全市主体功能区划。</w:t>
      </w:r>
    </w:p>
    <w:p>
      <w:pPr>
        <w:spacing w:line="640" w:lineRule="exact"/>
        <w:rPr>
          <w:rFonts w:hint="eastAsia" w:ascii="仿宋" w:hAnsi="仿宋" w:eastAsia="仿宋"/>
          <w:bCs/>
          <w:color w:val="000000"/>
          <w:kern w:val="0"/>
          <w:sz w:val="32"/>
          <w:szCs w:val="32"/>
          <w:lang w:val="zh-CN" w:eastAsia="zh-CN"/>
        </w:rPr>
      </w:pPr>
      <w:r>
        <w:rPr>
          <w:rFonts w:hint="eastAsia" w:ascii="仿宋" w:hAnsi="仿宋" w:eastAsia="仿宋"/>
          <w:bCs/>
          <w:color w:val="000000"/>
          <w:kern w:val="0"/>
          <w:sz w:val="32"/>
          <w:szCs w:val="32"/>
          <w:lang w:val="zh-CN"/>
        </w:rPr>
        <w:t xml:space="preserve">    </w:t>
      </w:r>
      <w:r>
        <w:rPr>
          <w:rFonts w:hint="eastAsia" w:ascii="仿宋" w:hAnsi="仿宋" w:eastAsia="仿宋"/>
          <w:bCs/>
          <w:color w:val="000000"/>
          <w:kern w:val="0"/>
          <w:sz w:val="32"/>
          <w:szCs w:val="32"/>
          <w:lang w:val="zh-CN" w:eastAsia="zh-CN"/>
        </w:rPr>
        <w:t>2.负责全市重大生态环境问题的统筹协调和监督管理。牵头协调全市重特大突发生态环境事件和生态破坏事件的调查处理，指导协调各县（区）对重特大突发生态环境事件的应急、预警工作，牵头指导实施生态环境损害赔偿制度，协调解决有关跨区域环境污染纠纷，统筹协调全市重点区域、流域的生态环境保护工作。</w:t>
      </w:r>
    </w:p>
    <w:p>
      <w:pPr>
        <w:spacing w:line="640" w:lineRule="exact"/>
        <w:rPr>
          <w:rFonts w:hint="eastAsia" w:ascii="仿宋" w:hAnsi="仿宋" w:eastAsia="仿宋"/>
          <w:bCs/>
          <w:color w:val="000000"/>
          <w:kern w:val="0"/>
          <w:sz w:val="32"/>
          <w:szCs w:val="32"/>
          <w:lang w:val="zh-CN" w:eastAsia="zh-CN"/>
        </w:rPr>
      </w:pPr>
      <w:r>
        <w:rPr>
          <w:rFonts w:hint="eastAsia" w:ascii="仿宋" w:hAnsi="仿宋" w:eastAsia="仿宋"/>
          <w:bCs/>
          <w:color w:val="000000"/>
          <w:kern w:val="0"/>
          <w:sz w:val="32"/>
          <w:szCs w:val="32"/>
          <w:lang w:val="zh-CN"/>
        </w:rPr>
        <w:t xml:space="preserve">    </w:t>
      </w:r>
      <w:r>
        <w:rPr>
          <w:rFonts w:hint="eastAsia" w:ascii="仿宋" w:hAnsi="仿宋" w:eastAsia="仿宋"/>
          <w:bCs/>
          <w:color w:val="000000"/>
          <w:kern w:val="0"/>
          <w:sz w:val="32"/>
          <w:szCs w:val="32"/>
          <w:lang w:val="zh-CN" w:eastAsia="zh-CN"/>
        </w:rPr>
        <w:t>3.负责监督管理全市减排目标的落实。组织制定并监督实施全市各类污染物排放总量控制和排污许可证制度，确定大气、水等环境纳污能力，提出实施总量控制的污染物名称和控制指标，监督检查各县（区）、园区、企业污染物减排任务完成情况，实施生态环境目标责任制。</w:t>
      </w:r>
    </w:p>
    <w:p>
      <w:pPr>
        <w:spacing w:line="640" w:lineRule="exact"/>
        <w:rPr>
          <w:rFonts w:hint="eastAsia" w:ascii="仿宋" w:hAnsi="仿宋" w:eastAsia="仿宋"/>
          <w:bCs/>
          <w:color w:val="000000"/>
          <w:kern w:val="0"/>
          <w:sz w:val="32"/>
          <w:szCs w:val="32"/>
          <w:lang w:val="zh-CN" w:eastAsia="zh-CN"/>
        </w:rPr>
      </w:pPr>
      <w:r>
        <w:rPr>
          <w:rFonts w:hint="eastAsia" w:ascii="仿宋" w:hAnsi="仿宋" w:eastAsia="仿宋"/>
          <w:bCs/>
          <w:color w:val="000000"/>
          <w:kern w:val="0"/>
          <w:sz w:val="32"/>
          <w:szCs w:val="32"/>
          <w:lang w:val="zh-CN"/>
        </w:rPr>
        <w:t xml:space="preserve">    </w:t>
      </w:r>
      <w:r>
        <w:rPr>
          <w:rFonts w:hint="eastAsia" w:ascii="仿宋" w:hAnsi="仿宋" w:eastAsia="仿宋"/>
          <w:bCs/>
          <w:color w:val="000000"/>
          <w:kern w:val="0"/>
          <w:sz w:val="32"/>
          <w:szCs w:val="32"/>
          <w:lang w:val="zh-CN" w:eastAsia="zh-CN"/>
        </w:rPr>
        <w:t>4.负责提出全市生态环境领域固定资产投资规模和方向、市级财政性资金安排的意见，按市政府规定权限审批、核准全市规划内和年度计划规模内固定资产投资项目，配合有关部门做好组织实施和监督工作。参与指导推动全市循环经济和生态环保产业发展。</w:t>
      </w:r>
    </w:p>
    <w:p>
      <w:pPr>
        <w:spacing w:line="640" w:lineRule="exact"/>
        <w:rPr>
          <w:rFonts w:hint="eastAsia" w:ascii="仿宋" w:hAnsi="仿宋" w:eastAsia="仿宋"/>
          <w:bCs/>
          <w:color w:val="000000"/>
          <w:kern w:val="0"/>
          <w:sz w:val="32"/>
          <w:szCs w:val="32"/>
          <w:lang w:val="zh-CN" w:eastAsia="zh-CN"/>
        </w:rPr>
      </w:pPr>
      <w:r>
        <w:rPr>
          <w:rFonts w:hint="eastAsia" w:ascii="仿宋" w:hAnsi="仿宋" w:eastAsia="仿宋"/>
          <w:bCs/>
          <w:color w:val="000000"/>
          <w:kern w:val="0"/>
          <w:sz w:val="32"/>
          <w:szCs w:val="32"/>
          <w:lang w:val="zh-CN"/>
        </w:rPr>
        <w:t xml:space="preserve">    </w:t>
      </w:r>
      <w:r>
        <w:rPr>
          <w:rFonts w:hint="eastAsia" w:ascii="仿宋" w:hAnsi="仿宋" w:eastAsia="仿宋"/>
          <w:bCs/>
          <w:color w:val="000000"/>
          <w:kern w:val="0"/>
          <w:sz w:val="32"/>
          <w:szCs w:val="32"/>
          <w:lang w:val="zh-CN" w:eastAsia="zh-CN"/>
        </w:rPr>
        <w:t>5.负责全市环境污染防治的监督管理。组织制定并监督实施全市大气、水、土壤、噪声、光、恶臭、固体废物、化学品、机动车等的污染防治管理制度。会同有关部门监督管理饮用水水源地生态环境保护工作，组织指导城乡生态环境综合整治工作，监督指导农业面源污染治理工作。监督指导区域大气环境保护工作，牵头建立区域大气污染联防联控协作机制并监督实施。按职责分工组织开展全市强制性清洁生产审核工作。</w:t>
      </w:r>
    </w:p>
    <w:p>
      <w:pPr>
        <w:spacing w:line="640" w:lineRule="exact"/>
        <w:rPr>
          <w:rFonts w:hint="eastAsia" w:ascii="仿宋" w:hAnsi="仿宋" w:eastAsia="仿宋"/>
          <w:bCs/>
          <w:color w:val="000000"/>
          <w:kern w:val="0"/>
          <w:sz w:val="32"/>
          <w:szCs w:val="32"/>
          <w:lang w:val="zh-CN" w:eastAsia="zh-CN"/>
        </w:rPr>
      </w:pPr>
      <w:r>
        <w:rPr>
          <w:rFonts w:hint="eastAsia" w:ascii="仿宋" w:hAnsi="仿宋" w:eastAsia="仿宋"/>
          <w:bCs/>
          <w:color w:val="000000"/>
          <w:kern w:val="0"/>
          <w:sz w:val="32"/>
          <w:szCs w:val="32"/>
          <w:lang w:val="zh-CN"/>
        </w:rPr>
        <w:t xml:space="preserve">    </w:t>
      </w:r>
      <w:r>
        <w:rPr>
          <w:rFonts w:hint="eastAsia" w:ascii="仿宋" w:hAnsi="仿宋" w:eastAsia="仿宋"/>
          <w:bCs/>
          <w:color w:val="000000"/>
          <w:kern w:val="0"/>
          <w:sz w:val="32"/>
          <w:szCs w:val="32"/>
          <w:lang w:val="zh-CN" w:eastAsia="zh-CN"/>
        </w:rPr>
        <w:t>6.指导协调和监督全市生态保护修复工作。组织编制和监督实施生态保护规划，监督对生态环境有影响的自然资源开发利用活动、重要生态环境建设和生态破坏恢复工作。组织、指导生态示范创建工作。组织制定全市各类自然保护地生态环境监管制度并监督执法，承担自然保护地、生态保护红线相关监管工作。监督野生动植物保护、湿地生态环境保护、荒漠化防治等工作。指导协调和监督全市农村生态环境保护，监督生物技术环境安全，牵头生物物种（含遗传资源）工作，组织协调生物多样性保护工作，参与生态保护补偿工作。</w:t>
      </w:r>
    </w:p>
    <w:p>
      <w:pPr>
        <w:spacing w:line="640" w:lineRule="exact"/>
        <w:rPr>
          <w:rFonts w:hint="eastAsia" w:ascii="仿宋" w:hAnsi="仿宋" w:eastAsia="仿宋"/>
          <w:bCs/>
          <w:color w:val="000000"/>
          <w:kern w:val="0"/>
          <w:sz w:val="32"/>
          <w:szCs w:val="32"/>
          <w:lang w:val="zh-CN" w:eastAsia="zh-CN"/>
        </w:rPr>
      </w:pPr>
      <w:r>
        <w:rPr>
          <w:rFonts w:hint="eastAsia" w:ascii="仿宋" w:hAnsi="仿宋" w:eastAsia="仿宋"/>
          <w:bCs/>
          <w:color w:val="000000"/>
          <w:kern w:val="0"/>
          <w:sz w:val="32"/>
          <w:szCs w:val="32"/>
          <w:lang w:val="zh-CN"/>
        </w:rPr>
        <w:t xml:space="preserve">    </w:t>
      </w:r>
      <w:r>
        <w:rPr>
          <w:rFonts w:hint="eastAsia" w:ascii="仿宋" w:hAnsi="仿宋" w:eastAsia="仿宋"/>
          <w:bCs/>
          <w:color w:val="000000"/>
          <w:kern w:val="0"/>
          <w:sz w:val="32"/>
          <w:szCs w:val="32"/>
          <w:lang w:val="zh-CN" w:eastAsia="zh-CN"/>
        </w:rPr>
        <w:t>7.负责全市核与辐射安全的监督管理。贯彻执行国家、省核与辐射安全法律、法规、规章、政策、规划和技术标准。负责辐射环境事故应急处理工作，参与核事故应急处理。监督管理放射源与射线装置安全，监督管理全市核技术应用、电磁辐射、伴有放射性矿产资源开发利用中的污染防治。负责核与辐射建设项目“三同时”（同时设计、同时施工、同时投产使用）管理工作，参与核设施安全、核设施污染防治监督管理相关工作，参与对核材料的管制和民用核安全设备的设计、制造、安装和无损检验活动的监督管理。负责核与辐射环境监测和执法工作。参与反生化、核与辐射恐怖事件的防范和处理。</w:t>
      </w:r>
    </w:p>
    <w:p>
      <w:pPr>
        <w:spacing w:line="640" w:lineRule="exact"/>
        <w:rPr>
          <w:rFonts w:hint="eastAsia" w:ascii="仿宋" w:hAnsi="仿宋" w:eastAsia="仿宋"/>
          <w:bCs/>
          <w:color w:val="000000"/>
          <w:kern w:val="0"/>
          <w:sz w:val="32"/>
          <w:szCs w:val="32"/>
          <w:lang w:val="zh-CN" w:eastAsia="zh-CN"/>
        </w:rPr>
      </w:pPr>
      <w:r>
        <w:rPr>
          <w:rFonts w:hint="eastAsia" w:ascii="仿宋" w:hAnsi="仿宋" w:eastAsia="仿宋"/>
          <w:bCs/>
          <w:color w:val="000000"/>
          <w:kern w:val="0"/>
          <w:sz w:val="32"/>
          <w:szCs w:val="32"/>
          <w:lang w:val="zh-CN"/>
        </w:rPr>
        <w:t xml:space="preserve">    </w:t>
      </w:r>
      <w:r>
        <w:rPr>
          <w:rFonts w:hint="eastAsia" w:ascii="仿宋" w:hAnsi="仿宋" w:eastAsia="仿宋"/>
          <w:bCs/>
          <w:color w:val="000000"/>
          <w:kern w:val="0"/>
          <w:sz w:val="32"/>
          <w:szCs w:val="32"/>
          <w:lang w:val="zh-CN" w:eastAsia="zh-CN"/>
        </w:rPr>
        <w:t>8.负责全市生态环境准入的监督管理。受市政府委托对重大经济和技术政策、发展规划以及重大经济开发计划进行环境影响评价。按规定审批或审查重大开发建设区域、规划、项目环境影响评价文件。拟订并组织实施全市生态环境准入清单。</w:t>
      </w:r>
    </w:p>
    <w:p>
      <w:pPr>
        <w:spacing w:line="640" w:lineRule="exact"/>
        <w:rPr>
          <w:rFonts w:hint="eastAsia" w:ascii="仿宋" w:hAnsi="仿宋" w:eastAsia="仿宋"/>
          <w:bCs/>
          <w:color w:val="000000"/>
          <w:kern w:val="0"/>
          <w:sz w:val="32"/>
          <w:szCs w:val="32"/>
          <w:lang w:val="zh-CN" w:eastAsia="zh-CN"/>
        </w:rPr>
      </w:pPr>
      <w:r>
        <w:rPr>
          <w:rFonts w:hint="eastAsia" w:ascii="仿宋" w:hAnsi="仿宋" w:eastAsia="仿宋"/>
          <w:bCs/>
          <w:color w:val="000000"/>
          <w:kern w:val="0"/>
          <w:sz w:val="32"/>
          <w:szCs w:val="32"/>
          <w:lang w:val="zh-CN"/>
        </w:rPr>
        <w:t xml:space="preserve">    </w:t>
      </w:r>
      <w:r>
        <w:rPr>
          <w:rFonts w:hint="eastAsia" w:ascii="仿宋" w:hAnsi="仿宋" w:eastAsia="仿宋"/>
          <w:bCs/>
          <w:color w:val="000000"/>
          <w:kern w:val="0"/>
          <w:sz w:val="32"/>
          <w:szCs w:val="32"/>
          <w:lang w:val="zh-CN" w:eastAsia="zh-CN"/>
        </w:rPr>
        <w:t>9.负责全市生态环境监测、统计和信息发布工作。监督执行国家、省颁布的各类环境标准，负责全市环境监测制度和规范相关工作。会同有关部门统一规划全市生态环境质量监测站点设置，组织实施生态环境质量监测、污染源监督性监测、温室气体减排监测、应急监测。组织对全市生态环境质量状况进行调查评价、预警预测，组织建设和管理全市生态环境监测网和生态环境信息网。负责全市生态环境质量考核和生态环境统计工作。建立和实行生态环境质量公告制度，统一发布全市生态环境综合性报告和重大环境信息。</w:t>
      </w:r>
    </w:p>
    <w:p>
      <w:pPr>
        <w:spacing w:line="640" w:lineRule="exact"/>
        <w:rPr>
          <w:rFonts w:hint="eastAsia" w:ascii="仿宋" w:hAnsi="仿宋" w:eastAsia="仿宋"/>
          <w:bCs/>
          <w:color w:val="000000"/>
          <w:kern w:val="0"/>
          <w:sz w:val="32"/>
          <w:szCs w:val="32"/>
          <w:lang w:val="zh-CN" w:eastAsia="zh-CN"/>
        </w:rPr>
      </w:pPr>
      <w:r>
        <w:rPr>
          <w:rFonts w:hint="eastAsia" w:ascii="仿宋" w:hAnsi="仿宋" w:eastAsia="仿宋"/>
          <w:bCs/>
          <w:color w:val="000000"/>
          <w:kern w:val="0"/>
          <w:sz w:val="32"/>
          <w:szCs w:val="32"/>
          <w:lang w:val="zh-CN"/>
        </w:rPr>
        <w:t xml:space="preserve">    </w:t>
      </w:r>
      <w:r>
        <w:rPr>
          <w:rFonts w:hint="eastAsia" w:ascii="仿宋" w:hAnsi="仿宋" w:eastAsia="仿宋"/>
          <w:bCs/>
          <w:color w:val="000000"/>
          <w:kern w:val="0"/>
          <w:sz w:val="32"/>
          <w:szCs w:val="32"/>
          <w:lang w:val="zh-CN" w:eastAsia="zh-CN"/>
        </w:rPr>
        <w:t>10.负责应对气候变化工作。组织实施国家、省应对气候变化及温室气体减排重大战略、规划和政策，组织拟订全市应对气候变化的规划和政策措施。</w:t>
      </w:r>
    </w:p>
    <w:p>
      <w:pPr>
        <w:spacing w:line="640" w:lineRule="exact"/>
        <w:rPr>
          <w:rFonts w:hint="eastAsia" w:ascii="仿宋" w:hAnsi="仿宋" w:eastAsia="仿宋"/>
          <w:bCs/>
          <w:color w:val="000000"/>
          <w:kern w:val="0"/>
          <w:sz w:val="32"/>
          <w:szCs w:val="32"/>
          <w:lang w:val="zh-CN" w:eastAsia="zh-CN"/>
        </w:rPr>
      </w:pPr>
      <w:r>
        <w:rPr>
          <w:rFonts w:hint="eastAsia" w:ascii="仿宋" w:hAnsi="仿宋" w:eastAsia="仿宋"/>
          <w:bCs/>
          <w:color w:val="000000"/>
          <w:kern w:val="0"/>
          <w:sz w:val="32"/>
          <w:szCs w:val="32"/>
          <w:lang w:val="zh-CN"/>
        </w:rPr>
        <w:t xml:space="preserve">    </w:t>
      </w:r>
      <w:r>
        <w:rPr>
          <w:rFonts w:hint="eastAsia" w:ascii="仿宋" w:hAnsi="仿宋" w:eastAsia="仿宋"/>
          <w:bCs/>
          <w:color w:val="000000"/>
          <w:kern w:val="0"/>
          <w:sz w:val="32"/>
          <w:szCs w:val="32"/>
          <w:lang w:val="zh-CN" w:eastAsia="zh-CN"/>
        </w:rPr>
        <w:t>11.组织开展市级生态环境保护督察和监察。拟订市级生态环境保护督察和监察制度，组织协调市级生态环境保护督察和监察工作，根据授权对各县（区）、各有关部门贯彻落实中央、省、市生态环境保护决策部署情况进行督察和监察。</w:t>
      </w:r>
    </w:p>
    <w:p>
      <w:pPr>
        <w:spacing w:line="640" w:lineRule="exact"/>
        <w:rPr>
          <w:rFonts w:hint="eastAsia" w:ascii="仿宋" w:hAnsi="仿宋" w:eastAsia="仿宋"/>
          <w:bCs/>
          <w:color w:val="000000"/>
          <w:kern w:val="0"/>
          <w:sz w:val="32"/>
          <w:szCs w:val="32"/>
          <w:lang w:val="zh-CN" w:eastAsia="zh-CN"/>
        </w:rPr>
      </w:pPr>
      <w:r>
        <w:rPr>
          <w:rFonts w:hint="eastAsia" w:ascii="仿宋" w:hAnsi="仿宋" w:eastAsia="仿宋"/>
          <w:bCs/>
          <w:color w:val="000000"/>
          <w:kern w:val="0"/>
          <w:sz w:val="32"/>
          <w:szCs w:val="32"/>
          <w:lang w:val="zh-CN"/>
        </w:rPr>
        <w:t xml:space="preserve">    </w:t>
      </w:r>
      <w:r>
        <w:rPr>
          <w:rFonts w:hint="eastAsia" w:ascii="仿宋" w:hAnsi="仿宋" w:eastAsia="仿宋"/>
          <w:bCs/>
          <w:color w:val="000000"/>
          <w:kern w:val="0"/>
          <w:sz w:val="32"/>
          <w:szCs w:val="32"/>
          <w:lang w:val="zh-CN" w:eastAsia="zh-CN"/>
        </w:rPr>
        <w:t>12.负责生态环境保护领域的综合行政执法工作。组织开展全市生态环境保护执法检查。监督实施全市建设项目生态环境保护设施“三同时”制度。查处全市重大生态环境违法问题。负责全市生态环境保护综合执法队伍建设并指导开展业务工作。</w:t>
      </w:r>
    </w:p>
    <w:p>
      <w:pPr>
        <w:spacing w:line="640" w:lineRule="exact"/>
        <w:rPr>
          <w:rFonts w:hint="eastAsia" w:ascii="仿宋" w:hAnsi="仿宋" w:eastAsia="仿宋"/>
          <w:bCs/>
          <w:color w:val="000000"/>
          <w:kern w:val="0"/>
          <w:sz w:val="32"/>
          <w:szCs w:val="32"/>
          <w:lang w:val="zh-CN" w:eastAsia="zh-CN"/>
        </w:rPr>
      </w:pPr>
      <w:r>
        <w:rPr>
          <w:rFonts w:hint="eastAsia" w:ascii="仿宋" w:hAnsi="仿宋" w:eastAsia="仿宋"/>
          <w:bCs/>
          <w:color w:val="000000"/>
          <w:kern w:val="0"/>
          <w:sz w:val="32"/>
          <w:szCs w:val="32"/>
          <w:lang w:val="zh-CN"/>
        </w:rPr>
        <w:t xml:space="preserve">    </w:t>
      </w:r>
      <w:r>
        <w:rPr>
          <w:rFonts w:hint="eastAsia" w:ascii="仿宋" w:hAnsi="仿宋" w:eastAsia="仿宋"/>
          <w:bCs/>
          <w:color w:val="000000"/>
          <w:kern w:val="0"/>
          <w:sz w:val="32"/>
          <w:szCs w:val="32"/>
          <w:lang w:val="zh-CN" w:eastAsia="zh-CN"/>
        </w:rPr>
        <w:t>13.组织指导和协调全市生态环境宣传教育工作。制定并组织实施全市生态环境保护宣传教育有关规划和计划。推动社会组织和公众参与生态环境保护。会同有关部门依法对全市保护和改善生态环境有显著成绩的单位和个人给予表彰和奖励。</w:t>
      </w:r>
    </w:p>
    <w:p>
      <w:pPr>
        <w:spacing w:line="640" w:lineRule="exact"/>
        <w:rPr>
          <w:rFonts w:hint="eastAsia" w:ascii="仿宋" w:hAnsi="仿宋" w:eastAsia="仿宋"/>
          <w:bCs/>
          <w:color w:val="000000"/>
          <w:kern w:val="0"/>
          <w:sz w:val="32"/>
          <w:szCs w:val="32"/>
          <w:lang w:val="zh-CN" w:eastAsia="zh-CN"/>
        </w:rPr>
      </w:pPr>
      <w:r>
        <w:rPr>
          <w:rFonts w:hint="eastAsia" w:ascii="仿宋" w:hAnsi="仿宋" w:eastAsia="仿宋"/>
          <w:bCs/>
          <w:color w:val="000000"/>
          <w:kern w:val="0"/>
          <w:sz w:val="32"/>
          <w:szCs w:val="32"/>
          <w:lang w:val="zh-CN"/>
        </w:rPr>
        <w:t xml:space="preserve">    </w:t>
      </w:r>
      <w:r>
        <w:rPr>
          <w:rFonts w:hint="eastAsia" w:ascii="仿宋" w:hAnsi="仿宋" w:eastAsia="仿宋"/>
          <w:bCs/>
          <w:color w:val="000000"/>
          <w:kern w:val="0"/>
          <w:sz w:val="32"/>
          <w:szCs w:val="32"/>
          <w:lang w:val="zh-CN" w:eastAsia="zh-CN"/>
        </w:rPr>
        <w:t>14.开展全市生态环境科技工作。管理全市生态环境保护科技成果并推广应用。组织开展全市生态环境重大科学研究和技术工程示范，推动生态环境技术管理体系建设。</w:t>
      </w:r>
    </w:p>
    <w:p>
      <w:pPr>
        <w:spacing w:line="640" w:lineRule="exact"/>
        <w:rPr>
          <w:rFonts w:hint="eastAsia" w:ascii="仿宋" w:hAnsi="仿宋" w:eastAsia="仿宋"/>
          <w:bCs/>
          <w:color w:val="000000"/>
          <w:kern w:val="0"/>
          <w:sz w:val="32"/>
          <w:szCs w:val="32"/>
          <w:lang w:val="zh-CN" w:eastAsia="zh-CN"/>
        </w:rPr>
      </w:pPr>
      <w:r>
        <w:rPr>
          <w:rFonts w:hint="eastAsia" w:ascii="仿宋" w:hAnsi="仿宋" w:eastAsia="仿宋"/>
          <w:bCs/>
          <w:color w:val="000000"/>
          <w:kern w:val="0"/>
          <w:sz w:val="32"/>
          <w:szCs w:val="32"/>
          <w:lang w:val="zh-CN"/>
        </w:rPr>
        <w:t xml:space="preserve">    </w:t>
      </w:r>
      <w:r>
        <w:rPr>
          <w:rFonts w:hint="eastAsia" w:ascii="仿宋" w:hAnsi="仿宋" w:eastAsia="仿宋"/>
          <w:bCs/>
          <w:color w:val="000000"/>
          <w:kern w:val="0"/>
          <w:sz w:val="32"/>
          <w:szCs w:val="32"/>
          <w:lang w:val="zh-CN" w:eastAsia="zh-CN"/>
        </w:rPr>
        <w:t>15.开展生态环境对外交流与合作。参与协调市内重要生态环境保护国际活动和区域合作，管理全市生态环境系统对外经济合作，参与处理涉外生态环境保护事务，负责与环境保护国际组织的联系工作。</w:t>
      </w:r>
    </w:p>
    <w:p>
      <w:pPr>
        <w:spacing w:line="640" w:lineRule="exact"/>
        <w:rPr>
          <w:rFonts w:hint="eastAsia" w:ascii="仿宋" w:hAnsi="仿宋" w:eastAsia="仿宋"/>
          <w:bCs/>
          <w:color w:val="000000"/>
          <w:kern w:val="0"/>
          <w:sz w:val="32"/>
          <w:szCs w:val="32"/>
          <w:lang w:val="zh-CN" w:eastAsia="zh-CN"/>
        </w:rPr>
      </w:pPr>
      <w:r>
        <w:rPr>
          <w:rFonts w:hint="eastAsia" w:ascii="仿宋" w:hAnsi="仿宋" w:eastAsia="仿宋"/>
          <w:bCs/>
          <w:color w:val="000000"/>
          <w:kern w:val="0"/>
          <w:sz w:val="32"/>
          <w:szCs w:val="32"/>
          <w:lang w:val="zh-CN"/>
        </w:rPr>
        <w:t xml:space="preserve">    </w:t>
      </w:r>
      <w:r>
        <w:rPr>
          <w:rFonts w:hint="eastAsia" w:ascii="仿宋" w:hAnsi="仿宋" w:eastAsia="仿宋"/>
          <w:bCs/>
          <w:color w:val="000000"/>
          <w:kern w:val="0"/>
          <w:sz w:val="32"/>
          <w:szCs w:val="32"/>
          <w:lang w:val="zh-CN" w:eastAsia="zh-CN"/>
        </w:rPr>
        <w:t>16.负责职责范围内安全生产和职业健康、审批服务便民化等工作。</w:t>
      </w:r>
    </w:p>
    <w:p>
      <w:pPr>
        <w:spacing w:line="640" w:lineRule="exact"/>
        <w:rPr>
          <w:rFonts w:hint="eastAsia" w:ascii="仿宋" w:hAnsi="仿宋" w:eastAsia="仿宋"/>
          <w:bCs/>
          <w:color w:val="000000"/>
          <w:kern w:val="0"/>
          <w:sz w:val="32"/>
          <w:szCs w:val="32"/>
          <w:lang w:val="zh-CN" w:eastAsia="zh-CN"/>
        </w:rPr>
      </w:pPr>
      <w:r>
        <w:rPr>
          <w:rFonts w:hint="eastAsia" w:ascii="仿宋" w:hAnsi="仿宋" w:eastAsia="仿宋"/>
          <w:bCs/>
          <w:color w:val="000000"/>
          <w:kern w:val="0"/>
          <w:sz w:val="32"/>
          <w:szCs w:val="32"/>
          <w:lang w:val="zh-CN"/>
        </w:rPr>
        <w:t xml:space="preserve">    </w:t>
      </w:r>
      <w:r>
        <w:rPr>
          <w:rFonts w:hint="eastAsia" w:ascii="仿宋" w:hAnsi="仿宋" w:eastAsia="仿宋"/>
          <w:bCs/>
          <w:color w:val="000000"/>
          <w:kern w:val="0"/>
          <w:sz w:val="32"/>
          <w:szCs w:val="32"/>
          <w:lang w:val="zh-CN" w:eastAsia="zh-CN"/>
        </w:rPr>
        <w:t>17.完成市委、市政府和省生态环境厅交办的其他任务。</w:t>
      </w:r>
    </w:p>
    <w:p>
      <w:pPr>
        <w:pStyle w:val="6"/>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18.职能转变。统一行使全市生态和城乡各类污染排放监管职责，按照国家、省确定的综合行政执法改革要求实施与此对应的行政执法职责，统一负责全市生态环境质量监测、调查评价和考核，切实履行监管责任，加强事中事后监管，全面落实大气、水、土壤污染防治行动计划，强化固体废物、化学品、重金属污染防治监督管理。构建政府为主导、企业为主体、社会组织和公众共同参与的生态环境治理体系，实施最严格的生态环境保护制度，严守生态保护红线和环境质量底线，坚决打好污染防治攻坚战，筑牢长江上游生态屏障，保障生态安全。</w:t>
      </w:r>
    </w:p>
    <w:p>
      <w:pPr>
        <w:pStyle w:val="6"/>
        <w:adjustRightInd w:val="0"/>
        <w:snapToGrid w:val="0"/>
        <w:spacing w:before="93" w:line="600" w:lineRule="exact"/>
        <w:ind w:firstLine="672" w:firstLineChars="210"/>
        <w:outlineLvl w:val="2"/>
        <w:rPr>
          <w:rFonts w:hint="eastAsia" w:ascii="仿宋" w:hAnsi="仿宋" w:eastAsia="仿宋"/>
          <w:bCs/>
          <w:color w:val="000000"/>
          <w:sz w:val="32"/>
          <w:szCs w:val="32"/>
          <w:lang w:eastAsia="zh-CN"/>
        </w:rPr>
      </w:pPr>
      <w:bookmarkStart w:id="18" w:name="_Toc15377199"/>
      <w:bookmarkStart w:id="19" w:name="_Toc15378446"/>
      <w:r>
        <w:rPr>
          <w:rFonts w:hint="eastAsia" w:ascii="仿宋" w:hAnsi="仿宋" w:eastAsia="仿宋"/>
          <w:bCs/>
          <w:color w:val="000000"/>
          <w:sz w:val="32"/>
          <w:szCs w:val="32"/>
        </w:rPr>
        <w:t>（二）</w:t>
      </w:r>
      <w:r>
        <w:rPr>
          <w:rFonts w:ascii="仿宋" w:hAnsi="仿宋" w:eastAsia="仿宋"/>
          <w:bCs/>
          <w:color w:val="000000"/>
          <w:sz w:val="32"/>
          <w:szCs w:val="32"/>
        </w:rPr>
        <w:t>2020</w:t>
      </w:r>
      <w:r>
        <w:rPr>
          <w:rFonts w:hint="eastAsia" w:ascii="仿宋" w:hAnsi="仿宋" w:eastAsia="仿宋"/>
          <w:bCs/>
          <w:color w:val="000000"/>
          <w:sz w:val="32"/>
          <w:szCs w:val="32"/>
        </w:rPr>
        <w:t>年重点工作完成情况。</w:t>
      </w:r>
      <w:bookmarkEnd w:id="18"/>
      <w:bookmarkEnd w:id="19"/>
    </w:p>
    <w:p>
      <w:pPr>
        <w:numPr>
          <w:ilvl w:val="0"/>
          <w:numId w:val="1"/>
        </w:numPr>
        <w:snapToGrid w:val="0"/>
        <w:spacing w:line="576" w:lineRule="exact"/>
        <w:ind w:firstLine="640" w:firstLineChars="200"/>
        <w:rPr>
          <w:rFonts w:ascii="仿宋" w:hAnsi="仿宋" w:eastAsia="仿宋"/>
          <w:bCs/>
          <w:color w:val="000000"/>
          <w:kern w:val="0"/>
          <w:sz w:val="32"/>
          <w:szCs w:val="32"/>
          <w:lang w:val="zh-CN" w:eastAsia="zh-CN"/>
        </w:rPr>
      </w:pPr>
      <w:r>
        <w:rPr>
          <w:rFonts w:ascii="仿宋" w:hAnsi="仿宋" w:eastAsia="仿宋"/>
          <w:bCs/>
          <w:color w:val="000000"/>
          <w:kern w:val="0"/>
          <w:sz w:val="32"/>
          <w:szCs w:val="32"/>
          <w:lang w:val="zh-CN" w:eastAsia="zh-CN"/>
        </w:rPr>
        <w:t>强化政治引领，党的建设持续深入。</w:t>
      </w:r>
    </w:p>
    <w:p>
      <w:pPr>
        <w:pStyle w:val="29"/>
        <w:snapToGrid w:val="0"/>
        <w:spacing w:line="576" w:lineRule="exact"/>
        <w:ind w:firstLine="663"/>
        <w:rPr>
          <w:rFonts w:hAnsi="仿宋" w:cs="Times New Roman"/>
          <w:bCs/>
          <w:sz w:val="32"/>
          <w:szCs w:val="32"/>
          <w:lang w:val="zh-CN" w:eastAsia="zh-CN"/>
        </w:rPr>
      </w:pPr>
      <w:r>
        <w:rPr>
          <w:rFonts w:hAnsi="仿宋" w:cs="Times New Roman"/>
          <w:bCs/>
          <w:sz w:val="32"/>
          <w:szCs w:val="32"/>
          <w:lang w:val="zh-CN" w:eastAsia="zh-CN"/>
        </w:rPr>
        <w:t>一是上树政治“高线”。出台全市生态环境系统加强业务能力建设实施方案，明确9项措施27方面任务。开展“四好班子”（政治坚定好、组织机制好、担当作为好、清正廉洁好）和“四强队伍”（专业素质强、发展创新强、执行能力强、发挥表率强）建设，具化成36个方面134项措施，采取“清单制+责任制”管理。</w:t>
      </w:r>
    </w:p>
    <w:p>
      <w:pPr>
        <w:spacing w:line="576" w:lineRule="exact"/>
        <w:ind w:firstLine="640" w:firstLineChars="200"/>
        <w:rPr>
          <w:rFonts w:ascii="仿宋" w:hAnsi="仿宋" w:eastAsia="仿宋"/>
          <w:bCs/>
          <w:color w:val="000000"/>
          <w:kern w:val="0"/>
          <w:sz w:val="32"/>
          <w:szCs w:val="32"/>
          <w:lang w:val="zh-CN" w:eastAsia="zh-CN"/>
        </w:rPr>
      </w:pPr>
      <w:r>
        <w:rPr>
          <w:rFonts w:ascii="仿宋" w:hAnsi="仿宋" w:eastAsia="仿宋"/>
          <w:bCs/>
          <w:color w:val="000000"/>
          <w:kern w:val="0"/>
          <w:sz w:val="32"/>
          <w:szCs w:val="32"/>
          <w:lang w:val="zh-CN" w:eastAsia="zh-CN"/>
        </w:rPr>
        <w:t>二是中立干部“坐标”。补齐3名局班子成员，提拔18名、调任1名在抗击疫情、基层执法、污染防治攻坚战和援藏援彝等工作中表现突出、堪当重任的优秀同志。注重多岗历练，县区执法大队负责人全部轮岗交流，选派8名优秀年轻干部到生态环境厅、企业、藏区彝区、县区挂职、顶岗锻炼。引进高层次、紧缺专业人才9名，优化队伍年龄和专业结构。组织系统“素质提升大讲堂”、综合业务培训，与河海大学联合举办绿色发展专题培训班，达到强整治、提能力、铸铁军的目的。开展全系统2020年度业务标兵和岗位能手评选创建活动，激发干事活力。7名同志因工作成绩突出被环境部或生态环境厅通报表扬，7名同志被生态环境厅评选为岗位能手。</w:t>
      </w:r>
    </w:p>
    <w:p>
      <w:pPr>
        <w:pStyle w:val="29"/>
        <w:spacing w:line="576" w:lineRule="exact"/>
        <w:ind w:firstLine="640" w:firstLineChars="200"/>
        <w:rPr>
          <w:rFonts w:hAnsi="仿宋" w:cs="Times New Roman"/>
          <w:bCs/>
          <w:sz w:val="32"/>
          <w:szCs w:val="32"/>
          <w:lang w:val="zh-CN" w:eastAsia="zh-CN"/>
        </w:rPr>
      </w:pPr>
      <w:r>
        <w:rPr>
          <w:rFonts w:hAnsi="仿宋" w:cs="Times New Roman"/>
          <w:bCs/>
          <w:sz w:val="32"/>
          <w:szCs w:val="32"/>
          <w:lang w:val="zh-CN" w:eastAsia="zh-CN"/>
        </w:rPr>
        <w:t>三是下划廉洁“底线”。将党风廉政工作与业务工作同部署、同安排，认真查找岗位廉政风险点，强化日常管理和监督。印发《攀枝花市生态环境系统领导干部政务工作要求》，确定12方面行为准则。深化廉政教育。开展新任职干部集体廉政谈话、“公务活动中的廉政问题”讲座等工作。实现全系统在编干部出国（境）手续统一管理审批全覆盖。</w:t>
      </w:r>
    </w:p>
    <w:p>
      <w:pPr>
        <w:snapToGrid w:val="0"/>
        <w:spacing w:line="576" w:lineRule="exact"/>
        <w:ind w:firstLine="640" w:firstLineChars="200"/>
        <w:rPr>
          <w:rFonts w:ascii="仿宋" w:hAnsi="仿宋" w:eastAsia="仿宋"/>
          <w:bCs/>
          <w:color w:val="000000"/>
          <w:kern w:val="0"/>
          <w:sz w:val="32"/>
          <w:szCs w:val="32"/>
          <w:lang w:val="zh-CN" w:eastAsia="zh-CN"/>
        </w:rPr>
      </w:pPr>
      <w:r>
        <w:rPr>
          <w:rFonts w:ascii="仿宋" w:hAnsi="仿宋" w:eastAsia="仿宋"/>
          <w:bCs/>
          <w:color w:val="000000"/>
          <w:kern w:val="0"/>
          <w:sz w:val="32"/>
          <w:szCs w:val="32"/>
          <w:lang w:val="zh-CN" w:eastAsia="zh-CN"/>
        </w:rPr>
        <w:t>2．围绕中心大局，全力助推经济高质量发展。</w:t>
      </w:r>
    </w:p>
    <w:p>
      <w:pPr>
        <w:spacing w:line="576" w:lineRule="exact"/>
        <w:ind w:firstLine="640" w:firstLineChars="200"/>
        <w:rPr>
          <w:rFonts w:ascii="仿宋" w:hAnsi="仿宋" w:eastAsia="仿宋"/>
          <w:bCs/>
          <w:color w:val="000000"/>
          <w:kern w:val="0"/>
          <w:sz w:val="32"/>
          <w:szCs w:val="32"/>
          <w:lang w:val="zh-CN" w:eastAsia="zh-CN"/>
        </w:rPr>
      </w:pPr>
      <w:r>
        <w:rPr>
          <w:rFonts w:ascii="仿宋" w:hAnsi="仿宋" w:eastAsia="仿宋"/>
          <w:bCs/>
          <w:color w:val="000000"/>
          <w:kern w:val="0"/>
          <w:sz w:val="32"/>
          <w:szCs w:val="32"/>
          <w:lang w:val="zh-CN" w:eastAsia="zh-CN"/>
        </w:rPr>
        <w:t>一是做精项目包装。编制《攀枝花市融入成渝地区双城经济圈建设的生态环境路径研究报告》，部分研究成果被纳入全省《推动成渝地区双城经济圈生态环境共建共治研究报告》。梳理全市融入成渝地区双城经济圈“四重”清单项目、“十四五”生态环境规划项目、“三年行动计划”（四川省巩固污染防治攻坚战成果、提升生态环境治理体系和治理能力现代化水平三年行动计划）项目165个。生态环境厅环保资金项目储备库项目28个，攀枝花市大河流域水生态环境综合整治项目等21个项目进入省级环境保护项目储备库。</w:t>
      </w:r>
    </w:p>
    <w:p>
      <w:pPr>
        <w:spacing w:line="576" w:lineRule="exact"/>
        <w:ind w:firstLine="640" w:firstLineChars="200"/>
        <w:rPr>
          <w:rFonts w:ascii="仿宋" w:hAnsi="仿宋" w:eastAsia="仿宋"/>
          <w:bCs/>
          <w:color w:val="000000"/>
          <w:kern w:val="0"/>
          <w:sz w:val="32"/>
          <w:szCs w:val="32"/>
          <w:lang w:val="zh-CN" w:eastAsia="zh-CN"/>
        </w:rPr>
      </w:pPr>
      <w:r>
        <w:rPr>
          <w:rFonts w:ascii="仿宋" w:hAnsi="仿宋" w:eastAsia="仿宋"/>
          <w:bCs/>
          <w:color w:val="000000"/>
          <w:kern w:val="0"/>
          <w:sz w:val="32"/>
          <w:szCs w:val="32"/>
          <w:lang w:val="zh-CN" w:eastAsia="zh-CN"/>
        </w:rPr>
        <w:t>二是搭建融资平台。初步建立与市农行和农发行合作机制、定期召开座谈会，面对面对接，破解融资难题。向“两行”提交全市生态环境基础设施建设融资需求项目9个，融资需求26.09亿元。市农发行加大对涉生态环境项目贷款发放力度，截至10月，已支持涉及园区污水治理、流域水环境整治等项目8个，获批金额17.79亿元。全市生活污水ppp项目已和交通银行达成15亿元融资协议。</w:t>
      </w:r>
    </w:p>
    <w:p>
      <w:pPr>
        <w:spacing w:line="576" w:lineRule="exact"/>
        <w:ind w:firstLine="640" w:firstLineChars="200"/>
        <w:rPr>
          <w:rFonts w:ascii="仿宋" w:hAnsi="仿宋" w:eastAsia="仿宋"/>
          <w:bCs/>
          <w:color w:val="000000"/>
          <w:kern w:val="0"/>
          <w:sz w:val="32"/>
          <w:szCs w:val="32"/>
          <w:lang w:val="zh-CN" w:eastAsia="zh-CN"/>
        </w:rPr>
      </w:pPr>
      <w:r>
        <w:rPr>
          <w:rFonts w:ascii="仿宋" w:hAnsi="仿宋" w:eastAsia="仿宋"/>
          <w:bCs/>
          <w:color w:val="000000"/>
          <w:kern w:val="0"/>
          <w:sz w:val="32"/>
          <w:szCs w:val="32"/>
          <w:lang w:val="zh-CN" w:eastAsia="zh-CN"/>
        </w:rPr>
        <w:t>三是做优环评审批。聚焦“三个一批”，环评审批提质增效。将10大类30小类登记表项目纳入环评豁免管理。将17大类44小类项目纳入环评承诺制审批范围。对2类满足条件的项目简化办理程序，环评审批时间压缩一半以上。</w:t>
      </w:r>
    </w:p>
    <w:p>
      <w:pPr>
        <w:spacing w:line="576" w:lineRule="exact"/>
        <w:ind w:firstLine="640" w:firstLineChars="200"/>
        <w:rPr>
          <w:rFonts w:ascii="仿宋" w:hAnsi="仿宋" w:eastAsia="仿宋"/>
          <w:bCs/>
          <w:color w:val="000000"/>
          <w:kern w:val="0"/>
          <w:sz w:val="32"/>
          <w:szCs w:val="32"/>
          <w:lang w:val="zh-CN" w:eastAsia="zh-CN"/>
        </w:rPr>
      </w:pPr>
      <w:r>
        <w:rPr>
          <w:rFonts w:ascii="仿宋" w:hAnsi="仿宋" w:eastAsia="仿宋"/>
          <w:bCs/>
          <w:color w:val="000000"/>
          <w:kern w:val="0"/>
          <w:sz w:val="32"/>
          <w:szCs w:val="32"/>
          <w:lang w:val="zh-CN" w:eastAsia="zh-CN"/>
        </w:rPr>
        <w:t>四是做实企业服务。按照一个项目一位领导、一位专家、一个工作人员的专班模式，服务全市重点项目，在全省率先为项目“量身定制”环评解决方案。将89家企业纳入执法正面清单。61家企业免于现场执法检查。运用视频监控、无人机巡查等远程执法方式检查企业311家次，现场监管频次同比减少33%。免除行政处罚2件，涉及金额6万元。积极推进攀西职业学院南校区选址，节约土地详查费用200余万元，将项目时间压缩了半年以上。</w:t>
      </w:r>
    </w:p>
    <w:p>
      <w:pPr>
        <w:snapToGrid w:val="0"/>
        <w:spacing w:line="576" w:lineRule="exact"/>
        <w:ind w:firstLine="640" w:firstLineChars="200"/>
        <w:rPr>
          <w:rFonts w:ascii="仿宋" w:hAnsi="仿宋" w:eastAsia="仿宋"/>
          <w:bCs/>
          <w:color w:val="000000"/>
          <w:kern w:val="0"/>
          <w:sz w:val="32"/>
          <w:szCs w:val="32"/>
          <w:lang w:val="zh-CN" w:eastAsia="zh-CN"/>
        </w:rPr>
      </w:pPr>
      <w:r>
        <w:rPr>
          <w:rFonts w:ascii="仿宋" w:hAnsi="仿宋" w:eastAsia="仿宋"/>
          <w:bCs/>
          <w:color w:val="000000"/>
          <w:kern w:val="0"/>
          <w:sz w:val="32"/>
          <w:szCs w:val="32"/>
          <w:lang w:val="zh-CN" w:eastAsia="zh-CN"/>
        </w:rPr>
        <w:t>3</w:t>
      </w:r>
      <w:r>
        <w:rPr>
          <w:rFonts w:hint="eastAsia" w:ascii="仿宋" w:hAnsi="仿宋" w:eastAsia="仿宋"/>
          <w:bCs/>
          <w:color w:val="000000"/>
          <w:kern w:val="0"/>
          <w:sz w:val="32"/>
          <w:szCs w:val="32"/>
          <w:lang w:val="zh-CN" w:eastAsia="zh-CN"/>
        </w:rPr>
        <w:t>．</w:t>
      </w:r>
      <w:r>
        <w:rPr>
          <w:rFonts w:ascii="仿宋" w:hAnsi="仿宋" w:eastAsia="仿宋"/>
          <w:bCs/>
          <w:color w:val="000000"/>
          <w:kern w:val="0"/>
          <w:sz w:val="32"/>
          <w:szCs w:val="32"/>
          <w:lang w:val="zh-CN" w:eastAsia="zh-CN"/>
        </w:rPr>
        <w:t>突出科学精准，坚决打赢污染防治攻坚战。</w:t>
      </w:r>
    </w:p>
    <w:p>
      <w:pPr>
        <w:pStyle w:val="30"/>
        <w:spacing w:line="576" w:lineRule="exact"/>
        <w:ind w:firstLine="640"/>
        <w:rPr>
          <w:rFonts w:ascii="仿宋" w:hAnsi="仿宋" w:eastAsia="仿宋"/>
          <w:bCs/>
          <w:color w:val="000000"/>
          <w:kern w:val="0"/>
          <w:sz w:val="32"/>
          <w:szCs w:val="32"/>
          <w:lang w:val="zh-CN" w:eastAsia="zh-CN"/>
        </w:rPr>
      </w:pPr>
      <w:r>
        <w:rPr>
          <w:rFonts w:ascii="仿宋" w:hAnsi="仿宋" w:eastAsia="仿宋"/>
          <w:bCs/>
          <w:color w:val="000000"/>
          <w:kern w:val="0"/>
          <w:sz w:val="32"/>
          <w:szCs w:val="32"/>
          <w:lang w:val="zh-CN" w:eastAsia="zh-CN"/>
        </w:rPr>
        <w:t>一是突出源头防控，开展精准治污。</w:t>
      </w:r>
    </w:p>
    <w:p>
      <w:pPr>
        <w:spacing w:line="576" w:lineRule="exact"/>
        <w:ind w:firstLine="640" w:firstLineChars="200"/>
        <w:rPr>
          <w:rFonts w:ascii="仿宋" w:hAnsi="仿宋" w:eastAsia="仿宋"/>
          <w:bCs/>
          <w:color w:val="000000"/>
          <w:kern w:val="0"/>
          <w:sz w:val="32"/>
          <w:szCs w:val="32"/>
          <w:lang w:val="zh-CN" w:eastAsia="zh-CN"/>
        </w:rPr>
      </w:pPr>
      <w:r>
        <w:rPr>
          <w:rFonts w:ascii="仿宋" w:hAnsi="仿宋" w:eastAsia="仿宋"/>
          <w:bCs/>
          <w:color w:val="000000"/>
          <w:kern w:val="0"/>
          <w:sz w:val="32"/>
          <w:szCs w:val="32"/>
          <w:lang w:val="zh-CN" w:eastAsia="zh-CN"/>
        </w:rPr>
        <w:t>坚持减煤、治源、控车、抑尘、禁燃“五控”治气。春季严控细颗粒物、夏季聚焦臭氧污染防控和雨季逆温天气应对。根据颗粒物源解析结果，精准管控各区域重点污染源。保障了全市环境空气质量。</w:t>
      </w:r>
    </w:p>
    <w:p>
      <w:pPr>
        <w:spacing w:line="576" w:lineRule="exact"/>
        <w:ind w:firstLine="640" w:firstLineChars="200"/>
        <w:rPr>
          <w:rFonts w:ascii="仿宋" w:hAnsi="仿宋" w:eastAsia="仿宋"/>
          <w:bCs/>
          <w:color w:val="000000"/>
          <w:kern w:val="0"/>
          <w:sz w:val="32"/>
          <w:szCs w:val="32"/>
          <w:lang w:val="zh-CN" w:eastAsia="zh-CN"/>
        </w:rPr>
      </w:pPr>
      <w:r>
        <w:rPr>
          <w:rFonts w:ascii="仿宋" w:hAnsi="仿宋" w:eastAsia="仿宋"/>
          <w:bCs/>
          <w:color w:val="000000"/>
          <w:kern w:val="0"/>
          <w:sz w:val="32"/>
          <w:szCs w:val="32"/>
          <w:lang w:val="zh-CN" w:eastAsia="zh-CN"/>
        </w:rPr>
        <w:t>坚持工业、生活、农业农村同步治水。完成全市125个入河排污口整治、86座加油站地下油罐防渗改造。完成3家黄磷企业环境综合整治，提前完成“三磷”专项排查整治任务。争取</w:t>
      </w:r>
      <w:r>
        <w:rPr>
          <w:rFonts w:hint="eastAsia" w:ascii="仿宋" w:hAnsi="仿宋" w:eastAsia="仿宋"/>
          <w:bCs/>
          <w:color w:val="000000"/>
          <w:kern w:val="0"/>
          <w:sz w:val="32"/>
          <w:szCs w:val="32"/>
          <w:lang w:val="zh-CN" w:eastAsia="zh-CN"/>
        </w:rPr>
        <w:t>以奖代补资金</w:t>
      </w:r>
      <w:r>
        <w:rPr>
          <w:rFonts w:ascii="仿宋" w:hAnsi="仿宋" w:eastAsia="仿宋"/>
          <w:bCs/>
          <w:color w:val="000000"/>
          <w:kern w:val="0"/>
          <w:sz w:val="32"/>
          <w:szCs w:val="32"/>
          <w:lang w:val="zh-CN" w:eastAsia="zh-CN"/>
        </w:rPr>
        <w:t>600万元</w:t>
      </w:r>
      <w:r>
        <w:rPr>
          <w:rFonts w:hint="eastAsia" w:ascii="仿宋" w:hAnsi="仿宋" w:eastAsia="仿宋"/>
          <w:bCs/>
          <w:color w:val="000000"/>
          <w:kern w:val="0"/>
          <w:sz w:val="32"/>
          <w:szCs w:val="32"/>
          <w:lang w:val="zh-CN" w:eastAsia="zh-CN"/>
        </w:rPr>
        <w:t>完成</w:t>
      </w:r>
      <w:r>
        <w:rPr>
          <w:rFonts w:ascii="仿宋" w:hAnsi="仿宋" w:eastAsia="仿宋"/>
          <w:bCs/>
          <w:color w:val="000000"/>
          <w:kern w:val="0"/>
          <w:sz w:val="32"/>
          <w:szCs w:val="32"/>
          <w:lang w:val="zh-CN" w:eastAsia="zh-CN"/>
        </w:rPr>
        <w:t>27个行政村农村生活污水治理“千村示范工程”项目。实施5个乡镇级集中式饮用水水源地规范化建设，完成全市乡镇及以下级集中式饮用水水源地环境问题整治，全力保障饮用水安全。</w:t>
      </w:r>
    </w:p>
    <w:p>
      <w:pPr>
        <w:spacing w:line="576" w:lineRule="exact"/>
        <w:ind w:firstLine="640" w:firstLineChars="200"/>
        <w:rPr>
          <w:rFonts w:hint="eastAsia" w:ascii="仿宋" w:hAnsi="仿宋" w:eastAsia="仿宋"/>
          <w:bCs/>
          <w:color w:val="000000"/>
          <w:kern w:val="0"/>
          <w:sz w:val="32"/>
          <w:szCs w:val="32"/>
          <w:lang w:val="zh-CN"/>
        </w:rPr>
      </w:pPr>
      <w:r>
        <w:rPr>
          <w:rFonts w:ascii="仿宋" w:hAnsi="仿宋" w:eastAsia="仿宋"/>
          <w:bCs/>
          <w:color w:val="000000"/>
          <w:kern w:val="0"/>
          <w:sz w:val="32"/>
          <w:szCs w:val="32"/>
          <w:lang w:val="zh-CN" w:eastAsia="zh-CN"/>
        </w:rPr>
        <w:t>坚持分类、分行业、分区域管土。完成全市耕地质量类别划分工作，轻中度污染耕地安全利用40653亩、严格管控5471亩。积极推进疑似污染地块土壤环境初步调查工作，完成82个疑似污染地块的场地调查。</w:t>
      </w:r>
      <w:r>
        <w:rPr>
          <w:rFonts w:hint="eastAsia" w:ascii="仿宋" w:hAnsi="仿宋" w:eastAsia="仿宋"/>
          <w:bCs/>
          <w:color w:val="000000"/>
          <w:kern w:val="0"/>
          <w:sz w:val="32"/>
          <w:szCs w:val="32"/>
          <w:lang w:val="zh-CN"/>
        </w:rPr>
        <w:t>完成东区、仁和区重金属省控区域退出工作。</w:t>
      </w:r>
    </w:p>
    <w:p>
      <w:pPr>
        <w:spacing w:line="576" w:lineRule="exact"/>
        <w:ind w:firstLine="640" w:firstLineChars="200"/>
        <w:rPr>
          <w:rFonts w:ascii="仿宋" w:hAnsi="仿宋" w:eastAsia="仿宋"/>
          <w:bCs/>
          <w:color w:val="000000"/>
          <w:kern w:val="0"/>
          <w:sz w:val="32"/>
          <w:szCs w:val="32"/>
          <w:lang w:val="zh-CN" w:eastAsia="zh-CN"/>
        </w:rPr>
      </w:pPr>
      <w:r>
        <w:rPr>
          <w:rFonts w:ascii="仿宋" w:hAnsi="仿宋" w:eastAsia="仿宋"/>
          <w:bCs/>
          <w:color w:val="000000"/>
          <w:kern w:val="0"/>
          <w:sz w:val="32"/>
          <w:szCs w:val="32"/>
          <w:lang w:val="zh-CN" w:eastAsia="zh-CN"/>
        </w:rPr>
        <w:t>二是强化科技支撑，推动科学治污。邀请中国环境保护科学研究院专家团队驻点攀枝花开展长江生态环境保护修研究。委托四川省环境科学研究院开展颗粒物源解析工作，形成研究报告3篇。与攀枝花学院签订战略合作协议，成功申报2个省级科研课题。实施安宁河攀枝花段水生态环境问题及对策措施专项研究。在全省第一批开展固定污染源自动监测监控建设，完成238个点位设备安装，基本实现省、市、县数据实时共享。目前，我市在线监控数据传输有效率达 99.27%，位列全省第三。推进环境信息化省市县三级统筹项目建设，已基本实现网格化监管、应急管理等6项功能。新建1个水质自动监测站、9个国标法小型空气站、1个非甲烷总烃在线监测站。</w:t>
      </w:r>
    </w:p>
    <w:p>
      <w:pPr>
        <w:snapToGrid w:val="0"/>
        <w:spacing w:line="576" w:lineRule="exact"/>
        <w:ind w:firstLine="640" w:firstLineChars="200"/>
        <w:rPr>
          <w:rFonts w:ascii="仿宋" w:hAnsi="仿宋" w:eastAsia="仿宋"/>
          <w:bCs/>
          <w:color w:val="000000"/>
          <w:kern w:val="0"/>
          <w:sz w:val="32"/>
          <w:szCs w:val="32"/>
          <w:lang w:val="zh-CN" w:eastAsia="zh-CN"/>
        </w:rPr>
      </w:pPr>
      <w:r>
        <w:rPr>
          <w:rFonts w:ascii="仿宋" w:hAnsi="仿宋" w:eastAsia="仿宋"/>
          <w:bCs/>
          <w:color w:val="000000"/>
          <w:kern w:val="0"/>
          <w:sz w:val="32"/>
          <w:szCs w:val="32"/>
          <w:lang w:val="zh-CN" w:eastAsia="zh-CN"/>
        </w:rPr>
        <w:t>4</w:t>
      </w:r>
      <w:r>
        <w:rPr>
          <w:rFonts w:hint="eastAsia" w:ascii="仿宋" w:hAnsi="仿宋" w:eastAsia="仿宋"/>
          <w:bCs/>
          <w:color w:val="000000"/>
          <w:kern w:val="0"/>
          <w:sz w:val="32"/>
          <w:szCs w:val="32"/>
          <w:lang w:val="zh-CN" w:eastAsia="zh-CN"/>
        </w:rPr>
        <w:t>．</w:t>
      </w:r>
      <w:r>
        <w:rPr>
          <w:rFonts w:ascii="仿宋" w:hAnsi="仿宋" w:eastAsia="仿宋"/>
          <w:bCs/>
          <w:color w:val="000000"/>
          <w:kern w:val="0"/>
          <w:sz w:val="32"/>
          <w:szCs w:val="32"/>
          <w:lang w:val="zh-CN" w:eastAsia="zh-CN"/>
        </w:rPr>
        <w:t>压紧压实责任，推动督察发现问题整改。</w:t>
      </w:r>
    </w:p>
    <w:p>
      <w:pPr>
        <w:spacing w:line="576" w:lineRule="exact"/>
        <w:ind w:firstLine="640" w:firstLineChars="200"/>
        <w:rPr>
          <w:rFonts w:ascii="仿宋" w:hAnsi="仿宋" w:eastAsia="仿宋"/>
          <w:bCs/>
          <w:color w:val="000000"/>
          <w:kern w:val="0"/>
          <w:sz w:val="32"/>
          <w:szCs w:val="32"/>
          <w:lang w:val="zh-CN" w:eastAsia="zh-CN"/>
        </w:rPr>
      </w:pPr>
      <w:r>
        <w:rPr>
          <w:rFonts w:ascii="仿宋" w:hAnsi="仿宋" w:eastAsia="仿宋"/>
          <w:bCs/>
          <w:color w:val="000000"/>
          <w:kern w:val="0"/>
          <w:sz w:val="32"/>
          <w:szCs w:val="32"/>
          <w:lang w:val="zh-CN" w:eastAsia="zh-CN"/>
        </w:rPr>
        <w:t>强化突出生态环境问题整改督导，建立督察整改调度通报机制，对重点整改项目实施周调度。印发《关于加快推进生态环保督察和长江经济带生态环境问题整改及销号工作的提醒函》，全面梳理整改、销号任务清单，督促相关责任单位全力做好整改收官工作，确保各项整改任务按期完成。截至目前，我市生态环保督察和长江经济带生态环境问题整改工作有序推进，无逾期未完成的情况。</w:t>
      </w:r>
    </w:p>
    <w:p>
      <w:pPr>
        <w:snapToGrid w:val="0"/>
        <w:spacing w:line="576" w:lineRule="exact"/>
        <w:ind w:firstLine="640" w:firstLineChars="200"/>
        <w:rPr>
          <w:rFonts w:ascii="仿宋" w:hAnsi="仿宋" w:eastAsia="仿宋"/>
          <w:bCs/>
          <w:color w:val="000000"/>
          <w:kern w:val="0"/>
          <w:sz w:val="32"/>
          <w:szCs w:val="32"/>
          <w:lang w:val="zh-CN" w:eastAsia="zh-CN"/>
        </w:rPr>
      </w:pPr>
      <w:r>
        <w:rPr>
          <w:rFonts w:ascii="仿宋" w:hAnsi="仿宋" w:eastAsia="仿宋"/>
          <w:bCs/>
          <w:color w:val="000000"/>
          <w:kern w:val="0"/>
          <w:sz w:val="32"/>
          <w:szCs w:val="32"/>
          <w:lang w:val="zh-CN" w:eastAsia="zh-CN"/>
        </w:rPr>
        <w:t>5．强基础提能力，持续提升综合治理水平。</w:t>
      </w:r>
    </w:p>
    <w:p>
      <w:pPr>
        <w:pStyle w:val="14"/>
        <w:widowControl/>
        <w:spacing w:before="0" w:beforeAutospacing="0" w:after="0" w:afterAutospacing="0" w:line="576" w:lineRule="exact"/>
        <w:ind w:firstLine="640" w:firstLineChars="200"/>
        <w:jc w:val="both"/>
        <w:rPr>
          <w:rFonts w:ascii="仿宋" w:hAnsi="仿宋" w:eastAsia="仿宋"/>
          <w:bCs/>
          <w:color w:val="000000"/>
          <w:sz w:val="32"/>
          <w:szCs w:val="32"/>
          <w:lang w:val="zh-CN" w:eastAsia="zh-CN"/>
        </w:rPr>
      </w:pPr>
      <w:r>
        <w:rPr>
          <w:rFonts w:ascii="仿宋" w:hAnsi="仿宋" w:eastAsia="仿宋"/>
          <w:bCs/>
          <w:color w:val="000000"/>
          <w:sz w:val="32"/>
          <w:szCs w:val="32"/>
          <w:lang w:val="zh-CN" w:eastAsia="zh-CN"/>
        </w:rPr>
        <w:t>提前系统谋划 “十四五”生态环境规划编制。与四川省环境政策研究与规划院联合成立“十四五”生态环境规划编制工作组，明确工作职责、工作进度，结合我市实际确定融入成渝地区双城经济圈生态环境规划、“双城”建设生态环境保护规划等6个专项规划编制内容。广泛征集人民群众对规划编制的意见和建议，并反馈编制单位。完成攀枝花市“十四五”生态环境规划初稿。</w:t>
      </w:r>
    </w:p>
    <w:p>
      <w:pPr>
        <w:widowControl/>
        <w:spacing w:line="576" w:lineRule="exact"/>
        <w:ind w:firstLine="640" w:firstLineChars="200"/>
        <w:rPr>
          <w:rFonts w:ascii="仿宋" w:hAnsi="仿宋" w:eastAsia="仿宋"/>
          <w:bCs/>
          <w:color w:val="000000"/>
          <w:kern w:val="0"/>
          <w:sz w:val="32"/>
          <w:szCs w:val="32"/>
          <w:lang w:val="zh-CN" w:eastAsia="zh-CN"/>
        </w:rPr>
      </w:pPr>
      <w:r>
        <w:rPr>
          <w:rFonts w:ascii="仿宋" w:hAnsi="仿宋" w:eastAsia="仿宋"/>
          <w:bCs/>
          <w:color w:val="000000"/>
          <w:kern w:val="0"/>
          <w:sz w:val="32"/>
          <w:szCs w:val="32"/>
          <w:lang w:val="zh-CN" w:eastAsia="zh-CN"/>
        </w:rPr>
        <w:t>严格执法监管，守好生态底线。开展工业粉尘散排专项执法整治等专项行动。70 余家企业安装在线监测设备 、用电监控点，56 家企业安装视频监控点，加强对重点污染源环境违法行为的监管。截至2020年12月10日，立案35件，下达处罚决定20件，处罚金额227.28万元，实施查封扣押1件。</w:t>
      </w:r>
    </w:p>
    <w:p>
      <w:pPr>
        <w:pStyle w:val="5"/>
        <w:spacing w:line="576" w:lineRule="exact"/>
        <w:ind w:firstLine="640" w:firstLineChars="200"/>
        <w:rPr>
          <w:rFonts w:ascii="仿宋" w:hAnsi="仿宋" w:eastAsia="仿宋"/>
          <w:bCs/>
          <w:color w:val="000000"/>
          <w:kern w:val="0"/>
          <w:sz w:val="32"/>
          <w:szCs w:val="32"/>
          <w:lang w:val="zh-CN" w:eastAsia="zh-CN"/>
        </w:rPr>
      </w:pPr>
      <w:r>
        <w:rPr>
          <w:rFonts w:ascii="仿宋" w:hAnsi="仿宋" w:eastAsia="仿宋"/>
          <w:bCs/>
          <w:color w:val="000000"/>
          <w:kern w:val="0"/>
          <w:sz w:val="32"/>
          <w:szCs w:val="32"/>
          <w:lang w:val="zh-CN" w:eastAsia="zh-CN"/>
        </w:rPr>
        <w:t>加强环境风险防控。预投资227余万元采购快速检测设备、无人机（船）等执法装备，强化执法装备建设。开展全市突发环境安全事件应急演练，提升应急处突能力。开展辐射安全专项行动，检查企业28家。审批辐射安全许可事项30件。全年无辐射事故发生。</w:t>
      </w:r>
    </w:p>
    <w:p>
      <w:pPr>
        <w:widowControl/>
        <w:spacing w:line="576" w:lineRule="exact"/>
        <w:ind w:firstLine="640" w:firstLineChars="200"/>
        <w:rPr>
          <w:rFonts w:ascii="仿宋" w:hAnsi="仿宋" w:eastAsia="仿宋"/>
          <w:bCs/>
          <w:color w:val="000000"/>
          <w:kern w:val="0"/>
          <w:sz w:val="32"/>
          <w:szCs w:val="32"/>
          <w:lang w:val="zh-CN" w:eastAsia="zh-CN"/>
        </w:rPr>
      </w:pPr>
      <w:r>
        <w:rPr>
          <w:rFonts w:ascii="仿宋" w:hAnsi="仿宋" w:eastAsia="仿宋"/>
          <w:bCs/>
          <w:color w:val="000000"/>
          <w:kern w:val="0"/>
          <w:sz w:val="32"/>
          <w:szCs w:val="32"/>
          <w:lang w:val="zh-CN" w:eastAsia="zh-CN"/>
        </w:rPr>
        <w:t>打好疫情防控战役。成立临时党支部驻点中节能公司，及时规范处置涉疫医疗废物1.19吨。检查医疗卫生机构、医疗废物处置单位、饮用水源地等重要点位201家次，并开展应急监测工作，为疫情防控提供数据支撑，保障疫情期间全市环境安全。《战“疫”一线党旗红，担当有为做先锋，四川攀枝花市生态环境局党员干部危难时刻显忠诚》被《中国环境报》《四川生态环境》全文刊发、转发。</w:t>
      </w:r>
    </w:p>
    <w:p>
      <w:pPr>
        <w:spacing w:line="576" w:lineRule="exact"/>
        <w:ind w:firstLine="640" w:firstLineChars="200"/>
        <w:rPr>
          <w:rFonts w:ascii="仿宋" w:hAnsi="仿宋" w:eastAsia="仿宋"/>
          <w:bCs/>
          <w:color w:val="000000"/>
          <w:kern w:val="0"/>
          <w:sz w:val="32"/>
          <w:szCs w:val="32"/>
          <w:lang w:val="zh-CN" w:eastAsia="zh-CN"/>
        </w:rPr>
      </w:pPr>
      <w:r>
        <w:rPr>
          <w:rFonts w:ascii="仿宋" w:hAnsi="仿宋" w:eastAsia="仿宋"/>
          <w:bCs/>
          <w:color w:val="000000"/>
          <w:kern w:val="0"/>
          <w:sz w:val="32"/>
          <w:szCs w:val="32"/>
          <w:lang w:val="zh-CN" w:eastAsia="zh-CN"/>
        </w:rPr>
        <w:t>推动绿色生产生活。积极组织开展“环保宣传下乡”“六·五宣传”等环保主题宣传活动，发放环保宣传资料5000余份。充分发挥新媒体矩阵作用，微信微博推送环保信息2048条。在攀枝花广播电台开设《说说环保那些事儿》专栏，宣传环保知识23期。开展环保设施向公众开放活动20余次，邀请人大代表、政协委员、市民代表现场参观环境管理和污染治理设施。增进公众对环保工作的认识，保障了公众对环保工作的知情权和监督权。</w:t>
      </w:r>
    </w:p>
    <w:p>
      <w:pPr>
        <w:widowControl/>
        <w:spacing w:line="576" w:lineRule="exact"/>
        <w:ind w:firstLine="640" w:firstLineChars="200"/>
        <w:rPr>
          <w:rFonts w:hint="eastAsia" w:ascii="仿宋" w:hAnsi="仿宋" w:eastAsia="仿宋"/>
          <w:bCs/>
          <w:color w:val="000000"/>
          <w:kern w:val="0"/>
          <w:sz w:val="32"/>
          <w:szCs w:val="32"/>
          <w:lang w:val="zh-CN"/>
        </w:rPr>
      </w:pPr>
      <w:r>
        <w:rPr>
          <w:rFonts w:ascii="仿宋" w:hAnsi="仿宋" w:eastAsia="仿宋"/>
          <w:bCs/>
          <w:color w:val="000000"/>
          <w:kern w:val="0"/>
          <w:sz w:val="32"/>
          <w:szCs w:val="32"/>
          <w:lang w:val="zh-CN" w:eastAsia="zh-CN"/>
        </w:rPr>
        <w:t>优化完善攀枝花市“三线一单”工作。</w:t>
      </w:r>
      <w:r>
        <w:rPr>
          <w:rFonts w:hint="eastAsia" w:ascii="仿宋" w:hAnsi="仿宋" w:eastAsia="仿宋"/>
          <w:bCs/>
          <w:color w:val="000000"/>
          <w:kern w:val="0"/>
          <w:sz w:val="32"/>
          <w:szCs w:val="32"/>
          <w:lang w:val="zh-CN"/>
        </w:rPr>
        <w:t>已</w:t>
      </w:r>
      <w:r>
        <w:rPr>
          <w:rFonts w:ascii="仿宋" w:hAnsi="仿宋" w:eastAsia="仿宋"/>
          <w:bCs/>
          <w:color w:val="000000"/>
          <w:kern w:val="0"/>
          <w:sz w:val="32"/>
          <w:szCs w:val="32"/>
          <w:lang w:val="zh-CN" w:eastAsia="zh-CN"/>
        </w:rPr>
        <w:t>初步建立“三线一单”生态环境分区管控体系。实现全市固定污染源排污许可全覆盖。截至9月20日，完成全市1248家排污单位的许可证核发和登记。圆满完成第二次全国污染源普查工作。市生态环境局、米易生态环境局、仁和生态环境局被国务院第二次全国污染源普查领导小组办公室评为表现突出集体。</w:t>
      </w:r>
    </w:p>
    <w:p>
      <w:pPr>
        <w:pStyle w:val="3"/>
        <w:rPr>
          <w:rStyle w:val="20"/>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0"/>
          <w:rFonts w:hint="eastAsia" w:ascii="黑体" w:hAnsi="黑体" w:eastAsia="黑体"/>
          <w:b w:val="0"/>
          <w:bCs w:val="0"/>
        </w:rPr>
        <w:t>构设置</w:t>
      </w:r>
      <w:bookmarkEnd w:id="20"/>
      <w:bookmarkEnd w:id="21"/>
    </w:p>
    <w:p>
      <w:pPr>
        <w:ind w:firstLine="800" w:firstLineChars="250"/>
        <w:rPr>
          <w:rFonts w:ascii="仿宋" w:hAnsi="仿宋" w:eastAsia="仿宋"/>
          <w:sz w:val="32"/>
          <w:szCs w:val="32"/>
        </w:rPr>
      </w:pPr>
      <w:r>
        <w:rPr>
          <w:rFonts w:hint="eastAsia" w:ascii="仿宋" w:hAnsi="仿宋" w:eastAsia="仿宋"/>
          <w:sz w:val="32"/>
          <w:szCs w:val="32"/>
        </w:rPr>
        <w:t>市生态环境局下属二级单位6个，其中行政单位1个，参照公务员法管理的事业单位</w:t>
      </w:r>
      <w:r>
        <w:rPr>
          <w:rFonts w:hint="eastAsia" w:ascii="仿宋" w:hAnsi="仿宋" w:eastAsia="仿宋"/>
          <w:bCs/>
          <w:sz w:val="32"/>
          <w:szCs w:val="32"/>
        </w:rPr>
        <w:t>1</w:t>
      </w:r>
      <w:r>
        <w:rPr>
          <w:rFonts w:hint="eastAsia" w:ascii="仿宋" w:hAnsi="仿宋" w:eastAsia="仿宋"/>
          <w:sz w:val="32"/>
          <w:szCs w:val="32"/>
        </w:rPr>
        <w:t>个（财务未独立），其他事业单位4个（3个财务未独立）。</w:t>
      </w:r>
    </w:p>
    <w:p>
      <w:pPr>
        <w:pStyle w:val="6"/>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w:t>
      </w:r>
      <w:r>
        <w:rPr>
          <w:rFonts w:hint="eastAsia" w:ascii="仿宋" w:hAnsi="仿宋" w:eastAsia="仿宋"/>
          <w:color w:val="000000"/>
          <w:sz w:val="32"/>
          <w:szCs w:val="32"/>
          <w:lang w:eastAsia="zh-CN"/>
        </w:rPr>
        <w:t>市生态环境局</w:t>
      </w:r>
      <w:r>
        <w:rPr>
          <w:rFonts w:ascii="仿宋" w:hAnsi="仿宋" w:eastAsia="仿宋"/>
          <w:color w:val="000000"/>
          <w:sz w:val="32"/>
          <w:szCs w:val="32"/>
        </w:rPr>
        <w:t>2020</w:t>
      </w:r>
      <w:r>
        <w:rPr>
          <w:rFonts w:hint="eastAsia" w:ascii="仿宋" w:hAnsi="仿宋" w:eastAsia="仿宋"/>
          <w:color w:val="000000"/>
          <w:sz w:val="32"/>
          <w:szCs w:val="32"/>
        </w:rPr>
        <w:t>年度部门决算编制范围的二级预算单位包括：</w:t>
      </w:r>
    </w:p>
    <w:p>
      <w:pPr>
        <w:pStyle w:val="6"/>
        <w:numPr>
          <w:ilvl w:val="0"/>
          <w:numId w:val="2"/>
        </w:numPr>
        <w:spacing w:before="93" w:line="640" w:lineRule="exact"/>
        <w:rPr>
          <w:rFonts w:hint="eastAsia" w:ascii="仿宋" w:hAnsi="仿宋" w:eastAsia="仿宋"/>
          <w:kern w:val="2"/>
          <w:sz w:val="32"/>
          <w:szCs w:val="32"/>
          <w:lang w:val="en-US" w:eastAsia="zh-CN"/>
        </w:rPr>
      </w:pPr>
      <w:bookmarkStart w:id="22" w:name="_Toc15306276"/>
      <w:bookmarkStart w:id="23" w:name="_Toc15378449"/>
      <w:bookmarkStart w:id="24" w:name="_Toc15377433"/>
      <w:bookmarkStart w:id="25" w:name="_Toc15377202"/>
      <w:r>
        <w:rPr>
          <w:rFonts w:hint="eastAsia" w:ascii="仿宋" w:hAnsi="仿宋" w:eastAsia="仿宋"/>
          <w:kern w:val="2"/>
          <w:sz w:val="32"/>
          <w:szCs w:val="32"/>
          <w:lang w:val="en-US" w:eastAsia="zh-CN"/>
        </w:rPr>
        <w:t>攀枝花市生态环境局</w:t>
      </w:r>
      <w:bookmarkEnd w:id="22"/>
      <w:bookmarkEnd w:id="23"/>
      <w:bookmarkEnd w:id="24"/>
      <w:bookmarkEnd w:id="25"/>
    </w:p>
    <w:p>
      <w:pPr>
        <w:widowControl/>
        <w:jc w:val="left"/>
        <w:rPr>
          <w:rFonts w:hint="eastAsia" w:ascii="仿宋" w:hAnsi="仿宋" w:eastAsia="仿宋"/>
          <w:color w:val="000000"/>
          <w:sz w:val="32"/>
          <w:szCs w:val="32"/>
        </w:rPr>
      </w:pPr>
    </w:p>
    <w:p>
      <w:pPr>
        <w:widowControl/>
        <w:jc w:val="left"/>
        <w:rPr>
          <w:rFonts w:hint="eastAsia" w:ascii="仿宋" w:hAnsi="仿宋" w:eastAsia="仿宋"/>
          <w:color w:val="000000"/>
          <w:sz w:val="32"/>
          <w:szCs w:val="32"/>
        </w:rPr>
      </w:pPr>
    </w:p>
    <w:p>
      <w:pPr>
        <w:widowControl/>
        <w:jc w:val="left"/>
        <w:rPr>
          <w:rFonts w:hint="eastAsia" w:ascii="仿宋" w:hAnsi="仿宋" w:eastAsia="仿宋"/>
          <w:color w:val="000000"/>
          <w:kern w:val="0"/>
          <w:sz w:val="32"/>
          <w:szCs w:val="32"/>
        </w:rPr>
      </w:pPr>
    </w:p>
    <w:p>
      <w:pPr>
        <w:widowControl/>
        <w:jc w:val="left"/>
        <w:rPr>
          <w:rFonts w:hint="eastAsia" w:ascii="仿宋" w:hAnsi="仿宋" w:eastAsia="仿宋"/>
          <w:color w:val="000000"/>
          <w:kern w:val="0"/>
          <w:sz w:val="32"/>
          <w:szCs w:val="32"/>
        </w:rPr>
      </w:pPr>
    </w:p>
    <w:p>
      <w:pPr>
        <w:widowControl/>
        <w:jc w:val="left"/>
        <w:rPr>
          <w:rFonts w:hint="eastAsia" w:ascii="仿宋" w:hAnsi="仿宋" w:eastAsia="仿宋"/>
          <w:color w:val="000000"/>
          <w:kern w:val="0"/>
          <w:sz w:val="32"/>
          <w:szCs w:val="32"/>
        </w:rPr>
      </w:pPr>
    </w:p>
    <w:p>
      <w:pPr>
        <w:widowControl/>
        <w:jc w:val="left"/>
        <w:rPr>
          <w:rFonts w:hint="eastAsia" w:ascii="仿宋" w:hAnsi="仿宋" w:eastAsia="仿宋"/>
          <w:color w:val="000000"/>
          <w:kern w:val="0"/>
          <w:sz w:val="32"/>
          <w:szCs w:val="32"/>
        </w:rPr>
      </w:pPr>
    </w:p>
    <w:p>
      <w:pPr>
        <w:widowControl/>
        <w:jc w:val="left"/>
        <w:rPr>
          <w:rFonts w:hint="eastAsia" w:ascii="仿宋" w:hAnsi="仿宋" w:eastAsia="仿宋"/>
          <w:color w:val="000000"/>
          <w:kern w:val="0"/>
          <w:sz w:val="32"/>
          <w:szCs w:val="32"/>
        </w:rPr>
      </w:pPr>
    </w:p>
    <w:p>
      <w:pPr>
        <w:widowControl/>
        <w:jc w:val="left"/>
        <w:rPr>
          <w:rFonts w:hint="eastAsia" w:ascii="仿宋" w:hAnsi="仿宋" w:eastAsia="仿宋"/>
          <w:color w:val="000000"/>
          <w:kern w:val="0"/>
          <w:sz w:val="32"/>
          <w:szCs w:val="32"/>
        </w:rPr>
      </w:pPr>
    </w:p>
    <w:p>
      <w:pPr>
        <w:widowControl/>
        <w:jc w:val="left"/>
        <w:rPr>
          <w:rFonts w:hint="eastAsia" w:ascii="仿宋" w:hAnsi="仿宋" w:eastAsia="仿宋"/>
          <w:color w:val="000000"/>
          <w:kern w:val="0"/>
          <w:sz w:val="32"/>
          <w:szCs w:val="32"/>
        </w:rPr>
      </w:pPr>
    </w:p>
    <w:p>
      <w:pPr>
        <w:widowControl/>
        <w:jc w:val="left"/>
        <w:rPr>
          <w:rFonts w:ascii="仿宋" w:hAnsi="仿宋" w:eastAsia="仿宋"/>
          <w:color w:val="000000"/>
          <w:kern w:val="0"/>
          <w:sz w:val="32"/>
          <w:szCs w:val="32"/>
        </w:rPr>
      </w:pPr>
    </w:p>
    <w:p>
      <w:pPr>
        <w:pStyle w:val="2"/>
        <w:ind w:right="440"/>
        <w:jc w:val="right"/>
        <w:rPr>
          <w:rStyle w:val="19"/>
          <w:rFonts w:ascii="黑体" w:hAnsi="黑体" w:eastAsia="黑体"/>
          <w:b w:val="0"/>
          <w:bCs w:val="0"/>
        </w:rPr>
      </w:pPr>
      <w:bookmarkStart w:id="26" w:name="_Toc15396602"/>
      <w:bookmarkStart w:id="27" w:name="_Toc15377204"/>
      <w:r>
        <w:rPr>
          <w:rFonts w:hint="eastAsia" w:ascii="黑体" w:hAnsi="黑体" w:eastAsia="黑体"/>
          <w:b w:val="0"/>
          <w:color w:val="000000"/>
        </w:rPr>
        <w:t>第二部分</w:t>
      </w:r>
      <w:r>
        <w:rPr>
          <w:rFonts w:ascii="黑体" w:hAnsi="黑体" w:eastAsia="黑体"/>
          <w:color w:val="000000"/>
        </w:rPr>
        <w:t xml:space="preserve"> </w:t>
      </w:r>
      <w:r>
        <w:rPr>
          <w:rStyle w:val="19"/>
          <w:rFonts w:ascii="黑体" w:hAnsi="黑体" w:eastAsia="黑体"/>
          <w:b w:val="0"/>
          <w:bCs w:val="0"/>
        </w:rPr>
        <w:t>2020</w:t>
      </w:r>
      <w:r>
        <w:rPr>
          <w:rStyle w:val="19"/>
          <w:rFonts w:hint="eastAsia" w:ascii="黑体" w:hAnsi="黑体" w:eastAsia="黑体"/>
          <w:b w:val="0"/>
          <w:bCs w:val="0"/>
        </w:rPr>
        <w:t>年度部门决算情况说明</w:t>
      </w:r>
      <w:bookmarkEnd w:id="26"/>
      <w:bookmarkEnd w:id="27"/>
    </w:p>
    <w:p/>
    <w:p>
      <w:pPr>
        <w:pStyle w:val="30"/>
        <w:numPr>
          <w:ilvl w:val="0"/>
          <w:numId w:val="3"/>
        </w:numPr>
        <w:spacing w:line="600" w:lineRule="exact"/>
        <w:ind w:firstLineChars="0"/>
        <w:outlineLvl w:val="1"/>
        <w:rPr>
          <w:rStyle w:val="20"/>
          <w:rFonts w:ascii="黑体" w:hAnsi="黑体" w:eastAsia="黑体"/>
          <w:b w:val="0"/>
        </w:rPr>
      </w:pPr>
      <w:bookmarkStart w:id="28" w:name="_Toc15396603"/>
      <w:bookmarkStart w:id="29" w:name="_Toc15377205"/>
      <w:r>
        <w:rPr>
          <w:rFonts w:hint="eastAsia" w:ascii="黑体" w:hAnsi="黑体" w:eastAsia="黑体"/>
          <w:color w:val="000000"/>
          <w:sz w:val="32"/>
          <w:szCs w:val="32"/>
        </w:rPr>
        <w:t>收</w:t>
      </w:r>
      <w:r>
        <w:rPr>
          <w:rStyle w:val="20"/>
          <w:rFonts w:hint="eastAsia" w:ascii="黑体" w:hAnsi="黑体" w:eastAsia="黑体"/>
          <w:b w:val="0"/>
        </w:rPr>
        <w:t>入支出决算总体情况说明</w:t>
      </w:r>
      <w:bookmarkEnd w:id="28"/>
      <w:bookmarkEnd w:id="29"/>
    </w:p>
    <w:p>
      <w:pPr>
        <w:spacing w:line="60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年度收、支总计9637.05万元。与</w:t>
      </w:r>
      <w:r>
        <w:rPr>
          <w:rFonts w:ascii="仿宋" w:hAnsi="仿宋" w:eastAsia="仿宋"/>
          <w:color w:val="000000"/>
          <w:sz w:val="32"/>
          <w:szCs w:val="32"/>
        </w:rPr>
        <w:t>2019</w:t>
      </w:r>
      <w:r>
        <w:rPr>
          <w:rFonts w:hint="eastAsia" w:ascii="仿宋" w:hAnsi="仿宋" w:eastAsia="仿宋"/>
          <w:color w:val="000000"/>
          <w:sz w:val="32"/>
          <w:szCs w:val="32"/>
        </w:rPr>
        <w:t>年相比，收、支总计减少2614.73万元，下降21.34</w:t>
      </w:r>
      <w:r>
        <w:rPr>
          <w:rFonts w:ascii="仿宋" w:hAnsi="仿宋" w:eastAsia="仿宋"/>
          <w:color w:val="000000"/>
          <w:sz w:val="32"/>
          <w:szCs w:val="32"/>
        </w:rPr>
        <w:t>%</w:t>
      </w:r>
      <w:r>
        <w:rPr>
          <w:rFonts w:hint="eastAsia" w:ascii="仿宋" w:hAnsi="仿宋" w:eastAsia="仿宋"/>
          <w:color w:val="000000"/>
          <w:sz w:val="32"/>
          <w:szCs w:val="32"/>
        </w:rPr>
        <w:t>。主要变动原因是加快了结转结余资金项目执行进度，减少了资金结存。</w:t>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jc w:val="left"/>
        <w:rPr>
          <w:rFonts w:hint="eastAsia" w:ascii="仿宋_GB2312" w:eastAsia="仿宋_GB2312"/>
          <w:color w:val="000000"/>
          <w:sz w:val="32"/>
          <w:szCs w:val="32"/>
        </w:rPr>
      </w:pPr>
    </w:p>
    <w:p>
      <w:pPr>
        <w:spacing w:line="600" w:lineRule="exact"/>
        <w:ind w:firstLine="420" w:firstLineChars="200"/>
        <w:jc w:val="left"/>
        <w:rPr>
          <w:rFonts w:ascii="仿宋_GB2312" w:eastAsia="仿宋_GB2312"/>
          <w:color w:val="000000"/>
          <w:sz w:val="32"/>
          <w:szCs w:val="32"/>
        </w:rPr>
      </w:pPr>
      <w:r>
        <w:drawing>
          <wp:anchor distT="0" distB="0" distL="114300" distR="114300" simplePos="0" relativeHeight="251655168" behindDoc="0" locked="0" layoutInCell="1" allowOverlap="1">
            <wp:simplePos x="0" y="0"/>
            <wp:positionH relativeFrom="column">
              <wp:posOffset>410210</wp:posOffset>
            </wp:positionH>
            <wp:positionV relativeFrom="paragraph">
              <wp:posOffset>-2318385</wp:posOffset>
            </wp:positionV>
            <wp:extent cx="4095750" cy="2627630"/>
            <wp:effectExtent l="0" t="0" r="0" b="0"/>
            <wp:wrapNone/>
            <wp:docPr id="10" name="图表 1"/>
            <wp:cNvGraphicFramePr/>
            <a:graphic xmlns:a="http://schemas.openxmlformats.org/drawingml/2006/main">
              <a:graphicData uri="http://schemas.openxmlformats.org/drawingml/2006/picture">
                <pic:pic xmlns:pic="http://schemas.openxmlformats.org/drawingml/2006/picture">
                  <pic:nvPicPr>
                    <pic:cNvPr id="10" name="图表 1"/>
                    <pic:cNvPicPr>
                      <a:picLocks noChangeArrowheads="true"/>
                    </pic:cNvPicPr>
                  </pic:nvPicPr>
                  <pic:blipFill>
                    <a:blip r:embed="rId6">
                      <a:extLst>
                        <a:ext uri="{28A0092B-C50C-407E-A947-70E740481C1C}">
                          <a14:useLocalDpi xmlns:a14="http://schemas.microsoft.com/office/drawing/2010/main" val="false"/>
                        </a:ext>
                      </a:extLst>
                    </a:blip>
                    <a:srcRect/>
                    <a:stretch>
                      <a:fillRect/>
                    </a:stretch>
                  </pic:blipFill>
                  <pic:spPr>
                    <a:xfrm>
                      <a:off x="0" y="0"/>
                      <a:ext cx="4095750" cy="2627630"/>
                    </a:xfrm>
                    <a:prstGeom prst="rect">
                      <a:avLst/>
                    </a:prstGeom>
                    <a:noFill/>
                    <a:ln>
                      <a:noFill/>
                    </a:ln>
                  </pic:spPr>
                </pic:pic>
              </a:graphicData>
            </a:graphic>
          </wp:anchor>
        </w:drawing>
      </w:r>
    </w:p>
    <w:p>
      <w:pPr>
        <w:pStyle w:val="30"/>
        <w:spacing w:line="600" w:lineRule="exact"/>
        <w:ind w:left="640" w:firstLine="0" w:firstLineChars="0"/>
        <w:outlineLvl w:val="1"/>
        <w:rPr>
          <w:rFonts w:hint="eastAsia" w:ascii="黑体" w:hAnsi="黑体" w:eastAsia="黑体"/>
          <w:color w:val="000000"/>
          <w:sz w:val="32"/>
          <w:szCs w:val="32"/>
        </w:rPr>
      </w:pPr>
      <w:bookmarkStart w:id="30" w:name="_Toc15396604"/>
      <w:bookmarkStart w:id="31" w:name="_Toc15377206"/>
      <w:r>
        <w:rPr>
          <w:rFonts w:hint="eastAsia" w:ascii="仿宋" w:hAnsi="仿宋" w:eastAsia="仿宋"/>
          <w:color w:val="000000"/>
          <w:sz w:val="32"/>
          <w:szCs w:val="32"/>
        </w:rPr>
        <w:t xml:space="preserve">           收、支决算总计变动情况图</w:t>
      </w:r>
    </w:p>
    <w:p>
      <w:pPr>
        <w:pStyle w:val="30"/>
        <w:spacing w:line="600" w:lineRule="exact"/>
        <w:ind w:left="640" w:firstLine="0" w:firstLineChars="0"/>
        <w:outlineLvl w:val="1"/>
        <w:rPr>
          <w:rFonts w:hint="eastAsia" w:ascii="黑体" w:hAnsi="黑体" w:eastAsia="黑体"/>
          <w:color w:val="000000"/>
          <w:sz w:val="32"/>
          <w:szCs w:val="32"/>
        </w:rPr>
      </w:pPr>
    </w:p>
    <w:p>
      <w:pPr>
        <w:pStyle w:val="30"/>
        <w:spacing w:line="600" w:lineRule="exact"/>
        <w:ind w:left="640" w:firstLine="0" w:firstLineChars="0"/>
        <w:outlineLvl w:val="1"/>
        <w:rPr>
          <w:rStyle w:val="20"/>
          <w:rFonts w:ascii="黑体" w:hAnsi="黑体" w:eastAsia="黑体"/>
          <w:b w:val="0"/>
        </w:rPr>
      </w:pPr>
      <w:r>
        <w:rPr>
          <w:rFonts w:hint="eastAsia" w:ascii="黑体" w:hAnsi="黑体" w:eastAsia="黑体"/>
          <w:color w:val="000000"/>
          <w:sz w:val="32"/>
          <w:szCs w:val="32"/>
        </w:rPr>
        <w:t>二、收</w:t>
      </w:r>
      <w:r>
        <w:rPr>
          <w:rStyle w:val="20"/>
          <w:rFonts w:hint="eastAsia" w:ascii="黑体" w:hAnsi="黑体" w:eastAsia="黑体"/>
          <w:b w:val="0"/>
        </w:rPr>
        <w:t>入决算情况说明</w:t>
      </w:r>
      <w:bookmarkEnd w:id="30"/>
      <w:bookmarkEnd w:id="31"/>
    </w:p>
    <w:p>
      <w:pPr>
        <w:spacing w:line="600" w:lineRule="exact"/>
        <w:ind w:firstLine="640" w:firstLineChars="200"/>
        <w:outlineLvl w:val="1"/>
        <w:rPr>
          <w:rFonts w:hint="eastAsia"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年本年收入合计6282.72万元，其中：一般公共预算财政拨款收入5690.12万元，占90.57</w:t>
      </w:r>
      <w:r>
        <w:rPr>
          <w:rFonts w:ascii="仿宋" w:hAnsi="仿宋" w:eastAsia="仿宋"/>
          <w:color w:val="000000"/>
          <w:sz w:val="32"/>
          <w:szCs w:val="32"/>
        </w:rPr>
        <w:t>%</w:t>
      </w:r>
      <w:r>
        <w:rPr>
          <w:rFonts w:hint="eastAsia" w:ascii="仿宋" w:hAnsi="仿宋" w:eastAsia="仿宋"/>
          <w:color w:val="000000"/>
          <w:sz w:val="32"/>
          <w:szCs w:val="32"/>
        </w:rPr>
        <w:t>；政府性基金预算财政拨款收入591.46万元，占9.41</w:t>
      </w:r>
      <w:r>
        <w:rPr>
          <w:rFonts w:ascii="仿宋" w:hAnsi="仿宋" w:eastAsia="仿宋"/>
          <w:color w:val="000000"/>
          <w:sz w:val="32"/>
          <w:szCs w:val="32"/>
        </w:rPr>
        <w:t>%</w:t>
      </w:r>
      <w:r>
        <w:rPr>
          <w:rFonts w:hint="eastAsia" w:ascii="仿宋" w:hAnsi="仿宋" w:eastAsia="仿宋"/>
          <w:color w:val="000000"/>
          <w:sz w:val="32"/>
          <w:szCs w:val="32"/>
        </w:rPr>
        <w:t>；其他收入1.14万元，占0.02</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2" w:firstLineChars="200"/>
        <w:outlineLvl w:val="1"/>
        <w:rPr>
          <w:rFonts w:hint="eastAsia" w:ascii="仿宋" w:hAnsi="仿宋" w:eastAsia="仿宋"/>
          <w:b/>
          <w:color w:val="FF0000"/>
          <w:sz w:val="32"/>
          <w:szCs w:val="32"/>
        </w:rPr>
      </w:pPr>
    </w:p>
    <w:p>
      <w:pPr>
        <w:spacing w:line="600" w:lineRule="exact"/>
        <w:ind w:firstLine="642" w:firstLineChars="200"/>
        <w:outlineLvl w:val="1"/>
        <w:rPr>
          <w:rFonts w:hint="eastAsia" w:ascii="仿宋" w:hAnsi="仿宋" w:eastAsia="仿宋"/>
          <w:b/>
          <w:color w:val="FF0000"/>
          <w:sz w:val="32"/>
          <w:szCs w:val="32"/>
        </w:rPr>
      </w:pPr>
    </w:p>
    <w:p>
      <w:pPr>
        <w:spacing w:line="600" w:lineRule="exact"/>
        <w:ind w:firstLine="642" w:firstLineChars="200"/>
        <w:outlineLvl w:val="1"/>
        <w:rPr>
          <w:rFonts w:hint="eastAsia" w:ascii="仿宋" w:hAnsi="仿宋" w:eastAsia="仿宋"/>
          <w:b/>
          <w:color w:val="FF0000"/>
          <w:sz w:val="32"/>
          <w:szCs w:val="32"/>
        </w:rPr>
      </w:pPr>
    </w:p>
    <w:p>
      <w:pPr>
        <w:spacing w:line="600" w:lineRule="exact"/>
        <w:ind w:firstLine="642" w:firstLineChars="200"/>
        <w:outlineLvl w:val="1"/>
        <w:rPr>
          <w:rFonts w:hint="eastAsia" w:ascii="仿宋" w:hAnsi="仿宋" w:eastAsia="仿宋"/>
          <w:b/>
          <w:color w:val="FF0000"/>
          <w:sz w:val="32"/>
          <w:szCs w:val="32"/>
        </w:rPr>
      </w:pPr>
    </w:p>
    <w:p>
      <w:pPr>
        <w:spacing w:line="600" w:lineRule="exact"/>
        <w:ind w:firstLine="642" w:firstLineChars="200"/>
        <w:outlineLvl w:val="1"/>
        <w:rPr>
          <w:rFonts w:hint="eastAsia" w:ascii="仿宋" w:hAnsi="仿宋" w:eastAsia="仿宋"/>
          <w:b/>
          <w:color w:val="FF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420" w:firstLineChars="200"/>
        <w:outlineLvl w:val="1"/>
        <w:rPr>
          <w:rFonts w:ascii="仿宋" w:hAnsi="仿宋" w:eastAsia="仿宋"/>
          <w:color w:val="000000"/>
          <w:sz w:val="32"/>
          <w:szCs w:val="32"/>
        </w:rPr>
      </w:pPr>
      <w:r>
        <w:drawing>
          <wp:anchor distT="5715" distB="0" distL="126365" distR="120015" simplePos="0" relativeHeight="251656192" behindDoc="0" locked="0" layoutInCell="1" allowOverlap="1">
            <wp:simplePos x="0" y="0"/>
            <wp:positionH relativeFrom="column">
              <wp:posOffset>422275</wp:posOffset>
            </wp:positionH>
            <wp:positionV relativeFrom="paragraph">
              <wp:posOffset>-2442210</wp:posOffset>
            </wp:positionV>
            <wp:extent cx="4572635" cy="2746375"/>
            <wp:effectExtent l="0" t="0" r="0" b="0"/>
            <wp:wrapNone/>
            <wp:docPr id="1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                收入决算结构图</w:t>
      </w:r>
    </w:p>
    <w:p>
      <w:pPr>
        <w:spacing w:line="600" w:lineRule="exact"/>
        <w:ind w:firstLine="640" w:firstLineChars="200"/>
        <w:rPr>
          <w:rFonts w:ascii="仿宋_GB2312" w:eastAsia="仿宋_GB2312"/>
          <w:color w:val="FF0000"/>
          <w:sz w:val="32"/>
          <w:szCs w:val="32"/>
        </w:rPr>
      </w:pPr>
    </w:p>
    <w:p>
      <w:pPr>
        <w:pStyle w:val="30"/>
        <w:spacing w:line="600" w:lineRule="exact"/>
        <w:ind w:left="640" w:firstLine="0" w:firstLineChars="0"/>
        <w:outlineLvl w:val="1"/>
        <w:rPr>
          <w:rStyle w:val="20"/>
          <w:rFonts w:ascii="黑体" w:hAnsi="黑体" w:eastAsia="黑体"/>
          <w:b w:val="0"/>
        </w:rPr>
      </w:pPr>
      <w:bookmarkStart w:id="32" w:name="_Toc15396605"/>
      <w:bookmarkStart w:id="33" w:name="_Toc15377207"/>
      <w:r>
        <w:rPr>
          <w:rFonts w:hint="eastAsia" w:ascii="黑体" w:hAnsi="黑体" w:eastAsia="黑体"/>
          <w:color w:val="000000"/>
          <w:sz w:val="32"/>
          <w:szCs w:val="32"/>
        </w:rPr>
        <w:t>三、支</w:t>
      </w:r>
      <w:r>
        <w:rPr>
          <w:rStyle w:val="20"/>
          <w:rFonts w:hint="eastAsia" w:ascii="黑体" w:hAnsi="黑体" w:eastAsia="黑体"/>
          <w:b w:val="0"/>
        </w:rPr>
        <w:t>出决算情况说明</w:t>
      </w:r>
      <w:bookmarkEnd w:id="32"/>
      <w:bookmarkEnd w:id="33"/>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年本年支出合计5866.74万元，其中：基本支出1447.14万元，占24.67</w:t>
      </w:r>
      <w:r>
        <w:rPr>
          <w:rFonts w:ascii="仿宋" w:hAnsi="仿宋" w:eastAsia="仿宋"/>
          <w:color w:val="000000"/>
          <w:sz w:val="32"/>
          <w:szCs w:val="32"/>
        </w:rPr>
        <w:t>%</w:t>
      </w:r>
      <w:r>
        <w:rPr>
          <w:rFonts w:hint="eastAsia" w:ascii="仿宋" w:hAnsi="仿宋" w:eastAsia="仿宋"/>
          <w:color w:val="000000"/>
          <w:sz w:val="32"/>
          <w:szCs w:val="32"/>
        </w:rPr>
        <w:t>；项目支出4419.6万元，占75.33</w:t>
      </w:r>
      <w:r>
        <w:rPr>
          <w:rFonts w:ascii="仿宋" w:hAnsi="仿宋" w:eastAsia="仿宋"/>
          <w:color w:val="000000"/>
          <w:sz w:val="32"/>
          <w:szCs w:val="32"/>
        </w:rPr>
        <w:t>%</w:t>
      </w:r>
      <w:r>
        <w:rPr>
          <w:rFonts w:hint="eastAsia" w:ascii="仿宋" w:hAnsi="仿宋" w:eastAsia="仿宋"/>
          <w:color w:val="000000"/>
          <w:sz w:val="32"/>
          <w:szCs w:val="32"/>
        </w:rPr>
        <w:t>。</w:t>
      </w:r>
      <w:r>
        <w:rPr>
          <w:rFonts w:ascii="仿宋" w:hAnsi="仿宋" w:eastAsia="仿宋"/>
          <w:color w:val="000000"/>
          <w:sz w:val="32"/>
          <w:szCs w:val="32"/>
        </w:rPr>
        <w:t xml:space="preserve"> </w:t>
      </w:r>
    </w:p>
    <w:p>
      <w:pPr>
        <w:spacing w:line="600" w:lineRule="exact"/>
        <w:ind w:firstLine="640"/>
        <w:rPr>
          <w:rFonts w:hint="eastAsia" w:ascii="仿宋" w:hAnsi="仿宋" w:eastAsia="仿宋"/>
          <w:b/>
          <w:color w:val="FF0000"/>
          <w:sz w:val="32"/>
          <w:szCs w:val="32"/>
        </w:rPr>
      </w:pPr>
    </w:p>
    <w:p>
      <w:pPr>
        <w:spacing w:line="600" w:lineRule="exact"/>
        <w:ind w:firstLine="640"/>
        <w:rPr>
          <w:rFonts w:hint="eastAsia" w:ascii="仿宋" w:hAnsi="仿宋" w:eastAsia="仿宋"/>
          <w:b/>
          <w:color w:val="FF0000"/>
          <w:sz w:val="32"/>
          <w:szCs w:val="32"/>
        </w:rPr>
      </w:pPr>
    </w:p>
    <w:p>
      <w:pPr>
        <w:spacing w:line="600" w:lineRule="exact"/>
        <w:ind w:firstLine="640"/>
        <w:rPr>
          <w:rFonts w:hint="eastAsia" w:ascii="仿宋" w:hAnsi="仿宋" w:eastAsia="仿宋"/>
          <w:b/>
          <w:color w:val="FF0000"/>
          <w:sz w:val="32"/>
          <w:szCs w:val="32"/>
        </w:rPr>
      </w:pPr>
    </w:p>
    <w:p>
      <w:pPr>
        <w:spacing w:line="600" w:lineRule="exact"/>
        <w:ind w:firstLine="640"/>
        <w:rPr>
          <w:rFonts w:hint="eastAsia" w:ascii="仿宋" w:hAnsi="仿宋" w:eastAsia="仿宋"/>
          <w:b/>
          <w:color w:val="FF0000"/>
          <w:sz w:val="32"/>
          <w:szCs w:val="32"/>
        </w:rPr>
      </w:pPr>
    </w:p>
    <w:p>
      <w:pPr>
        <w:spacing w:line="600" w:lineRule="exact"/>
        <w:ind w:firstLine="640"/>
        <w:rPr>
          <w:rFonts w:hint="eastAsia" w:ascii="仿宋" w:hAnsi="仿宋" w:eastAsia="仿宋"/>
          <w:b/>
          <w:color w:val="FF0000"/>
          <w:sz w:val="32"/>
          <w:szCs w:val="32"/>
        </w:rPr>
      </w:pPr>
    </w:p>
    <w:p>
      <w:pPr>
        <w:spacing w:line="600" w:lineRule="exact"/>
        <w:ind w:firstLine="640"/>
        <w:rPr>
          <w:rFonts w:ascii="仿宋" w:hAnsi="仿宋" w:eastAsia="仿宋"/>
          <w:color w:val="000000"/>
          <w:sz w:val="32"/>
          <w:szCs w:val="32"/>
          <w:shd w:val="pct10" w:color="auto" w:fill="FFFFFF"/>
        </w:rPr>
      </w:pPr>
    </w:p>
    <w:p>
      <w:pPr>
        <w:spacing w:line="600" w:lineRule="exact"/>
        <w:ind w:firstLine="420" w:firstLineChars="200"/>
        <w:rPr>
          <w:rFonts w:hint="eastAsia" w:ascii="仿宋" w:hAnsi="仿宋" w:eastAsia="仿宋"/>
          <w:color w:val="000000"/>
          <w:sz w:val="32"/>
          <w:szCs w:val="32"/>
        </w:rPr>
      </w:pPr>
      <w:r>
        <w:drawing>
          <wp:anchor distT="5715" distB="2540" distL="126365" distR="122555" simplePos="0" relativeHeight="251657216" behindDoc="0" locked="0" layoutInCell="1" allowOverlap="1">
            <wp:simplePos x="0" y="0"/>
            <wp:positionH relativeFrom="column">
              <wp:posOffset>422275</wp:posOffset>
            </wp:positionH>
            <wp:positionV relativeFrom="paragraph">
              <wp:posOffset>-1689735</wp:posOffset>
            </wp:positionV>
            <wp:extent cx="3598545" cy="1991360"/>
            <wp:effectExtent l="0" t="0" r="0" b="0"/>
            <wp:wrapNone/>
            <wp:docPr id="1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            支出决算结构图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0"/>
          <w:rFonts w:ascii="黑体" w:hAnsi="黑体" w:eastAsia="黑体"/>
          <w:b w:val="0"/>
        </w:rPr>
      </w:pPr>
      <w:bookmarkStart w:id="34" w:name="_Toc15377208"/>
      <w:bookmarkStart w:id="35" w:name="_Toc15396606"/>
      <w:r>
        <w:rPr>
          <w:rFonts w:hint="eastAsia" w:ascii="黑体" w:hAnsi="黑体" w:eastAsia="黑体"/>
          <w:color w:val="000000"/>
          <w:sz w:val="32"/>
          <w:szCs w:val="32"/>
        </w:rPr>
        <w:t>四、财</w:t>
      </w:r>
      <w:r>
        <w:rPr>
          <w:rStyle w:val="20"/>
          <w:rFonts w:hint="eastAsia" w:ascii="黑体" w:hAnsi="黑体" w:eastAsia="黑体"/>
          <w:b w:val="0"/>
        </w:rPr>
        <w:t>政拨款收入支出决算总体情况说明</w:t>
      </w:r>
      <w:bookmarkEnd w:id="34"/>
      <w:bookmarkEnd w:id="35"/>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年财政拨款收、支总计9635.91万元。与</w:t>
      </w:r>
      <w:r>
        <w:rPr>
          <w:rFonts w:ascii="仿宋" w:hAnsi="仿宋" w:eastAsia="仿宋"/>
          <w:color w:val="000000"/>
          <w:sz w:val="32"/>
          <w:szCs w:val="32"/>
        </w:rPr>
        <w:t>2019</w:t>
      </w:r>
      <w:r>
        <w:rPr>
          <w:rFonts w:hint="eastAsia" w:ascii="仿宋" w:hAnsi="仿宋" w:eastAsia="仿宋"/>
          <w:color w:val="000000"/>
          <w:sz w:val="32"/>
          <w:szCs w:val="32"/>
        </w:rPr>
        <w:t>年相比，财政拨款收、支总计减少2583.18万元，下降21.14</w:t>
      </w:r>
      <w:r>
        <w:rPr>
          <w:rFonts w:ascii="仿宋" w:hAnsi="仿宋" w:eastAsia="仿宋"/>
          <w:color w:val="000000"/>
          <w:sz w:val="32"/>
          <w:szCs w:val="32"/>
        </w:rPr>
        <w:t>%</w:t>
      </w:r>
      <w:r>
        <w:rPr>
          <w:rFonts w:hint="eastAsia" w:ascii="仿宋" w:hAnsi="仿宋" w:eastAsia="仿宋"/>
          <w:color w:val="000000"/>
          <w:sz w:val="32"/>
          <w:szCs w:val="32"/>
        </w:rPr>
        <w:t>。主要变动原因是加快了结转结余资金项目执行进度，减少了资金结存。</w:t>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ascii="仿宋" w:hAnsi="仿宋" w:eastAsia="仿宋"/>
          <w:color w:val="000000"/>
          <w:sz w:val="32"/>
          <w:szCs w:val="32"/>
        </w:rPr>
      </w:pPr>
      <w:r>
        <w:drawing>
          <wp:anchor distT="0" distB="1270" distL="120015" distR="120015" simplePos="0" relativeHeight="251658240" behindDoc="0" locked="0" layoutInCell="1" allowOverlap="1">
            <wp:simplePos x="0" y="0"/>
            <wp:positionH relativeFrom="column">
              <wp:posOffset>415925</wp:posOffset>
            </wp:positionH>
            <wp:positionV relativeFrom="paragraph">
              <wp:posOffset>-1638300</wp:posOffset>
            </wp:positionV>
            <wp:extent cx="4350385" cy="1941195"/>
            <wp:effectExtent l="0" t="0" r="0" b="0"/>
            <wp:wrapNone/>
            <wp:docPr id="1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       财政拨款收、支决算总计变动情况</w:t>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0"/>
          <w:rFonts w:ascii="黑体" w:hAnsi="黑体" w:eastAsia="黑体"/>
          <w:b w:val="0"/>
        </w:rPr>
      </w:pPr>
      <w:bookmarkStart w:id="36" w:name="_Toc15377209"/>
      <w:bookmarkStart w:id="37"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0"/>
          <w:rFonts w:hint="eastAsia" w:ascii="黑体" w:hAnsi="黑体" w:eastAsia="黑体"/>
          <w:b w:val="0"/>
        </w:rPr>
        <w:t>般公共预算财政拨款支出决算情况说明</w:t>
      </w:r>
      <w:bookmarkEnd w:id="36"/>
      <w:bookmarkEnd w:id="37"/>
    </w:p>
    <w:p>
      <w:pPr>
        <w:spacing w:line="600" w:lineRule="exact"/>
        <w:ind w:firstLine="642" w:firstLineChars="200"/>
        <w:outlineLvl w:val="2"/>
        <w:rPr>
          <w:rFonts w:ascii="仿宋" w:hAnsi="仿宋" w:eastAsia="仿宋"/>
          <w:b/>
          <w:color w:val="000000"/>
          <w:sz w:val="32"/>
          <w:szCs w:val="32"/>
        </w:rPr>
      </w:pPr>
      <w:bookmarkStart w:id="38" w:name="_Toc15377210"/>
      <w:r>
        <w:rPr>
          <w:rFonts w:hint="eastAsia" w:ascii="仿宋" w:hAnsi="仿宋" w:eastAsia="仿宋"/>
          <w:b/>
          <w:color w:val="000000"/>
          <w:sz w:val="32"/>
          <w:szCs w:val="32"/>
        </w:rPr>
        <w:t>（一）一般公共预算财政拨款支出决算总体情况</w:t>
      </w:r>
      <w:bookmarkEnd w:id="38"/>
    </w:p>
    <w:p>
      <w:pPr>
        <w:rPr>
          <w:rFonts w:ascii="仿宋" w:hAnsi="仿宋" w:eastAsia="仿宋"/>
          <w:color w:val="000000"/>
          <w:sz w:val="32"/>
          <w:szCs w:val="32"/>
        </w:rPr>
      </w:pPr>
      <w:r>
        <w:rPr>
          <w:rFonts w:hint="eastAsia" w:ascii="仿宋" w:hAnsi="仿宋" w:eastAsia="仿宋"/>
          <w:color w:val="000000"/>
          <w:sz w:val="32"/>
          <w:szCs w:val="32"/>
        </w:rPr>
        <w:t xml:space="preserve">    </w:t>
      </w:r>
      <w:r>
        <w:rPr>
          <w:rFonts w:ascii="仿宋" w:hAnsi="仿宋" w:eastAsia="仿宋"/>
          <w:color w:val="000000"/>
          <w:sz w:val="32"/>
          <w:szCs w:val="32"/>
        </w:rPr>
        <w:t>2020</w:t>
      </w:r>
      <w:r>
        <w:rPr>
          <w:rFonts w:hint="eastAsia" w:ascii="仿宋" w:hAnsi="仿宋" w:eastAsia="仿宋"/>
          <w:color w:val="000000"/>
          <w:sz w:val="32"/>
          <w:szCs w:val="32"/>
        </w:rPr>
        <w:t>年一般公共预算财政拨款支出4222.96万元，占本年支出合计的71.98</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年相比，一般公共预算财政拨款增加1703.53万元，增长67.62</w:t>
      </w:r>
      <w:r>
        <w:rPr>
          <w:rFonts w:ascii="仿宋" w:hAnsi="仿宋" w:eastAsia="仿宋"/>
          <w:color w:val="000000"/>
          <w:sz w:val="32"/>
          <w:szCs w:val="32"/>
        </w:rPr>
        <w:t>%</w:t>
      </w:r>
      <w:r>
        <w:rPr>
          <w:rFonts w:hint="eastAsia" w:ascii="仿宋" w:hAnsi="仿宋" w:eastAsia="仿宋"/>
          <w:color w:val="000000"/>
          <w:sz w:val="32"/>
          <w:szCs w:val="32"/>
        </w:rPr>
        <w:t>。主要变动原因是乌东德水污染防控预警及监测项目、环境信息化三级统筹项目、观音岩饮用水源地规范化建设等项目支出较上年增加。</w:t>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420" w:firstLineChars="200"/>
        <w:rPr>
          <w:rFonts w:ascii="仿宋" w:hAnsi="仿宋" w:eastAsia="仿宋"/>
          <w:color w:val="000000"/>
          <w:sz w:val="32"/>
          <w:szCs w:val="32"/>
        </w:rPr>
      </w:pPr>
      <w:r>
        <w:drawing>
          <wp:anchor distT="0" distB="1270" distL="120015" distR="120015" simplePos="0" relativeHeight="251658240" behindDoc="0" locked="0" layoutInCell="1" allowOverlap="1">
            <wp:simplePos x="0" y="0"/>
            <wp:positionH relativeFrom="column">
              <wp:posOffset>415925</wp:posOffset>
            </wp:positionH>
            <wp:positionV relativeFrom="paragraph">
              <wp:posOffset>-1638300</wp:posOffset>
            </wp:positionV>
            <wp:extent cx="4350385" cy="1941195"/>
            <wp:effectExtent l="0" t="0" r="0" b="0"/>
            <wp:wrapNone/>
            <wp:docPr id="1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    一般公共预算财政拨款支出决算变动情况</w:t>
      </w:r>
    </w:p>
    <w:p>
      <w:pPr>
        <w:spacing w:line="600" w:lineRule="exact"/>
        <w:ind w:firstLine="642" w:firstLineChars="200"/>
        <w:outlineLvl w:val="2"/>
        <w:rPr>
          <w:rFonts w:ascii="仿宋" w:hAnsi="仿宋" w:eastAsia="仿宋"/>
          <w:b/>
          <w:color w:val="000000"/>
          <w:sz w:val="32"/>
          <w:szCs w:val="32"/>
        </w:rPr>
      </w:pPr>
      <w:bookmarkStart w:id="39" w:name="_Toc15377211"/>
      <w:r>
        <w:rPr>
          <w:rFonts w:hint="eastAsia" w:ascii="仿宋" w:hAnsi="仿宋" w:eastAsia="仿宋"/>
          <w:b/>
          <w:color w:val="000000"/>
          <w:sz w:val="32"/>
          <w:szCs w:val="32"/>
        </w:rPr>
        <w:t>（二）一般公共预算财政拨款支出决算结构情况</w:t>
      </w:r>
      <w:bookmarkEnd w:id="39"/>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年一般公共预算财政拨款支出4222.96万元，主要用于以下方面</w:t>
      </w:r>
      <w:r>
        <w:rPr>
          <w:rFonts w:ascii="仿宋" w:hAnsi="仿宋" w:eastAsia="仿宋"/>
          <w:color w:val="000000"/>
          <w:sz w:val="32"/>
          <w:szCs w:val="32"/>
        </w:rPr>
        <w:t>:</w:t>
      </w:r>
      <w:r>
        <w:rPr>
          <w:rFonts w:hint="eastAsia" w:ascii="仿宋" w:hAnsi="仿宋" w:eastAsia="仿宋"/>
          <w:color w:val="000000"/>
          <w:sz w:val="32"/>
          <w:szCs w:val="32"/>
        </w:rPr>
        <w:t>一般公共服务（类）支出5.73万元，占0.14</w:t>
      </w:r>
      <w:r>
        <w:rPr>
          <w:rFonts w:ascii="仿宋" w:hAnsi="仿宋" w:eastAsia="仿宋"/>
          <w:color w:val="000000"/>
          <w:sz w:val="32"/>
          <w:szCs w:val="32"/>
        </w:rPr>
        <w:t>%</w:t>
      </w:r>
      <w:r>
        <w:rPr>
          <w:rFonts w:hint="eastAsia" w:ascii="仿宋" w:hAnsi="仿宋" w:eastAsia="仿宋"/>
          <w:color w:val="000000"/>
          <w:sz w:val="32"/>
          <w:szCs w:val="32"/>
        </w:rPr>
        <w:t>；社会保障和就业（类）支出150.5万元，占3.56</w:t>
      </w:r>
      <w:r>
        <w:rPr>
          <w:rFonts w:ascii="仿宋" w:hAnsi="仿宋" w:eastAsia="仿宋"/>
          <w:color w:val="000000"/>
          <w:sz w:val="32"/>
          <w:szCs w:val="32"/>
        </w:rPr>
        <w:t>%</w:t>
      </w:r>
      <w:r>
        <w:rPr>
          <w:rFonts w:hint="eastAsia" w:ascii="仿宋" w:hAnsi="仿宋" w:eastAsia="仿宋"/>
          <w:color w:val="000000"/>
          <w:sz w:val="32"/>
          <w:szCs w:val="32"/>
        </w:rPr>
        <w:t>；节能环保支出3967.04万元，占93.94</w:t>
      </w:r>
      <w:r>
        <w:rPr>
          <w:rFonts w:ascii="仿宋" w:hAnsi="仿宋" w:eastAsia="仿宋"/>
          <w:color w:val="000000"/>
          <w:sz w:val="32"/>
          <w:szCs w:val="32"/>
        </w:rPr>
        <w:t>%</w:t>
      </w:r>
      <w:r>
        <w:rPr>
          <w:rFonts w:hint="eastAsia" w:ascii="仿宋" w:hAnsi="仿宋" w:eastAsia="仿宋"/>
          <w:color w:val="000000"/>
          <w:sz w:val="32"/>
          <w:szCs w:val="32"/>
        </w:rPr>
        <w:t>；住房保障支出99.69万元，占2.36</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420" w:firstLineChars="200"/>
        <w:rPr>
          <w:rFonts w:hint="eastAsia" w:ascii="仿宋" w:hAnsi="仿宋" w:eastAsia="仿宋"/>
          <w:color w:val="000000"/>
          <w:sz w:val="32"/>
          <w:szCs w:val="32"/>
        </w:rPr>
      </w:pPr>
      <w:r>
        <w:drawing>
          <wp:anchor distT="0" distB="0" distL="114300" distR="114300" simplePos="0" relativeHeight="251659264" behindDoc="0" locked="0" layoutInCell="1" allowOverlap="1">
            <wp:simplePos x="0" y="0"/>
            <wp:positionH relativeFrom="column">
              <wp:posOffset>410210</wp:posOffset>
            </wp:positionH>
            <wp:positionV relativeFrom="paragraph">
              <wp:posOffset>-2056130</wp:posOffset>
            </wp:positionV>
            <wp:extent cx="3781425" cy="2362835"/>
            <wp:effectExtent l="0" t="0" r="0" b="0"/>
            <wp:wrapNone/>
            <wp:docPr id="15" name="图表 6"/>
            <wp:cNvGraphicFramePr/>
            <a:graphic xmlns:a="http://schemas.openxmlformats.org/drawingml/2006/main">
              <a:graphicData uri="http://schemas.openxmlformats.org/drawingml/2006/picture">
                <pic:pic xmlns:pic="http://schemas.openxmlformats.org/drawingml/2006/picture">
                  <pic:nvPicPr>
                    <pic:cNvPr id="15" name="图表 6"/>
                    <pic:cNvPicPr>
                      <a:picLocks noChangeArrowheads="true"/>
                    </pic:cNvPicPr>
                  </pic:nvPicPr>
                  <pic:blipFill>
                    <a:blip r:embed="rId11">
                      <a:extLst>
                        <a:ext uri="{28A0092B-C50C-407E-A947-70E740481C1C}">
                          <a14:useLocalDpi xmlns:a14="http://schemas.microsoft.com/office/drawing/2010/main" val="false"/>
                        </a:ext>
                      </a:extLst>
                    </a:blip>
                    <a:srcRect b="-153"/>
                    <a:stretch>
                      <a:fillRect/>
                    </a:stretch>
                  </pic:blipFill>
                  <pic:spPr>
                    <a:xfrm>
                      <a:off x="0" y="0"/>
                      <a:ext cx="3781425" cy="2362835"/>
                    </a:xfrm>
                    <a:prstGeom prst="rect">
                      <a:avLst/>
                    </a:prstGeom>
                    <a:noFill/>
                    <a:ln>
                      <a:noFill/>
                    </a:ln>
                  </pic:spPr>
                </pic:pic>
              </a:graphicData>
            </a:graphic>
          </wp:anchor>
        </w:drawing>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     一般公共预算财政拨款支出决算结构</w:t>
      </w:r>
    </w:p>
    <w:p>
      <w:pPr>
        <w:spacing w:line="600" w:lineRule="exact"/>
        <w:ind w:firstLine="640" w:firstLineChars="200"/>
        <w:rPr>
          <w:rFonts w:ascii="仿宋" w:hAnsi="仿宋" w:eastAsia="仿宋"/>
          <w:color w:val="000000"/>
          <w:sz w:val="32"/>
          <w:szCs w:val="32"/>
        </w:rPr>
      </w:pPr>
    </w:p>
    <w:p>
      <w:pPr>
        <w:spacing w:line="600" w:lineRule="exact"/>
        <w:ind w:firstLine="642" w:firstLineChars="200"/>
        <w:outlineLvl w:val="2"/>
        <w:rPr>
          <w:rFonts w:ascii="仿宋" w:hAnsi="仿宋" w:eastAsia="仿宋"/>
          <w:b/>
          <w:color w:val="000000"/>
          <w:sz w:val="32"/>
          <w:szCs w:val="32"/>
        </w:rPr>
      </w:pPr>
      <w:bookmarkStart w:id="40" w:name="_Toc15377212"/>
      <w:r>
        <w:rPr>
          <w:rFonts w:hint="eastAsia" w:ascii="仿宋" w:hAnsi="仿宋" w:eastAsia="仿宋"/>
          <w:b/>
          <w:color w:val="000000"/>
          <w:sz w:val="32"/>
          <w:szCs w:val="32"/>
        </w:rPr>
        <w:t>（三）一般公共预算财政拨款支出决算具体情况</w:t>
      </w:r>
      <w:bookmarkEnd w:id="40"/>
    </w:p>
    <w:p>
      <w:pPr>
        <w:spacing w:line="600" w:lineRule="exact"/>
        <w:ind w:firstLine="640" w:firstLineChars="200"/>
        <w:outlineLvl w:val="2"/>
        <w:rPr>
          <w:rFonts w:ascii="仿宋" w:hAnsi="仿宋" w:eastAsia="仿宋"/>
          <w:b/>
          <w:color w:val="FF0000"/>
          <w:sz w:val="32"/>
          <w:szCs w:val="32"/>
        </w:rPr>
      </w:pPr>
      <w:bookmarkStart w:id="41" w:name="_Toc15377444"/>
      <w:bookmarkStart w:id="42" w:name="_Toc15378460"/>
      <w:bookmarkStart w:id="43" w:name="_Toc15377213"/>
      <w:r>
        <w:rPr>
          <w:rFonts w:ascii="仿宋" w:hAnsi="仿宋" w:eastAsia="仿宋"/>
          <w:color w:val="000000"/>
          <w:sz w:val="32"/>
          <w:szCs w:val="32"/>
        </w:rPr>
        <w:t>2020</w:t>
      </w:r>
      <w:r>
        <w:rPr>
          <w:rFonts w:hint="eastAsia" w:ascii="仿宋" w:hAnsi="仿宋" w:eastAsia="仿宋"/>
          <w:color w:val="000000"/>
          <w:sz w:val="32"/>
          <w:szCs w:val="32"/>
        </w:rPr>
        <w:t>年一般公共预算支出决算数为4222.96，</w:t>
      </w:r>
      <w:r>
        <w:rPr>
          <w:rStyle w:val="17"/>
          <w:rFonts w:hint="eastAsia" w:ascii="仿宋" w:hAnsi="仿宋" w:eastAsia="仿宋"/>
          <w:b w:val="0"/>
          <w:bCs/>
          <w:color w:val="000000"/>
          <w:sz w:val="32"/>
          <w:szCs w:val="32"/>
        </w:rPr>
        <w:t>完成预算74.22</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。其中：</w:t>
      </w:r>
      <w:bookmarkEnd w:id="41"/>
      <w:bookmarkEnd w:id="42"/>
      <w:bookmarkEnd w:id="43"/>
    </w:p>
    <w:p>
      <w:pPr>
        <w:spacing w:line="600" w:lineRule="exact"/>
        <w:ind w:firstLine="640" w:firstLineChars="200"/>
        <w:rPr>
          <w:rStyle w:val="17"/>
          <w:bCs/>
        </w:rPr>
      </w:pPr>
      <w:r>
        <w:rPr>
          <w:rStyle w:val="17"/>
          <w:rFonts w:ascii="仿宋" w:hAnsi="仿宋" w:eastAsia="仿宋"/>
          <w:b w:val="0"/>
          <w:bCs/>
          <w:color w:val="000000"/>
          <w:sz w:val="32"/>
          <w:szCs w:val="32"/>
        </w:rPr>
        <w:t>1.</w:t>
      </w:r>
      <w:r>
        <w:rPr>
          <w:rStyle w:val="17"/>
          <w:rFonts w:hint="eastAsia" w:ascii="仿宋" w:hAnsi="仿宋" w:eastAsia="仿宋"/>
          <w:b w:val="0"/>
          <w:bCs/>
          <w:color w:val="000000"/>
          <w:sz w:val="32"/>
          <w:szCs w:val="32"/>
        </w:rPr>
        <w:t>一般公共服务（类）人力资源事务（款）其他人力资源事务支出（项）</w:t>
      </w:r>
      <w:r>
        <w:rPr>
          <w:rStyle w:val="17"/>
          <w:rFonts w:ascii="仿宋" w:hAnsi="仿宋" w:eastAsia="仿宋"/>
          <w:b w:val="0"/>
          <w:bCs/>
          <w:color w:val="000000"/>
          <w:sz w:val="32"/>
          <w:szCs w:val="32"/>
        </w:rPr>
        <w:t xml:space="preserve">: </w:t>
      </w:r>
      <w:r>
        <w:rPr>
          <w:rStyle w:val="17"/>
          <w:rFonts w:hint="eastAsia" w:ascii="仿宋" w:hAnsi="仿宋" w:eastAsia="仿宋"/>
          <w:b w:val="0"/>
          <w:bCs/>
          <w:color w:val="000000"/>
          <w:sz w:val="32"/>
          <w:szCs w:val="32"/>
        </w:rPr>
        <w:t>支出决算为1万元，完成预算100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；一般公共服务（类）组织事务（款）其他组织事务支出（项）：支出决算为4.75万元，完成预算100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spacing w:line="600" w:lineRule="exact"/>
        <w:ind w:firstLine="640" w:firstLineChars="200"/>
        <w:rPr>
          <w:rStyle w:val="17"/>
          <w:bCs/>
        </w:rPr>
      </w:pPr>
      <w:r>
        <w:rPr>
          <w:rStyle w:val="17"/>
          <w:rFonts w:hint="eastAsia" w:ascii="仿宋" w:hAnsi="仿宋" w:eastAsia="仿宋"/>
          <w:b w:val="0"/>
          <w:bCs/>
          <w:color w:val="000000"/>
          <w:sz w:val="32"/>
          <w:szCs w:val="32"/>
        </w:rPr>
        <w:t>2</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社会保障和就业（类）行政事业单位养老支出（款）行政单位离退休（项）</w:t>
      </w:r>
      <w:r>
        <w:rPr>
          <w:rStyle w:val="17"/>
          <w:rFonts w:ascii="仿宋" w:hAnsi="仿宋" w:eastAsia="仿宋"/>
          <w:b w:val="0"/>
          <w:bCs/>
          <w:color w:val="000000"/>
          <w:sz w:val="32"/>
          <w:szCs w:val="32"/>
        </w:rPr>
        <w:t xml:space="preserve">: </w:t>
      </w:r>
      <w:r>
        <w:rPr>
          <w:rStyle w:val="17"/>
          <w:rFonts w:hint="eastAsia" w:ascii="仿宋" w:hAnsi="仿宋" w:eastAsia="仿宋"/>
          <w:b w:val="0"/>
          <w:bCs/>
          <w:color w:val="000000"/>
          <w:sz w:val="32"/>
          <w:szCs w:val="32"/>
        </w:rPr>
        <w:t>支出决算为62.93万元，完成预算100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；社会保障和就业（类）行政事业单位养老支出（款）机关事业单位基本养老保险缴费支出（项）</w:t>
      </w:r>
      <w:r>
        <w:rPr>
          <w:rStyle w:val="17"/>
          <w:rFonts w:ascii="仿宋" w:hAnsi="仿宋" w:eastAsia="仿宋"/>
          <w:b w:val="0"/>
          <w:bCs/>
          <w:color w:val="000000"/>
          <w:sz w:val="32"/>
          <w:szCs w:val="32"/>
        </w:rPr>
        <w:t xml:space="preserve">: </w:t>
      </w:r>
      <w:r>
        <w:rPr>
          <w:rStyle w:val="17"/>
          <w:rFonts w:hint="eastAsia" w:ascii="仿宋" w:hAnsi="仿宋" w:eastAsia="仿宋"/>
          <w:b w:val="0"/>
          <w:bCs/>
          <w:color w:val="000000"/>
          <w:sz w:val="32"/>
          <w:szCs w:val="32"/>
        </w:rPr>
        <w:t>支出决算为87.02万元，完成预算100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；社会保障和就业（类）社会福利（款）儿童福利（项）</w:t>
      </w:r>
      <w:r>
        <w:rPr>
          <w:rStyle w:val="17"/>
          <w:rFonts w:ascii="仿宋" w:hAnsi="仿宋" w:eastAsia="仿宋"/>
          <w:b w:val="0"/>
          <w:bCs/>
          <w:color w:val="000000"/>
          <w:sz w:val="32"/>
          <w:szCs w:val="32"/>
        </w:rPr>
        <w:t xml:space="preserve">: </w:t>
      </w:r>
      <w:r>
        <w:rPr>
          <w:rStyle w:val="17"/>
          <w:rFonts w:hint="eastAsia" w:ascii="仿宋" w:hAnsi="仿宋" w:eastAsia="仿宋"/>
          <w:b w:val="0"/>
          <w:bCs/>
          <w:color w:val="000000"/>
          <w:sz w:val="32"/>
          <w:szCs w:val="32"/>
        </w:rPr>
        <w:t>支出决算为0.55万元，完成预算100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spacing w:line="600" w:lineRule="exact"/>
        <w:ind w:firstLine="640" w:firstLineChars="200"/>
        <w:rPr>
          <w:rStyle w:val="17"/>
          <w:bCs/>
        </w:rPr>
      </w:pPr>
      <w:r>
        <w:rPr>
          <w:rStyle w:val="17"/>
          <w:rFonts w:hint="eastAsia" w:ascii="仿宋" w:hAnsi="仿宋" w:eastAsia="仿宋"/>
          <w:b w:val="0"/>
          <w:bCs/>
          <w:color w:val="000000"/>
          <w:sz w:val="32"/>
          <w:szCs w:val="32"/>
        </w:rPr>
        <w:t>3</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节能环保支出（类）环境保护管理事务（款）行政运行（项）</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支出决算为1095.08万元，完成预算100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；节能环保支出（类）环境保护管理事务（款）一般行政管理事务（项）</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支出决算为203.91万元，完成预算100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；节能环保支出（类）环境保护管理事务（款）其他环境保护管理事务支出（项）</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支出决算为310.69万元，完成预算100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；节能环保支出（类）污染防治（款）其他污染防治支出（项）</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支出决算为1354.09万元，完成预算</w:t>
      </w:r>
      <w:r>
        <w:rPr>
          <w:rStyle w:val="17"/>
          <w:rFonts w:hint="eastAsia" w:ascii="仿宋" w:hAnsi="仿宋" w:eastAsia="仿宋"/>
          <w:b w:val="0"/>
          <w:bCs/>
          <w:sz w:val="32"/>
          <w:szCs w:val="32"/>
        </w:rPr>
        <w:t>33.54</w:t>
      </w:r>
      <w:r>
        <w:rPr>
          <w:rStyle w:val="17"/>
          <w:rFonts w:ascii="仿宋" w:hAnsi="仿宋" w:eastAsia="仿宋"/>
          <w:b w:val="0"/>
          <w:bCs/>
          <w:sz w:val="32"/>
          <w:szCs w:val="32"/>
        </w:rPr>
        <w:t>%</w:t>
      </w:r>
      <w:r>
        <w:rPr>
          <w:rStyle w:val="17"/>
          <w:rFonts w:hint="eastAsia" w:ascii="仿宋" w:hAnsi="仿宋" w:eastAsia="仿宋"/>
          <w:b w:val="0"/>
          <w:bCs/>
          <w:sz w:val="32"/>
          <w:szCs w:val="32"/>
        </w:rPr>
        <w:t>，</w:t>
      </w:r>
      <w:r>
        <w:rPr>
          <w:rStyle w:val="17"/>
          <w:rFonts w:hint="eastAsia" w:ascii="仿宋" w:hAnsi="仿宋" w:eastAsia="仿宋"/>
          <w:b w:val="0"/>
          <w:bCs/>
          <w:color w:val="000000"/>
          <w:sz w:val="32"/>
          <w:szCs w:val="32"/>
        </w:rPr>
        <w:t>决算数小于预算数的主要原因是部分延续性项目需要在下一年度支付；节能环保支出（类）污染减排（款）生态环境监测与信息（项）</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支出决算为939.86万元，是上年结转资金在本年支出；节能环保支出（类）其他节能环保支出（款）其他节能环保支出（项）</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支出决算为63.41万元，是上年结转资金在本年支出。</w:t>
      </w:r>
    </w:p>
    <w:p>
      <w:pPr>
        <w:spacing w:line="600" w:lineRule="exact"/>
        <w:ind w:firstLine="640" w:firstLineChars="200"/>
        <w:rPr>
          <w:rFonts w:ascii="仿宋" w:hAnsi="仿宋" w:eastAsia="仿宋"/>
          <w:bCs/>
          <w:color w:val="000000"/>
          <w:sz w:val="32"/>
          <w:szCs w:val="32"/>
        </w:rPr>
      </w:pPr>
      <w:r>
        <w:rPr>
          <w:rStyle w:val="17"/>
          <w:rFonts w:hint="eastAsia" w:ascii="仿宋" w:hAnsi="仿宋" w:eastAsia="仿宋"/>
          <w:b w:val="0"/>
          <w:bCs/>
          <w:color w:val="000000"/>
          <w:sz w:val="32"/>
          <w:szCs w:val="32"/>
        </w:rPr>
        <w:t>4</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 xml:space="preserve"> 住房保障支出（类）住房改革支出（款）住房公积金（项）</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支出决算为99.69万元，完成预算100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tabs>
          <w:tab w:val="right" w:pos="8306"/>
        </w:tabs>
        <w:spacing w:line="600" w:lineRule="exact"/>
        <w:ind w:firstLine="640"/>
        <w:outlineLvl w:val="1"/>
        <w:rPr>
          <w:rStyle w:val="20"/>
        </w:rPr>
      </w:pPr>
      <w:bookmarkStart w:id="44" w:name="_Toc15396608"/>
      <w:bookmarkStart w:id="45"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0"/>
          <w:rFonts w:hint="eastAsia" w:ascii="黑体" w:hAnsi="黑体" w:eastAsia="黑体"/>
          <w:b w:val="0"/>
        </w:rPr>
        <w:t>般公共预算财政拨款基本支出决算情况说明</w:t>
      </w:r>
      <w:bookmarkEnd w:id="44"/>
      <w:bookmarkEnd w:id="45"/>
      <w:r>
        <w:rPr>
          <w:rStyle w:val="20"/>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年一般公共预算财政拨款基本支出1447.14万元，其中：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1212.29万元，主要包括：基本工资、津贴补贴、奖金、绩效工资、机关事业单位基本养老保险缴费、职业年金缴费、其他社会保障缴费、其他工资福利支出、离休费、退休费、抚恤金、生活补助、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日常公用经费234.84万元，主要包括：办公费、水费、电费、邮电费、差旅费、公务接待费、工会经费、福利费、公务用车运行维护费、其他交通费、其他商品和服务支出。</w:t>
      </w:r>
    </w:p>
    <w:p>
      <w:pPr>
        <w:spacing w:line="600" w:lineRule="exact"/>
        <w:ind w:firstLine="640"/>
        <w:outlineLvl w:val="1"/>
        <w:rPr>
          <w:rStyle w:val="20"/>
          <w:rFonts w:ascii="黑体" w:hAnsi="黑体" w:eastAsia="黑体"/>
          <w:b w:val="0"/>
        </w:rPr>
      </w:pPr>
      <w:bookmarkStart w:id="46" w:name="_Toc15396609"/>
      <w:bookmarkStart w:id="47" w:name="_Toc15377215"/>
      <w:r>
        <w:rPr>
          <w:rFonts w:hint="eastAsia" w:ascii="黑体" w:eastAsia="黑体"/>
          <w:color w:val="000000"/>
          <w:sz w:val="32"/>
          <w:szCs w:val="32"/>
        </w:rPr>
        <w:t>七、</w:t>
      </w:r>
      <w:r>
        <w:rPr>
          <w:rStyle w:val="20"/>
          <w:rFonts w:hint="eastAsia" w:ascii="黑体" w:hAnsi="黑体" w:eastAsia="黑体"/>
        </w:rPr>
        <w:t>“</w:t>
      </w:r>
      <w:r>
        <w:rPr>
          <w:rStyle w:val="20"/>
          <w:rFonts w:hint="eastAsia" w:ascii="黑体" w:hAnsi="黑体" w:eastAsia="黑体"/>
          <w:b w:val="0"/>
        </w:rPr>
        <w:t>三公”经费财政拨款支出决算情况说明</w:t>
      </w:r>
      <w:bookmarkEnd w:id="46"/>
      <w:bookmarkEnd w:id="47"/>
    </w:p>
    <w:p>
      <w:pPr>
        <w:spacing w:line="600" w:lineRule="exact"/>
        <w:ind w:firstLine="640"/>
        <w:outlineLvl w:val="2"/>
        <w:rPr>
          <w:rFonts w:ascii="仿宋" w:hAnsi="仿宋" w:eastAsia="仿宋"/>
          <w:b/>
          <w:color w:val="000000"/>
          <w:sz w:val="32"/>
          <w:szCs w:val="32"/>
        </w:rPr>
      </w:pPr>
      <w:bookmarkStart w:id="48" w:name="_Toc15377216"/>
      <w:r>
        <w:rPr>
          <w:rFonts w:hint="eastAsia" w:ascii="仿宋" w:hAnsi="仿宋" w:eastAsia="仿宋"/>
          <w:b/>
          <w:color w:val="000000"/>
          <w:sz w:val="32"/>
          <w:szCs w:val="32"/>
        </w:rPr>
        <w:t>（一）“三公”经费财政拨款支出决算总体情况说明</w:t>
      </w:r>
      <w:bookmarkEnd w:id="48"/>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年“三公”经费财政拨款支出决算为48.46万元，完成预算100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9" w:name="_Toc15377217"/>
      <w:r>
        <w:rPr>
          <w:rFonts w:hint="eastAsia" w:ascii="仿宋" w:hAnsi="仿宋" w:eastAsia="仿宋"/>
          <w:b/>
          <w:color w:val="000000"/>
          <w:sz w:val="32"/>
          <w:szCs w:val="32"/>
        </w:rPr>
        <w:t>（二）“三公”经费财政拨款支出决算具体情况说明</w:t>
      </w:r>
      <w:bookmarkEnd w:id="49"/>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年“三公”经费财政拨款支出决算中，因公出国（境）费支出决算0万元；公务用车购置及运行维护费支出决算45.21万元，占93.29</w:t>
      </w:r>
      <w:r>
        <w:rPr>
          <w:rFonts w:ascii="仿宋" w:hAnsi="仿宋" w:eastAsia="仿宋"/>
          <w:color w:val="000000"/>
          <w:sz w:val="32"/>
          <w:szCs w:val="32"/>
        </w:rPr>
        <w:t>%</w:t>
      </w:r>
      <w:r>
        <w:rPr>
          <w:rFonts w:hint="eastAsia" w:ascii="仿宋" w:hAnsi="仿宋" w:eastAsia="仿宋"/>
          <w:color w:val="000000"/>
          <w:sz w:val="32"/>
          <w:szCs w:val="32"/>
        </w:rPr>
        <w:t>；公务接待费支出决算3.25万元，占6.71</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r>
        <w:drawing>
          <wp:anchor distT="0" distB="0" distL="114300" distR="114300" simplePos="0" relativeHeight="251660288" behindDoc="0" locked="0" layoutInCell="1" allowOverlap="1">
            <wp:simplePos x="0" y="0"/>
            <wp:positionH relativeFrom="column">
              <wp:posOffset>410210</wp:posOffset>
            </wp:positionH>
            <wp:positionV relativeFrom="paragraph">
              <wp:posOffset>-1731645</wp:posOffset>
            </wp:positionV>
            <wp:extent cx="3600450" cy="2039620"/>
            <wp:effectExtent l="0" t="0" r="0" b="0"/>
            <wp:wrapNone/>
            <wp:docPr id="16" name="图表 7"/>
            <wp:cNvGraphicFramePr/>
            <a:graphic xmlns:a="http://schemas.openxmlformats.org/drawingml/2006/main">
              <a:graphicData uri="http://schemas.openxmlformats.org/drawingml/2006/picture">
                <pic:pic xmlns:pic="http://schemas.openxmlformats.org/drawingml/2006/picture">
                  <pic:nvPicPr>
                    <pic:cNvPr id="16" name="图表 7"/>
                    <pic:cNvPicPr>
                      <a:picLocks noChangeArrowheads="true"/>
                    </pic:cNvPicPr>
                  </pic:nvPicPr>
                  <pic:blipFill>
                    <a:blip r:embed="rId12">
                      <a:extLst>
                        <a:ext uri="{28A0092B-C50C-407E-A947-70E740481C1C}">
                          <a14:useLocalDpi xmlns:a14="http://schemas.microsoft.com/office/drawing/2010/main" val="false"/>
                        </a:ext>
                      </a:extLst>
                    </a:blip>
                    <a:srcRect b="-177"/>
                    <a:stretch>
                      <a:fillRect/>
                    </a:stretch>
                  </pic:blipFill>
                  <pic:spPr>
                    <a:xfrm>
                      <a:off x="0" y="0"/>
                      <a:ext cx="3600450" cy="2039620"/>
                    </a:xfrm>
                    <a:prstGeom prst="rect">
                      <a:avLst/>
                    </a:prstGeom>
                    <a:noFill/>
                    <a:ln>
                      <a:noFill/>
                    </a:ln>
                  </pic:spPr>
                </pic:pic>
              </a:graphicData>
            </a:graphic>
          </wp:anchor>
        </w:drawing>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 xml:space="preserve">     “三公”经费财政拨款支出结构</w:t>
      </w:r>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rPr>
        <w:t>因公出国（境）经费支出0万元，因公出国（境）支出决算与</w:t>
      </w:r>
      <w:r>
        <w:rPr>
          <w:rFonts w:ascii="仿宋" w:hAnsi="仿宋" w:eastAsia="仿宋"/>
          <w:color w:val="000000"/>
          <w:sz w:val="32"/>
          <w:szCs w:val="32"/>
        </w:rPr>
        <w:t>201</w:t>
      </w:r>
      <w:r>
        <w:rPr>
          <w:rFonts w:hint="eastAsia" w:ascii="仿宋" w:hAnsi="仿宋" w:eastAsia="仿宋"/>
          <w:color w:val="000000"/>
          <w:sz w:val="32"/>
          <w:szCs w:val="32"/>
        </w:rPr>
        <w:t>9年持平。</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公务用车购置及运行维护费支出48.46万元</w:t>
      </w:r>
      <w:r>
        <w:rPr>
          <w:rFonts w:ascii="仿宋" w:hAnsi="仿宋" w:eastAsia="仿宋"/>
          <w:color w:val="000000"/>
          <w:sz w:val="32"/>
          <w:szCs w:val="32"/>
        </w:rPr>
        <w:t>,</w:t>
      </w:r>
      <w:r>
        <w:rPr>
          <w:rStyle w:val="17"/>
          <w:rFonts w:hint="eastAsia" w:ascii="仿宋" w:hAnsi="仿宋" w:eastAsia="仿宋"/>
          <w:b w:val="0"/>
          <w:bCs/>
          <w:color w:val="000000"/>
          <w:sz w:val="32"/>
          <w:szCs w:val="32"/>
        </w:rPr>
        <w:t>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r>
        <w:rPr>
          <w:rFonts w:hint="eastAsia" w:ascii="仿宋" w:hAnsi="仿宋" w:eastAsia="仿宋"/>
          <w:color w:val="000000"/>
          <w:sz w:val="32"/>
          <w:szCs w:val="32"/>
        </w:rPr>
        <w:t>公务用车购置及运行维护费支出决算比</w:t>
      </w:r>
      <w:r>
        <w:rPr>
          <w:rFonts w:ascii="仿宋" w:hAnsi="仿宋" w:eastAsia="仿宋"/>
          <w:color w:val="000000"/>
          <w:sz w:val="32"/>
          <w:szCs w:val="32"/>
        </w:rPr>
        <w:t>201</w:t>
      </w:r>
      <w:r>
        <w:rPr>
          <w:rFonts w:hint="eastAsia" w:ascii="仿宋" w:hAnsi="仿宋" w:eastAsia="仿宋"/>
          <w:color w:val="000000"/>
          <w:sz w:val="32"/>
          <w:szCs w:val="32"/>
        </w:rPr>
        <w:t>9年增加5.43万元，增长13.65</w:t>
      </w:r>
      <w:r>
        <w:rPr>
          <w:rFonts w:ascii="仿宋" w:hAnsi="仿宋" w:eastAsia="仿宋"/>
          <w:color w:val="000000"/>
          <w:sz w:val="32"/>
          <w:szCs w:val="32"/>
        </w:rPr>
        <w:t>%</w:t>
      </w:r>
      <w:r>
        <w:rPr>
          <w:rFonts w:hint="eastAsia" w:ascii="仿宋" w:hAnsi="仿宋" w:eastAsia="仿宋"/>
          <w:color w:val="000000"/>
          <w:sz w:val="32"/>
          <w:szCs w:val="32"/>
        </w:rPr>
        <w:t>。主要原因是增加</w:t>
      </w:r>
      <w:r>
        <w:rPr>
          <w:rStyle w:val="17"/>
          <w:rFonts w:hint="eastAsia" w:ascii="仿宋" w:hAnsi="仿宋" w:eastAsia="仿宋"/>
          <w:b w:val="0"/>
          <w:bCs/>
          <w:color w:val="000000"/>
          <w:sz w:val="32"/>
          <w:szCs w:val="32"/>
        </w:rPr>
        <w:t>乌东德水污染防控预警及监测项目的车辆购置费</w:t>
      </w:r>
      <w:r>
        <w:rPr>
          <w:rFonts w:hint="eastAsia" w:ascii="仿宋" w:hAnsi="仿宋" w:eastAsia="仿宋"/>
          <w:color w:val="000000"/>
          <w:sz w:val="32"/>
          <w:szCs w:val="32"/>
        </w:rPr>
        <w:t>。</w:t>
      </w:r>
    </w:p>
    <w:p>
      <w:pPr>
        <w:spacing w:line="600" w:lineRule="exact"/>
        <w:ind w:firstLine="640" w:firstLineChars="200"/>
        <w:rPr>
          <w:rFonts w:ascii="仿宋" w:hAnsi="仿宋" w:eastAsia="仿宋"/>
          <w:b/>
          <w:color w:val="000000"/>
          <w:sz w:val="32"/>
          <w:szCs w:val="32"/>
        </w:rPr>
      </w:pPr>
      <w:r>
        <w:rPr>
          <w:rFonts w:hint="eastAsia" w:ascii="仿宋" w:hAnsi="仿宋" w:eastAsia="仿宋"/>
          <w:color w:val="000000"/>
          <w:sz w:val="32"/>
          <w:szCs w:val="32"/>
        </w:rPr>
        <w:t>其中：公务用车购置支出4.45万元。为</w:t>
      </w:r>
      <w:r>
        <w:rPr>
          <w:rStyle w:val="17"/>
          <w:rFonts w:hint="eastAsia" w:ascii="仿宋" w:hAnsi="仿宋" w:eastAsia="仿宋"/>
          <w:b w:val="0"/>
          <w:bCs/>
          <w:color w:val="000000"/>
          <w:sz w:val="32"/>
          <w:szCs w:val="32"/>
        </w:rPr>
        <w:t>乌东德水污染防控预警及监测项目2台车车辆购置税</w:t>
      </w:r>
      <w:r>
        <w:rPr>
          <w:rFonts w:hint="eastAsia" w:ascii="仿宋" w:hAnsi="仿宋" w:eastAsia="仿宋"/>
          <w:color w:val="000000"/>
          <w:sz w:val="32"/>
          <w:szCs w:val="32"/>
        </w:rPr>
        <w:t>。截至</w:t>
      </w:r>
      <w:r>
        <w:rPr>
          <w:rFonts w:ascii="仿宋" w:hAnsi="仿宋" w:eastAsia="仿宋"/>
          <w:color w:val="000000"/>
          <w:sz w:val="32"/>
          <w:szCs w:val="32"/>
        </w:rPr>
        <w:t>2020</w:t>
      </w:r>
      <w:r>
        <w:rPr>
          <w:rFonts w:hint="eastAsia" w:ascii="仿宋" w:hAnsi="仿宋" w:eastAsia="仿宋"/>
          <w:color w:val="000000"/>
          <w:sz w:val="32"/>
          <w:szCs w:val="32"/>
        </w:rPr>
        <w:t>年</w:t>
      </w:r>
      <w:r>
        <w:rPr>
          <w:rFonts w:ascii="仿宋" w:hAnsi="仿宋" w:eastAsia="仿宋"/>
          <w:color w:val="000000"/>
          <w:sz w:val="32"/>
          <w:szCs w:val="32"/>
        </w:rPr>
        <w:t>12</w:t>
      </w:r>
      <w:r>
        <w:rPr>
          <w:rFonts w:hint="eastAsia" w:ascii="仿宋" w:hAnsi="仿宋" w:eastAsia="仿宋"/>
          <w:color w:val="000000"/>
          <w:sz w:val="32"/>
          <w:szCs w:val="32"/>
        </w:rPr>
        <w:t>月底，单位共有公务用车11辆，其中：轿车3辆、越野车6辆、其他车型2辆。</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公务用车运行维护费支出40.76万元。主要用于环境监察执法检查、主要污染物减排核查、大气环境质量专项检查、环保督察等所需的公务用车燃料费、维修费、过路过桥费、保险费等支出。</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t>3.</w:t>
      </w:r>
      <w:r>
        <w:rPr>
          <w:rFonts w:hint="eastAsia" w:ascii="仿宋" w:hAnsi="仿宋" w:eastAsia="仿宋"/>
          <w:color w:val="000000"/>
          <w:sz w:val="32"/>
          <w:szCs w:val="32"/>
        </w:rPr>
        <w:t>公务接待费支出3.25万元，</w:t>
      </w:r>
      <w:r>
        <w:rPr>
          <w:rStyle w:val="17"/>
          <w:rFonts w:hint="eastAsia" w:ascii="仿宋" w:hAnsi="仿宋" w:eastAsia="仿宋"/>
          <w:b w:val="0"/>
          <w:bCs/>
          <w:color w:val="000000"/>
          <w:sz w:val="32"/>
          <w:szCs w:val="32"/>
        </w:rPr>
        <w:t>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r>
        <w:rPr>
          <w:rFonts w:hint="eastAsia" w:ascii="仿宋" w:hAnsi="仿宋" w:eastAsia="仿宋"/>
          <w:color w:val="000000"/>
          <w:sz w:val="32"/>
          <w:szCs w:val="32"/>
        </w:rPr>
        <w:t>公务接待费支出决算比</w:t>
      </w:r>
      <w:r>
        <w:rPr>
          <w:rFonts w:ascii="仿宋" w:hAnsi="仿宋" w:eastAsia="仿宋"/>
          <w:color w:val="000000"/>
          <w:sz w:val="32"/>
          <w:szCs w:val="32"/>
        </w:rPr>
        <w:t>2019</w:t>
      </w:r>
      <w:r>
        <w:rPr>
          <w:rFonts w:hint="eastAsia" w:ascii="仿宋" w:hAnsi="仿宋" w:eastAsia="仿宋"/>
          <w:color w:val="000000"/>
          <w:sz w:val="32"/>
          <w:szCs w:val="32"/>
        </w:rPr>
        <w:t>年增加2.2万元，增长209.52</w:t>
      </w:r>
      <w:r>
        <w:rPr>
          <w:rFonts w:ascii="仿宋" w:hAnsi="仿宋" w:eastAsia="仿宋"/>
          <w:color w:val="000000"/>
          <w:sz w:val="32"/>
          <w:szCs w:val="32"/>
        </w:rPr>
        <w:t>%</w:t>
      </w:r>
      <w:r>
        <w:rPr>
          <w:rFonts w:hint="eastAsia" w:ascii="仿宋" w:hAnsi="仿宋" w:eastAsia="仿宋"/>
          <w:color w:val="000000"/>
          <w:sz w:val="32"/>
          <w:szCs w:val="32"/>
        </w:rPr>
        <w:t>。主要原因是上年度部分未支付接待费在本年度支付。其中：</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国内公务接待支出3.25万元，主要用于执行公务、开展业务活动开支的用餐费。国内公务接待26批次，170人次（不包括陪同人员），共计支出3.25万元，具体内容包括迎接上级来攀检查，邀请专家指导工作等活动开支的用餐费。</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外事接待支出0万元</w:t>
      </w:r>
      <w:bookmarkStart w:id="50" w:name="_Toc15396610"/>
      <w:bookmarkStart w:id="51" w:name="_Toc15377218"/>
      <w:r>
        <w:rPr>
          <w:rFonts w:hint="eastAsia" w:ascii="仿宋" w:hAnsi="仿宋" w:eastAsia="仿宋"/>
          <w:color w:val="000000"/>
          <w:sz w:val="32"/>
          <w:szCs w:val="32"/>
        </w:rPr>
        <w:t>。</w:t>
      </w:r>
    </w:p>
    <w:p>
      <w:pPr>
        <w:spacing w:line="600" w:lineRule="exact"/>
        <w:ind w:firstLine="640"/>
        <w:outlineLvl w:val="1"/>
        <w:rPr>
          <w:rStyle w:val="20"/>
          <w:rFonts w:ascii="黑体" w:hAnsi="黑体" w:eastAsia="黑体"/>
        </w:rPr>
      </w:pPr>
      <w:r>
        <w:rPr>
          <w:rFonts w:hint="eastAsia" w:ascii="黑体" w:eastAsia="黑体"/>
          <w:color w:val="000000"/>
          <w:sz w:val="32"/>
          <w:szCs w:val="32"/>
        </w:rPr>
        <w:t>八、</w:t>
      </w:r>
      <w:r>
        <w:rPr>
          <w:rStyle w:val="20"/>
          <w:rFonts w:hint="eastAsia" w:ascii="黑体" w:hAnsi="黑体" w:eastAsia="黑体"/>
          <w:b w:val="0"/>
        </w:rPr>
        <w:t>政府性基金预算支出决算情况说明</w:t>
      </w:r>
      <w:bookmarkEnd w:id="50"/>
      <w:bookmarkEnd w:id="5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年政府性基金预算拨款支出1643.61万元。</w:t>
      </w:r>
    </w:p>
    <w:p>
      <w:pPr>
        <w:numPr>
          <w:ilvl w:val="0"/>
          <w:numId w:val="4"/>
        </w:numPr>
        <w:spacing w:line="600" w:lineRule="exact"/>
        <w:ind w:firstLine="640"/>
        <w:outlineLvl w:val="1"/>
        <w:rPr>
          <w:rStyle w:val="20"/>
          <w:rFonts w:ascii="黑体" w:hAnsi="黑体" w:eastAsia="黑体"/>
          <w:b w:val="0"/>
        </w:rPr>
      </w:pPr>
      <w:bookmarkStart w:id="52" w:name="_Toc15396611"/>
      <w:bookmarkStart w:id="53" w:name="_Toc15377219"/>
      <w:r>
        <w:rPr>
          <w:rStyle w:val="20"/>
          <w:rFonts w:hint="eastAsia" w:ascii="黑体" w:hAnsi="黑体" w:eastAsia="黑体"/>
          <w:b w:val="0"/>
        </w:rPr>
        <w:t>国有资本经营预算支出决算情况说明</w:t>
      </w:r>
      <w:bookmarkEnd w:id="52"/>
      <w:bookmarkEnd w:id="53"/>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年国有资本经营预算拨款支出0万元。</w:t>
      </w:r>
    </w:p>
    <w:p>
      <w:pPr>
        <w:spacing w:line="600" w:lineRule="exact"/>
        <w:ind w:firstLine="800" w:firstLineChars="250"/>
        <w:outlineLvl w:val="1"/>
        <w:rPr>
          <w:rStyle w:val="20"/>
          <w:rFonts w:ascii="黑体" w:hAnsi="黑体" w:eastAsia="黑体"/>
        </w:rPr>
      </w:pPr>
      <w:bookmarkStart w:id="54" w:name="_Toc15377221"/>
      <w:bookmarkStart w:id="55" w:name="_Toc15396612"/>
      <w:r>
        <w:rPr>
          <w:rFonts w:hint="eastAsia" w:ascii="黑体" w:hAnsi="黑体" w:eastAsia="黑体"/>
          <w:color w:val="000000"/>
          <w:sz w:val="32"/>
          <w:szCs w:val="32"/>
        </w:rPr>
        <w:t>十</w:t>
      </w:r>
      <w:r>
        <w:rPr>
          <w:rStyle w:val="20"/>
          <w:rFonts w:hint="eastAsia" w:ascii="黑体" w:hAnsi="黑体" w:eastAsia="黑体"/>
        </w:rPr>
        <w:t>、</w:t>
      </w:r>
      <w:r>
        <w:rPr>
          <w:rStyle w:val="20"/>
          <w:rFonts w:hint="eastAsia" w:ascii="黑体" w:hAnsi="黑体" w:eastAsia="黑体"/>
          <w:b w:val="0"/>
        </w:rPr>
        <w:t>其他重要事项的情况说明</w:t>
      </w:r>
      <w:bookmarkEnd w:id="54"/>
      <w:bookmarkEnd w:id="55"/>
    </w:p>
    <w:p>
      <w:pPr>
        <w:spacing w:line="600" w:lineRule="exact"/>
        <w:ind w:firstLine="642" w:firstLineChars="200"/>
        <w:outlineLvl w:val="2"/>
        <w:rPr>
          <w:rFonts w:ascii="仿宋" w:hAnsi="仿宋" w:eastAsia="仿宋"/>
          <w:color w:val="000000"/>
          <w:sz w:val="32"/>
          <w:szCs w:val="32"/>
        </w:rPr>
      </w:pPr>
      <w:bookmarkStart w:id="56" w:name="_Toc15377222"/>
      <w:r>
        <w:rPr>
          <w:rFonts w:hint="eastAsia" w:ascii="仿宋" w:hAnsi="仿宋" w:eastAsia="仿宋"/>
          <w:b/>
          <w:color w:val="000000"/>
          <w:sz w:val="32"/>
          <w:szCs w:val="32"/>
        </w:rPr>
        <w:t>（一）机关运行经费支出情况</w:t>
      </w:r>
      <w:bookmarkEnd w:id="56"/>
    </w:p>
    <w:p>
      <w:pPr>
        <w:spacing w:line="60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年，市生态环境局机关运行经费支出234.85万元，比</w:t>
      </w:r>
      <w:r>
        <w:rPr>
          <w:rFonts w:ascii="仿宋" w:hAnsi="仿宋" w:eastAsia="仿宋"/>
          <w:color w:val="000000"/>
          <w:sz w:val="32"/>
          <w:szCs w:val="32"/>
        </w:rPr>
        <w:t>2019</w:t>
      </w:r>
      <w:r>
        <w:rPr>
          <w:rFonts w:hint="eastAsia" w:ascii="仿宋" w:hAnsi="仿宋" w:eastAsia="仿宋"/>
          <w:color w:val="000000"/>
          <w:sz w:val="32"/>
          <w:szCs w:val="32"/>
        </w:rPr>
        <w:t>年减少5.86万元，下降2.43</w:t>
      </w:r>
      <w:r>
        <w:rPr>
          <w:rFonts w:ascii="仿宋" w:hAnsi="仿宋" w:eastAsia="仿宋"/>
          <w:color w:val="000000"/>
          <w:sz w:val="32"/>
          <w:szCs w:val="32"/>
        </w:rPr>
        <w:t>%</w:t>
      </w:r>
      <w:r>
        <w:rPr>
          <w:rFonts w:hint="eastAsia" w:ascii="仿宋" w:hAnsi="仿宋" w:eastAsia="仿宋"/>
          <w:color w:val="000000"/>
          <w:sz w:val="32"/>
          <w:szCs w:val="32"/>
        </w:rPr>
        <w:t>。主要原因是</w:t>
      </w:r>
      <w:bookmarkStart w:id="57" w:name="_Toc15377223"/>
      <w:r>
        <w:rPr>
          <w:rFonts w:hint="eastAsia" w:ascii="仿宋" w:hAnsi="仿宋" w:eastAsia="仿宋"/>
          <w:color w:val="000000"/>
          <w:sz w:val="32"/>
          <w:szCs w:val="32"/>
        </w:rPr>
        <w:t>严格控制机关运行成本的结果。</w:t>
      </w:r>
    </w:p>
    <w:p>
      <w:pPr>
        <w:spacing w:line="600" w:lineRule="exact"/>
        <w:ind w:firstLine="642" w:firstLineChars="200"/>
        <w:rPr>
          <w:rFonts w:ascii="仿宋" w:hAnsi="仿宋" w:eastAsia="仿宋"/>
          <w:b/>
          <w:color w:val="000000"/>
          <w:sz w:val="32"/>
          <w:szCs w:val="32"/>
        </w:rPr>
      </w:pPr>
      <w:r>
        <w:rPr>
          <w:rFonts w:hint="eastAsia" w:ascii="仿宋" w:hAnsi="仿宋" w:eastAsia="仿宋"/>
          <w:b/>
          <w:color w:val="000000"/>
          <w:sz w:val="32"/>
          <w:szCs w:val="32"/>
        </w:rPr>
        <w:t>（二）政府采购支出情况</w:t>
      </w:r>
      <w:bookmarkEnd w:id="57"/>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市生态环境局政府采购支出总额3429.23万元，其中：政府采购货物支出2410.4万元、政府采购工程支出640.8万元、政府采购服务支出378.04万元。主要用于乌东德水污染防控预警及监测项目、观音岩饮用水水源保护区规范化建设、环评评估项目、土壤污染状况调查等。</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58" w:name="_Toc15377224"/>
      <w:r>
        <w:rPr>
          <w:rFonts w:hint="eastAsia" w:ascii="仿宋" w:hAnsi="仿宋" w:eastAsia="仿宋"/>
          <w:b/>
          <w:color w:val="000000"/>
          <w:sz w:val="32"/>
          <w:szCs w:val="32"/>
        </w:rPr>
        <w:t>（三）国有资产占有使用情况</w:t>
      </w:r>
      <w:bookmarkEnd w:id="58"/>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 w:hAnsi="仿宋" w:eastAsia="仿宋"/>
          <w:color w:val="000000"/>
          <w:sz w:val="32"/>
          <w:szCs w:val="32"/>
        </w:rPr>
        <w:t>截至</w:t>
      </w:r>
      <w:r>
        <w:rPr>
          <w:rFonts w:ascii="仿宋" w:hAnsi="仿宋" w:eastAsia="仿宋"/>
          <w:color w:val="000000"/>
          <w:sz w:val="32"/>
          <w:szCs w:val="32"/>
        </w:rPr>
        <w:t>2020</w:t>
      </w:r>
      <w:r>
        <w:rPr>
          <w:rFonts w:hint="eastAsia" w:ascii="仿宋" w:hAnsi="仿宋" w:eastAsia="仿宋"/>
          <w:color w:val="000000"/>
          <w:sz w:val="32"/>
          <w:szCs w:val="32"/>
        </w:rPr>
        <w:t>年</w:t>
      </w:r>
      <w:r>
        <w:rPr>
          <w:rFonts w:ascii="仿宋" w:hAnsi="仿宋" w:eastAsia="仿宋"/>
          <w:color w:val="000000"/>
          <w:sz w:val="32"/>
          <w:szCs w:val="32"/>
        </w:rPr>
        <w:t>12</w:t>
      </w:r>
      <w:r>
        <w:rPr>
          <w:rFonts w:hint="eastAsia" w:ascii="仿宋" w:hAnsi="仿宋" w:eastAsia="仿宋"/>
          <w:color w:val="000000"/>
          <w:sz w:val="32"/>
          <w:szCs w:val="32"/>
        </w:rPr>
        <w:t>月</w:t>
      </w:r>
      <w:r>
        <w:rPr>
          <w:rFonts w:ascii="仿宋" w:hAnsi="仿宋" w:eastAsia="仿宋"/>
          <w:color w:val="000000"/>
          <w:sz w:val="32"/>
          <w:szCs w:val="32"/>
        </w:rPr>
        <w:t>31</w:t>
      </w:r>
      <w:r>
        <w:rPr>
          <w:rFonts w:hint="eastAsia" w:ascii="仿宋" w:hAnsi="仿宋" w:eastAsia="仿宋"/>
          <w:color w:val="000000"/>
          <w:sz w:val="32"/>
          <w:szCs w:val="32"/>
        </w:rPr>
        <w:t>日，市生态环境局共有车辆11辆，其中：主要领导干部用车0辆、机要通信用车0辆、应急保障用车1辆、特种专业技术用车10辆、其他用车0辆。单价</w:t>
      </w:r>
      <w:r>
        <w:rPr>
          <w:rFonts w:ascii="仿宋" w:hAnsi="仿宋" w:eastAsia="仿宋"/>
          <w:color w:val="000000"/>
          <w:sz w:val="32"/>
          <w:szCs w:val="32"/>
        </w:rPr>
        <w:t>50</w:t>
      </w:r>
      <w:r>
        <w:rPr>
          <w:rFonts w:hint="eastAsia" w:ascii="仿宋" w:hAnsi="仿宋" w:eastAsia="仿宋"/>
          <w:color w:val="000000"/>
          <w:sz w:val="32"/>
          <w:szCs w:val="32"/>
        </w:rPr>
        <w:t>万元以上通用设备4台（套），单价</w:t>
      </w:r>
      <w:r>
        <w:rPr>
          <w:rFonts w:ascii="仿宋" w:hAnsi="仿宋" w:eastAsia="仿宋"/>
          <w:color w:val="000000"/>
          <w:sz w:val="32"/>
          <w:szCs w:val="32"/>
        </w:rPr>
        <w:t>100</w:t>
      </w:r>
      <w:r>
        <w:rPr>
          <w:rFonts w:hint="eastAsia" w:ascii="仿宋" w:hAnsi="仿宋" w:eastAsia="仿宋"/>
          <w:color w:val="000000"/>
          <w:sz w:val="32"/>
          <w:szCs w:val="32"/>
        </w:rPr>
        <w:t>万元以上专用设备2台（套）。</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根据预算绩效管理要求，本部门在年初预算编制阶段，组织对环境公报调查和宣传、环境监察执法环保三大战役环保督察、环境信息系统及污染源自动监控系统运维、第二次全国污染源普查、业务运行开展了预算事前绩效评估，对5个项目编制了绩效目标，预算执行过程中，选取5个项目开展绩效监控，年终执行完毕后，对5个项目开展了绩效目标完成情况自评。</w:t>
      </w:r>
    </w:p>
    <w:p>
      <w:pPr>
        <w:rPr>
          <w:rFonts w:ascii="仿宋" w:hAnsi="仿宋" w:eastAsia="仿宋" w:cs="仿宋_GB2312"/>
          <w:sz w:val="32"/>
          <w:szCs w:val="32"/>
        </w:rPr>
      </w:pPr>
      <w:r>
        <w:rPr>
          <w:rFonts w:hint="eastAsia" w:ascii="仿宋" w:hAnsi="仿宋" w:eastAsia="仿宋" w:cs="仿宋_GB2312"/>
          <w:sz w:val="32"/>
          <w:szCs w:val="32"/>
        </w:rPr>
        <w:t xml:space="preserve">    本单位按要求对</w:t>
      </w:r>
      <w:r>
        <w:rPr>
          <w:rFonts w:ascii="仿宋" w:hAnsi="仿宋" w:eastAsia="仿宋" w:cs="仿宋_GB2312"/>
          <w:sz w:val="32"/>
          <w:szCs w:val="32"/>
        </w:rPr>
        <w:t>2020</w:t>
      </w:r>
      <w:r>
        <w:rPr>
          <w:rFonts w:hint="eastAsia" w:ascii="仿宋" w:hAnsi="仿宋" w:eastAsia="仿宋" w:cs="仿宋_GB2312"/>
          <w:sz w:val="32"/>
          <w:szCs w:val="32"/>
        </w:rPr>
        <w:t>年部门整体支出开展绩效自评，从评价情况来看，我局紧紧围绕“全面加强党的建设、助推经济高质量发展、污染防治攻坚、环督问题整改、提升综合治理水平”5个重点工作，推动环境质量稳中向好，生态环境保护和生态文明建设再上新台阶，实现了部门整体支出绩效目标。本部门还自行组织了5个项目支出绩效评价，从评价情况来看，项目的实施对提升环保监管能力，巩固和改善了环境质量起到了积极的推动作用。</w:t>
      </w:r>
    </w:p>
    <w:p>
      <w:pPr>
        <w:spacing w:line="580" w:lineRule="exact"/>
        <w:ind w:firstLine="640" w:firstLineChars="200"/>
        <w:rPr>
          <w:rFonts w:hint="eastAsia" w:ascii="仿宋" w:hAnsi="仿宋" w:eastAsia="仿宋" w:cs="仿宋_GB2312"/>
          <w:sz w:val="32"/>
          <w:szCs w:val="32"/>
        </w:rPr>
      </w:pPr>
      <w:r>
        <w:rPr>
          <w:rFonts w:ascii="仿宋" w:hAnsi="仿宋" w:eastAsia="仿宋" w:cs="楷体_GB2312"/>
          <w:sz w:val="32"/>
          <w:szCs w:val="32"/>
        </w:rPr>
        <w:t>1.</w:t>
      </w:r>
      <w:r>
        <w:rPr>
          <w:rFonts w:hint="eastAsia" w:ascii="仿宋" w:hAnsi="仿宋" w:eastAsia="仿宋" w:cs="楷体_GB2312"/>
          <w:sz w:val="32"/>
          <w:szCs w:val="32"/>
        </w:rPr>
        <w:t>项目绩效目标完成情况。</w:t>
      </w:r>
      <w:r>
        <w:rPr>
          <w:rFonts w:ascii="仿宋" w:hAnsi="仿宋" w:eastAsia="仿宋" w:cs="楷体_GB2312"/>
          <w:sz w:val="32"/>
          <w:szCs w:val="32"/>
        </w:rPr>
        <w:br w:type="textWrapping"/>
      </w:r>
      <w:r>
        <w:rPr>
          <w:rFonts w:ascii="仿宋" w:hAnsi="仿宋" w:eastAsia="仿宋" w:cs="仿宋_GB2312"/>
          <w:sz w:val="32"/>
          <w:szCs w:val="32"/>
        </w:rPr>
        <w:t xml:space="preserve">    </w:t>
      </w:r>
      <w:r>
        <w:rPr>
          <w:rFonts w:hint="eastAsia" w:ascii="仿宋" w:hAnsi="仿宋" w:eastAsia="仿宋" w:cs="仿宋_GB2312"/>
          <w:sz w:val="32"/>
          <w:szCs w:val="32"/>
        </w:rPr>
        <w:t>本部门在</w:t>
      </w:r>
      <w:r>
        <w:rPr>
          <w:rFonts w:ascii="仿宋" w:hAnsi="仿宋" w:eastAsia="仿宋" w:cs="仿宋_GB2312"/>
          <w:sz w:val="32"/>
          <w:szCs w:val="32"/>
        </w:rPr>
        <w:t>2020</w:t>
      </w:r>
      <w:r>
        <w:rPr>
          <w:rFonts w:hint="eastAsia" w:ascii="仿宋" w:hAnsi="仿宋" w:eastAsia="仿宋" w:cs="仿宋_GB2312"/>
          <w:sz w:val="32"/>
          <w:szCs w:val="32"/>
        </w:rPr>
        <w:t>年度部门决算中反映环境公报调查和宣传、环境监察执法环保三大战役工作环保督查、环境信息系统及污染源自动监控系统运维等5个项目绩效目标实际完成情况。</w:t>
      </w:r>
    </w:p>
    <w:p>
      <w:pPr>
        <w:spacing w:line="640" w:lineRule="exact"/>
        <w:rPr>
          <w:rFonts w:ascii="仿宋" w:hAnsi="仿宋" w:eastAsia="仿宋" w:cs="仿宋_GB2312"/>
          <w:sz w:val="32"/>
          <w:szCs w:val="32"/>
        </w:rPr>
      </w:pPr>
      <w:r>
        <w:rPr>
          <w:rFonts w:hint="eastAsia" w:ascii="仿宋" w:hAnsi="仿宋" w:eastAsia="仿宋" w:cs="仿宋_GB2312"/>
          <w:sz w:val="32"/>
          <w:szCs w:val="32"/>
        </w:rPr>
        <w:t xml:space="preserve">    （</w:t>
      </w:r>
      <w:r>
        <w:rPr>
          <w:rFonts w:ascii="仿宋" w:hAnsi="仿宋" w:eastAsia="仿宋" w:cs="仿宋_GB2312"/>
          <w:sz w:val="32"/>
          <w:szCs w:val="32"/>
        </w:rPr>
        <w:t>1</w:t>
      </w:r>
      <w:r>
        <w:rPr>
          <w:rFonts w:hint="eastAsia" w:ascii="仿宋" w:hAnsi="仿宋" w:eastAsia="仿宋" w:cs="仿宋_GB2312"/>
          <w:sz w:val="32"/>
          <w:szCs w:val="32"/>
        </w:rPr>
        <w:t>）环境公报调查和宣传项目绩效目标完成情况综述。项目全年预算数45.5万元，执行数为45.5万元，完成预算的100</w:t>
      </w:r>
      <w:r>
        <w:rPr>
          <w:rFonts w:ascii="仿宋" w:hAnsi="仿宋" w:eastAsia="仿宋" w:cs="仿宋_GB2312"/>
          <w:sz w:val="32"/>
          <w:szCs w:val="32"/>
        </w:rPr>
        <w:t>%</w:t>
      </w:r>
      <w:r>
        <w:rPr>
          <w:rFonts w:hint="eastAsia" w:ascii="仿宋" w:hAnsi="仿宋" w:eastAsia="仿宋" w:cs="仿宋_GB2312"/>
          <w:sz w:val="32"/>
          <w:szCs w:val="32"/>
        </w:rPr>
        <w:t>。通过项目实施，提高了执法人员的执法水平，提高了企业的遵法守法意识，让社会公众更加了解环保、关注环保。</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2</w:t>
      </w:r>
      <w:r>
        <w:rPr>
          <w:rFonts w:hint="eastAsia" w:ascii="仿宋" w:hAnsi="仿宋" w:eastAsia="仿宋" w:cs="仿宋_GB2312"/>
          <w:sz w:val="32"/>
          <w:szCs w:val="32"/>
        </w:rPr>
        <w:t>）环境监察执法环保三大战役环保督查项目绩效目标完成情况综述。项目全年预算数40万元，执行数为40万元，完成预算的100</w:t>
      </w:r>
      <w:r>
        <w:rPr>
          <w:rFonts w:ascii="仿宋" w:hAnsi="仿宋" w:eastAsia="仿宋" w:cs="仿宋_GB2312"/>
          <w:sz w:val="32"/>
          <w:szCs w:val="32"/>
        </w:rPr>
        <w:t>%</w:t>
      </w:r>
      <w:r>
        <w:rPr>
          <w:rFonts w:hint="eastAsia" w:ascii="仿宋" w:hAnsi="仿宋" w:eastAsia="仿宋" w:cs="仿宋_GB2312"/>
          <w:sz w:val="32"/>
          <w:szCs w:val="32"/>
        </w:rPr>
        <w:t>。通过项目实施，保障了全市落实中央、省级环保督察整改工作顺利开展，对各类突出环境问题整改开展精准调度和督查督办，切实做好迎接上级环保督察相关工作，保障了省、市下达的环境质量2020年目标任务的完成。</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3</w:t>
      </w:r>
      <w:r>
        <w:rPr>
          <w:rFonts w:hint="eastAsia" w:ascii="仿宋" w:hAnsi="仿宋" w:eastAsia="仿宋" w:cs="仿宋_GB2312"/>
          <w:sz w:val="32"/>
          <w:szCs w:val="32"/>
        </w:rPr>
        <w:t>）环境信息系统及污染源自动监控系统运维项目绩效目标完成情况综述。项目全年预算数70万元，执行数为70万元，完成预算的100</w:t>
      </w:r>
      <w:r>
        <w:rPr>
          <w:rFonts w:ascii="仿宋" w:hAnsi="仿宋" w:eastAsia="仿宋" w:cs="仿宋_GB2312"/>
          <w:sz w:val="32"/>
          <w:szCs w:val="32"/>
        </w:rPr>
        <w:t>%</w:t>
      </w:r>
      <w:r>
        <w:rPr>
          <w:rFonts w:hint="eastAsia" w:ascii="仿宋" w:hAnsi="仿宋" w:eastAsia="仿宋" w:cs="仿宋_GB2312"/>
          <w:sz w:val="32"/>
          <w:szCs w:val="32"/>
        </w:rPr>
        <w:t>。通过项目实施，保障了环保业务系统正常运行，为环保管理和决策提供了技术支撑。</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（4）全国污染源普查目标完成情况综述。项目全年预算数20万元，执行数为20万元，完成预算的100</w:t>
      </w:r>
      <w:r>
        <w:rPr>
          <w:rFonts w:ascii="仿宋" w:hAnsi="仿宋" w:eastAsia="仿宋" w:cs="仿宋_GB2312"/>
          <w:sz w:val="32"/>
          <w:szCs w:val="32"/>
        </w:rPr>
        <w:t>%</w:t>
      </w:r>
      <w:r>
        <w:rPr>
          <w:rFonts w:hint="eastAsia" w:ascii="仿宋" w:hAnsi="仿宋" w:eastAsia="仿宋" w:cs="仿宋_GB2312"/>
          <w:sz w:val="32"/>
          <w:szCs w:val="32"/>
        </w:rPr>
        <w:t>。通过项目实施，保障了我市第二次全国污染源普查工作的全面完成，摸清了污染源分布情况。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（5）新冠肺炎疫情防控目标完成情况综述。项目全年预算数40万元，执行数为40万元，完成预算的100</w:t>
      </w:r>
      <w:r>
        <w:rPr>
          <w:rFonts w:ascii="仿宋" w:hAnsi="仿宋" w:eastAsia="仿宋" w:cs="仿宋_GB2312"/>
          <w:sz w:val="32"/>
          <w:szCs w:val="32"/>
        </w:rPr>
        <w:t>%</w:t>
      </w:r>
      <w:r>
        <w:rPr>
          <w:rFonts w:hint="eastAsia" w:ascii="仿宋" w:hAnsi="仿宋" w:eastAsia="仿宋" w:cs="仿宋_GB2312"/>
          <w:sz w:val="32"/>
          <w:szCs w:val="32"/>
        </w:rPr>
        <w:t>。通过项目实施，提高了医疗废物监管、应急环境监测和处置能力，为支持我市打赢新冠肺炎防疫站发挥了积极作用。</w:t>
      </w: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tbl>
      <w:tblPr>
        <w:tblStyle w:val="15"/>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环境公报调查和宣传</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攀枝花市生态环境局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45.5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45.5</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45.5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45.5</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加</w:t>
            </w:r>
            <w:r>
              <w:rPr>
                <w:rFonts w:hint="eastAsia" w:ascii="宋体" w:hAnsi="宋体" w:cs="宋体"/>
                <w:color w:val="000000"/>
                <w:kern w:val="0"/>
                <w:sz w:val="24"/>
                <w:lang w:bidi="ar"/>
              </w:rPr>
              <w:t>强对外宣传，提高社会公众环保意识；加强职工教育，提升职工行政执法能力。</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加强了对外宣传，提高了社会公众环保意识；加强了对职工教育，提升了职工行政执法能力。</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环保宣传</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开展至少2次环保宣传活动，委托第三方开展微信微博宣传。</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开展环保宣传4次，委托第三方开展微信微博宣传。</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环境质量公开</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攀枝花日报环境质量公报。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攀枝花日报环境质量公报。</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聘请法律顾问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聘请法律顾问1名。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聘请法律顾问1名。</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法律法规培训</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开展1次系统法律法规培训，约200人次。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开展1次系统法律法规培训。</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保障工作顺利完成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提高社会公众环保意识，提高单位执法能力。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提高了社会公众环保意识，提高了单位执法能力。</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2020年底。</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环保宣传费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宣传资料、活动策划等费用20万元。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宣传资料、活动策划等费用20万元。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媒体宣传</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媒体广告费10万元。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媒体广告费10万元。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微信微博运维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委托业务费5万元。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委托业务费5万元。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聘请法律顾问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法律顾问费用5万元。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法律顾问费用5万元。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法律法规培训</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培训费5.5万元。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培训费5.5万元。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对环保工作的促进作用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提高社会公众了解环保、关注环保、践行环保的意识；提高系统执法人员执法水平，提高职工依法行政能力。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提高社会公众了解环保、关注环保、践行环保的意识；提高系统执法人员执法水平，提高职工依法行政能力。</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生态效益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保障环境质量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达到省、市环境质量考核目标。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达到省、市环境质量考核目标。</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社会公众对环保依法行政的满意度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基本满意。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基本满意。</w:t>
            </w:r>
          </w:p>
        </w:tc>
      </w:tr>
    </w:tbl>
    <w:p>
      <w:pPr>
        <w:spacing w:line="580" w:lineRule="exact"/>
        <w:ind w:left="630"/>
        <w:rPr>
          <w:rFonts w:ascii="仿宋_GB2312" w:hAnsi="仿宋_GB2312" w:eastAsia="仿宋_GB2312" w:cs="仿宋_GB2312"/>
          <w:sz w:val="32"/>
          <w:szCs w:val="32"/>
        </w:rPr>
      </w:pPr>
    </w:p>
    <w:tbl>
      <w:tblPr>
        <w:tblStyle w:val="15"/>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环境监察执法环保三大战役环保督查</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攀枝花市生态环境局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40</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40</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完成水、大气、土壤污染防治专项工作。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完成了水、大气、土壤污染防治专项工作。</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三大战役工作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推进水、大气、土壤污染防治，完成省、市政府下达目标任务。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推进水、大气、土壤污染防治，完成省、市政府下达目标任务。</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环保督察工作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推进督察反馈问题整改，迎接中央、省级环保督察。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推进督察反馈问题整改，迎接中央、省级环保督察。</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完成指标任务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保障水、空气质量达标，推进土壤污染调查和污染防治。</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保障水、空气质量达标，推进土壤污染调查和污染防治。</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2020年12月底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2020年12月底</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环保督察、专项工作会议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会议费5万元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会议费5万元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环保督察、落实整改专项检查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租车费5万元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租车费5万元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专项工作聘用人员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劳务费30万元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劳务费30万元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对公众健康的影响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良好的环境质量是全市人民身心健康的保障。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良好的环境质量是全市人民身心健康的保障。</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生态效益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对环境的改善作用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推动环境质量的持续改善。</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推动环境质量的持续改善。</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社会公众对环境质量满意度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基本满意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基本满意</w:t>
            </w:r>
          </w:p>
        </w:tc>
      </w:tr>
    </w:tbl>
    <w:p>
      <w:pPr>
        <w:spacing w:line="580" w:lineRule="exact"/>
        <w:ind w:left="630"/>
        <w:rPr>
          <w:rFonts w:ascii="仿宋_GB2312" w:hAnsi="仿宋_GB2312" w:eastAsia="仿宋_GB2312" w:cs="仿宋_GB2312"/>
          <w:sz w:val="32"/>
          <w:szCs w:val="32"/>
        </w:rPr>
      </w:pPr>
    </w:p>
    <w:tbl>
      <w:tblPr>
        <w:tblStyle w:val="15"/>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环境信息系统及污染源自动监控系统运维</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攀枝花市生态环境局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70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70</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70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70</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保障环保业务系统正常运行，为环保管理和决策提供技术支撑。</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保障环保业务系统正常运行，为环保管理和决策提供技术支撑。</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环保业务系统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8套环保业务系统运维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8套环保业务系统正常运行</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污染源监控数据传输有效率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达到90%以上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达到90%以上</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重要网络设备在线率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达到98%以上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达到98%以上</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2020年底</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环境信息化系统运维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专线租赁费5万元，水电费15万元，聘用人员劳务费45万元。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专线租赁费5万元，水电费15万元，聘用人员劳务费45万元。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污染源监控系统运维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硬件设备维护费5万元。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硬件设备维护费5万元。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加强污染源监管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保障环保业务各系统正常运行，加强对污染源排放的监管，降低污染排放事故的发生。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保障环保业务各系统正常运行，加强对污染源排放的监管，降低污染排放事故的发生。</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生态效益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为保障环境质量提供技术支撑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为水、气、土壤环境监管提供技术服务，促进环境质量持续改善。</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为水、气、土壤环境监管提供技术服务，促进环境质量持续改善。</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环境管理满意度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提高环保监管工作效率，加快环境监管处置和响应速度，提高社会公众对环保管理工作的满意度。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提高环保监管工作效率，加快环境监管处置和响应速度，提高社会公众对环保管理工作的满意度。</w:t>
            </w:r>
          </w:p>
        </w:tc>
      </w:tr>
    </w:tbl>
    <w:p>
      <w:pPr>
        <w:spacing w:line="580" w:lineRule="exact"/>
        <w:ind w:left="630"/>
        <w:rPr>
          <w:rFonts w:hint="eastAsia" w:ascii="仿宋_GB2312" w:hAnsi="仿宋_GB2312" w:eastAsia="仿宋_GB2312" w:cs="仿宋_GB2312"/>
          <w:sz w:val="32"/>
          <w:szCs w:val="32"/>
        </w:rPr>
      </w:pPr>
    </w:p>
    <w:tbl>
      <w:tblPr>
        <w:tblStyle w:val="15"/>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全国污染源普查</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攀枝花市生态环境局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全面完成我市第二次全国污染源普查工作。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全面完成我市第二次全国污染源普查工作。</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污染源数据审核</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污染源普查系统数据动态更新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污染源普查系统数据动态更新</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污染源普查工作会议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2次</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污染源普查工作顺利推进</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全面完成我市污染源普查工作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全面完成我市污染源普查工作</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2020年底</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污染源普查系统数据更新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委托业务费15万元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委托业务费15万元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专项工作会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会议费5万元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会议费5万元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污染源分布情况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全面掌握我市污染源分布情况</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全面掌握我市污染源分布情况</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生态效益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对环境管理的推动作用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为精准治污打下基础</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为精准治污打下基础</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可持续影响</w:t>
            </w:r>
          </w:p>
          <w:p>
            <w:pPr>
              <w:widowControl/>
              <w:jc w:val="center"/>
              <w:textAlignment w:val="center"/>
              <w:rPr>
                <w:rFonts w:hint="eastAsia"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普查数据的有效性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普查数据可持续应用直到下一次全国性普查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普查数据可持续应用直到下一次全国性普查</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省级对我市普查工作的满意度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省污普办对我市污普工作比较满意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省污普办对我市污普工作比较满意</w:t>
            </w:r>
          </w:p>
        </w:tc>
      </w:tr>
    </w:tbl>
    <w:p>
      <w:pPr>
        <w:spacing w:line="580" w:lineRule="exact"/>
        <w:ind w:left="630"/>
        <w:rPr>
          <w:rFonts w:hint="eastAsia" w:ascii="仿宋_GB2312" w:hAnsi="仿宋_GB2312" w:eastAsia="仿宋_GB2312" w:cs="仿宋_GB2312"/>
          <w:sz w:val="32"/>
          <w:szCs w:val="32"/>
        </w:rPr>
      </w:pPr>
    </w:p>
    <w:tbl>
      <w:tblPr>
        <w:tblStyle w:val="15"/>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新冠肺炎疫情防控补助</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攀枝花市生态环境局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40</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40</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为更好开展医疗废物监管、应急环境监测和处置工作，全力以赴支持我市打赢新冠肺炎防疫战。</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更好开展医疗废物监管、应急环境监测和处置工作，全力以赴支持我市打赢新冠肺炎防疫战。</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环境应急监测设备购置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一批</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一批</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购置设备质量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达到环境应急监测要求。</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达到环境应急监测要求。</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购置完成时间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3月31日前。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3月31日前。</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设备价格</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40万元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40万元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对群众健康的影响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保障群众身体健康。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保障群众身体健康。</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p>
        </w:tc>
        <w:tc>
          <w:tcPr>
            <w:tcW w:w="10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生态效益指标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加强水质监测</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确保疫情期间饮用水安全。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确保疫情期间饮用水安全。</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p>
        </w:tc>
        <w:tc>
          <w:tcPr>
            <w:tcW w:w="10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加强医废处置监管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确保医废全部得到及时、高效、无害化处置。</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确保医废全部得到及时、高效、无害化处置。</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效益指标</w:t>
            </w:r>
          </w:p>
        </w:tc>
        <w:tc>
          <w:tcPr>
            <w:tcW w:w="1025" w:type="dxa"/>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可持续影响</w:t>
            </w:r>
          </w:p>
          <w:p>
            <w:pPr>
              <w:widowControl/>
              <w:jc w:val="center"/>
              <w:textAlignment w:val="center"/>
              <w:rPr>
                <w:rFonts w:hint="eastAsia"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设备使用有效性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设备正常使用寿命期间。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设备正常使用寿命期间。</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基本满意。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基本满意。</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 w:hAnsi="仿宋" w:eastAsia="仿宋" w:cs="仿宋_GB2312"/>
          <w:sz w:val="32"/>
          <w:szCs w:val="32"/>
        </w:rPr>
      </w:pPr>
      <w:r>
        <w:rPr>
          <w:rFonts w:ascii="仿宋" w:hAnsi="仿宋" w:eastAsia="仿宋" w:cs="楷体_GB2312"/>
          <w:sz w:val="32"/>
          <w:szCs w:val="32"/>
        </w:rPr>
        <w:t>2.</w:t>
      </w:r>
      <w:r>
        <w:rPr>
          <w:rFonts w:hint="eastAsia" w:ascii="仿宋" w:hAnsi="仿宋" w:eastAsia="仿宋" w:cs="楷体_GB2312"/>
          <w:sz w:val="32"/>
          <w:szCs w:val="32"/>
        </w:rPr>
        <w:t>部门绩效评价结果。</w:t>
      </w:r>
    </w:p>
    <w:p>
      <w:pPr>
        <w:spacing w:line="600" w:lineRule="exact"/>
        <w:jc w:val="left"/>
        <w:rPr>
          <w:rFonts w:ascii="仿宋" w:hAnsi="仿宋" w:eastAsia="仿宋" w:cs="仿宋_GB2312"/>
          <w:sz w:val="32"/>
          <w:szCs w:val="32"/>
        </w:rPr>
      </w:pPr>
      <w:r>
        <w:rPr>
          <w:rFonts w:hint="eastAsia" w:ascii="仿宋" w:hAnsi="仿宋" w:eastAsia="仿宋" w:cs="仿宋_GB2312"/>
          <w:sz w:val="32"/>
          <w:szCs w:val="32"/>
        </w:rPr>
        <w:t xml:space="preserve">    本部门按要求对</w:t>
      </w:r>
      <w:r>
        <w:rPr>
          <w:rFonts w:ascii="仿宋" w:hAnsi="仿宋" w:eastAsia="仿宋" w:cs="仿宋_GB2312"/>
          <w:sz w:val="32"/>
          <w:szCs w:val="32"/>
        </w:rPr>
        <w:t>2020</w:t>
      </w:r>
      <w:r>
        <w:rPr>
          <w:rFonts w:hint="eastAsia" w:ascii="仿宋" w:hAnsi="仿宋" w:eastAsia="仿宋" w:cs="仿宋_GB2312"/>
          <w:sz w:val="32"/>
          <w:szCs w:val="32"/>
        </w:rPr>
        <w:t>年部门整体支出绩效评价情况开展自评，《攀枝花市生态环境局</w:t>
      </w:r>
      <w:r>
        <w:rPr>
          <w:rFonts w:ascii="仿宋" w:hAnsi="仿宋" w:eastAsia="仿宋" w:cs="仿宋_GB2312"/>
          <w:sz w:val="32"/>
          <w:szCs w:val="32"/>
        </w:rPr>
        <w:t>2020</w:t>
      </w:r>
      <w:r>
        <w:rPr>
          <w:rFonts w:hint="eastAsia" w:ascii="仿宋" w:hAnsi="仿宋" w:eastAsia="仿宋" w:cs="仿宋_GB2312"/>
          <w:sz w:val="32"/>
          <w:szCs w:val="32"/>
        </w:rPr>
        <w:t>年部门整体支出绩效评价报告》见附件（附件</w:t>
      </w:r>
      <w:r>
        <w:rPr>
          <w:rFonts w:ascii="仿宋" w:hAnsi="仿宋" w:eastAsia="仿宋" w:cs="仿宋_GB2312"/>
          <w:sz w:val="32"/>
          <w:szCs w:val="32"/>
        </w:rPr>
        <w:t>1</w:t>
      </w:r>
      <w:r>
        <w:rPr>
          <w:rFonts w:hint="eastAsia" w:ascii="仿宋" w:hAnsi="仿宋" w:eastAsia="仿宋" w:cs="仿宋_GB2312"/>
          <w:sz w:val="32"/>
          <w:szCs w:val="32"/>
        </w:rPr>
        <w:t>）。</w:t>
      </w:r>
    </w:p>
    <w:p>
      <w:pPr>
        <w:spacing w:line="600" w:lineRule="exact"/>
        <w:jc w:val="left"/>
        <w:rPr>
          <w:rFonts w:ascii="仿宋" w:hAnsi="仿宋" w:eastAsia="仿宋" w:cs="仿宋_GB2312"/>
          <w:sz w:val="32"/>
          <w:szCs w:val="32"/>
        </w:rPr>
      </w:pPr>
      <w:r>
        <w:rPr>
          <w:rFonts w:hint="eastAsia" w:ascii="仿宋" w:hAnsi="仿宋" w:eastAsia="仿宋" w:cs="仿宋_GB2312"/>
          <w:sz w:val="32"/>
          <w:szCs w:val="32"/>
        </w:rPr>
        <w:t xml:space="preserve">    本部门自行组织对市级环保专项资金开展了绩效评价，《市级环保专项资金项目</w:t>
      </w:r>
      <w:r>
        <w:rPr>
          <w:rFonts w:ascii="仿宋" w:hAnsi="仿宋" w:eastAsia="仿宋" w:cs="仿宋_GB2312"/>
          <w:sz w:val="32"/>
          <w:szCs w:val="32"/>
        </w:rPr>
        <w:t>2020</w:t>
      </w:r>
      <w:r>
        <w:rPr>
          <w:rFonts w:hint="eastAsia" w:ascii="仿宋" w:hAnsi="仿宋" w:eastAsia="仿宋" w:cs="仿宋_GB2312"/>
          <w:sz w:val="32"/>
          <w:szCs w:val="32"/>
        </w:rPr>
        <w:t>年绩效评价报告》见附件（附件</w:t>
      </w:r>
      <w:r>
        <w:rPr>
          <w:rFonts w:ascii="仿宋" w:hAnsi="仿宋" w:eastAsia="仿宋" w:cs="仿宋_GB2312"/>
          <w:sz w:val="32"/>
          <w:szCs w:val="32"/>
        </w:rPr>
        <w:t>2</w:t>
      </w:r>
      <w:r>
        <w:rPr>
          <w:rFonts w:hint="eastAsia" w:ascii="仿宋" w:hAnsi="仿宋" w:eastAsia="仿宋" w:cs="仿宋_GB2312"/>
          <w:sz w:val="32"/>
          <w:szCs w:val="32"/>
        </w:rPr>
        <w:t>）。</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5"/>
        </w:numPr>
        <w:spacing w:line="600" w:lineRule="exact"/>
        <w:ind w:firstLine="660" w:firstLineChars="150"/>
        <w:jc w:val="center"/>
        <w:outlineLvl w:val="0"/>
        <w:rPr>
          <w:rStyle w:val="19"/>
          <w:rFonts w:ascii="黑体" w:hAnsi="黑体" w:eastAsia="黑体"/>
          <w:b w:val="0"/>
        </w:rPr>
      </w:pPr>
      <w:bookmarkStart w:id="59" w:name="_Toc15377225"/>
      <w:bookmarkStart w:id="60" w:name="_Toc15396613"/>
      <w:r>
        <w:rPr>
          <w:rFonts w:hint="eastAsia" w:ascii="黑体" w:hAnsi="黑体" w:eastAsia="黑体"/>
          <w:color w:val="000000"/>
          <w:sz w:val="44"/>
          <w:szCs w:val="44"/>
        </w:rPr>
        <w:t>名</w:t>
      </w:r>
      <w:r>
        <w:rPr>
          <w:rStyle w:val="19"/>
          <w:rFonts w:hint="eastAsia" w:ascii="黑体" w:hAnsi="黑体" w:eastAsia="黑体"/>
          <w:b w:val="0"/>
        </w:rPr>
        <w:t>词解释</w:t>
      </w:r>
      <w:bookmarkEnd w:id="59"/>
      <w:bookmarkEnd w:id="60"/>
    </w:p>
    <w:p>
      <w:pPr>
        <w:spacing w:line="600" w:lineRule="exact"/>
        <w:jc w:val="left"/>
        <w:rPr>
          <w:rFonts w:ascii="宋体"/>
          <w:b/>
          <w:color w:val="000000"/>
          <w:sz w:val="44"/>
          <w:szCs w:val="44"/>
        </w:rPr>
      </w:pPr>
    </w:p>
    <w:p>
      <w:pPr>
        <w:pStyle w:val="29"/>
        <w:spacing w:line="640" w:lineRule="exact"/>
        <w:ind w:firstLine="640" w:firstLineChars="200"/>
        <w:rPr>
          <w:rFonts w:hAnsi="仿宋" w:cs="仿宋_GB2312"/>
          <w:sz w:val="32"/>
          <w:szCs w:val="32"/>
        </w:rPr>
      </w:pPr>
      <w:bookmarkStart w:id="61" w:name="_Toc15377226"/>
      <w:r>
        <w:rPr>
          <w:rFonts w:hint="eastAsia" w:hAnsi="仿宋" w:cs="仿宋_GB2312"/>
          <w:sz w:val="32"/>
          <w:szCs w:val="32"/>
        </w:rPr>
        <w:t>1.财政拨款收入：指单位从同级财政部门取得的财政预算资金。</w:t>
      </w:r>
    </w:p>
    <w:p>
      <w:pPr>
        <w:pStyle w:val="29"/>
        <w:spacing w:line="640" w:lineRule="exact"/>
        <w:ind w:firstLine="640" w:firstLineChars="200"/>
        <w:rPr>
          <w:rFonts w:hint="eastAsia" w:hAnsi="仿宋" w:cs="仿宋_GB2312"/>
          <w:sz w:val="32"/>
          <w:szCs w:val="32"/>
        </w:rPr>
      </w:pPr>
      <w:r>
        <w:rPr>
          <w:rFonts w:hint="eastAsia" w:hAnsi="仿宋" w:cs="仿宋_GB2312"/>
          <w:sz w:val="32"/>
          <w:szCs w:val="32"/>
        </w:rPr>
        <w:t xml:space="preserve">2.其他收入：指单位取得的除上述收入以外的各项收入。主要是利息收入、上级下达环保专项资金收入等。 </w:t>
      </w:r>
    </w:p>
    <w:p>
      <w:pPr>
        <w:pStyle w:val="29"/>
        <w:spacing w:line="640" w:lineRule="exact"/>
        <w:ind w:firstLine="640" w:firstLineChars="200"/>
        <w:rPr>
          <w:rFonts w:hint="eastAsia" w:hAnsi="仿宋" w:cs="仿宋_GB2312"/>
          <w:sz w:val="32"/>
          <w:szCs w:val="32"/>
        </w:rPr>
      </w:pPr>
      <w:r>
        <w:rPr>
          <w:rFonts w:hint="eastAsia" w:hAnsi="仿宋" w:cs="仿宋_GB2312"/>
          <w:sz w:val="32"/>
          <w:szCs w:val="32"/>
        </w:rPr>
        <w:t xml:space="preserve">3.年初结转和结余：指以前年度尚未完成、结转到本年按有关规定继续使用的资金。 </w:t>
      </w:r>
    </w:p>
    <w:p>
      <w:pPr>
        <w:pStyle w:val="29"/>
        <w:spacing w:line="640" w:lineRule="exact"/>
        <w:ind w:firstLine="640" w:firstLineChars="200"/>
        <w:rPr>
          <w:rFonts w:hint="eastAsia" w:hAnsi="仿宋" w:cs="仿宋_GB2312"/>
          <w:sz w:val="32"/>
          <w:szCs w:val="32"/>
        </w:rPr>
      </w:pPr>
      <w:r>
        <w:rPr>
          <w:rFonts w:hint="eastAsia" w:hAnsi="仿宋" w:cs="仿宋_GB2312"/>
          <w:sz w:val="32"/>
          <w:szCs w:val="32"/>
        </w:rPr>
        <w:t>4.年末结转和结余：指单位按有关规定结转到下年或以后年度继续使用的资金。</w:t>
      </w:r>
    </w:p>
    <w:p>
      <w:pPr>
        <w:pStyle w:val="29"/>
        <w:spacing w:line="640" w:lineRule="exact"/>
        <w:ind w:firstLine="640" w:firstLineChars="200"/>
        <w:rPr>
          <w:rFonts w:hint="eastAsia" w:hAnsi="仿宋" w:cs="仿宋_GB2312"/>
          <w:sz w:val="32"/>
          <w:szCs w:val="32"/>
        </w:rPr>
      </w:pPr>
      <w:r>
        <w:rPr>
          <w:rFonts w:hint="eastAsia" w:hAnsi="仿宋" w:cs="仿宋_GB2312"/>
          <w:sz w:val="32"/>
          <w:szCs w:val="32"/>
        </w:rPr>
        <w:t>5.一般公共服务（类）人力资源事务（款）其他人力资源事务支出（项）：指其他用于人力资源事务方面的支出。</w:t>
      </w:r>
    </w:p>
    <w:p>
      <w:pPr>
        <w:pStyle w:val="29"/>
        <w:spacing w:line="640" w:lineRule="exact"/>
        <w:ind w:firstLine="640" w:firstLineChars="200"/>
        <w:rPr>
          <w:rFonts w:hint="eastAsia" w:hAnsi="仿宋" w:cs="仿宋_GB2312"/>
          <w:sz w:val="32"/>
          <w:szCs w:val="32"/>
        </w:rPr>
      </w:pPr>
      <w:r>
        <w:rPr>
          <w:rFonts w:hint="eastAsia" w:hAnsi="仿宋" w:cs="仿宋_GB2312"/>
          <w:sz w:val="32"/>
          <w:szCs w:val="32"/>
        </w:rPr>
        <w:t>6. 一般公共服务（类）组织事务（款）其他组织事务支出（项）：指其他用于中国共产党组织部门的事务支出。</w:t>
      </w:r>
    </w:p>
    <w:p>
      <w:pPr>
        <w:pStyle w:val="29"/>
        <w:spacing w:line="640" w:lineRule="exact"/>
        <w:ind w:firstLine="640" w:firstLineChars="200"/>
        <w:rPr>
          <w:rFonts w:hint="eastAsia" w:hAnsi="仿宋" w:cs="仿宋_GB2312"/>
          <w:sz w:val="32"/>
          <w:szCs w:val="32"/>
        </w:rPr>
      </w:pPr>
      <w:r>
        <w:rPr>
          <w:rFonts w:hint="eastAsia" w:hAnsi="仿宋" w:cs="仿宋_GB2312"/>
          <w:sz w:val="32"/>
          <w:szCs w:val="32"/>
        </w:rPr>
        <w:t>7.社会保障和就业（类）行政事业单位养老支出（款）行政单位离退休（项）：反映行政单位（包括实行公务员管理的事业单位）开支的离退休经费。</w:t>
      </w:r>
    </w:p>
    <w:p>
      <w:pPr>
        <w:pStyle w:val="29"/>
        <w:spacing w:line="640" w:lineRule="exact"/>
        <w:ind w:firstLine="640" w:firstLineChars="200"/>
        <w:rPr>
          <w:rFonts w:hint="eastAsia" w:hAnsi="仿宋" w:cs="仿宋_GB2312"/>
          <w:sz w:val="32"/>
          <w:szCs w:val="32"/>
        </w:rPr>
      </w:pPr>
      <w:r>
        <w:rPr>
          <w:rFonts w:hint="eastAsia" w:hAnsi="仿宋" w:cs="仿宋_GB2312"/>
          <w:sz w:val="32"/>
          <w:szCs w:val="32"/>
        </w:rPr>
        <w:t>8. 社会保障和就业（类）行政事业单位养老支出（款）事业单位离退休（项）：反映事业单位开支的离退休经费。</w:t>
      </w:r>
    </w:p>
    <w:p>
      <w:pPr>
        <w:pStyle w:val="29"/>
        <w:spacing w:line="640" w:lineRule="exact"/>
        <w:ind w:firstLine="640" w:firstLineChars="200"/>
        <w:rPr>
          <w:rFonts w:hint="eastAsia" w:hAnsi="仿宋" w:cs="仿宋_GB2312"/>
          <w:sz w:val="32"/>
          <w:szCs w:val="32"/>
        </w:rPr>
      </w:pPr>
      <w:r>
        <w:rPr>
          <w:rFonts w:hint="eastAsia" w:hAnsi="仿宋" w:cs="仿宋_GB2312"/>
          <w:sz w:val="32"/>
          <w:szCs w:val="32"/>
        </w:rPr>
        <w:t>9.社会保障和就业（类）行政事业单位养老支出（款）机关事业单位基本养老保险缴费支出（项）：指机关事业单位实施养老保险制度由单位缴纳的基本养老保险费支出。</w:t>
      </w:r>
    </w:p>
    <w:p>
      <w:pPr>
        <w:pStyle w:val="29"/>
        <w:spacing w:line="640" w:lineRule="exact"/>
        <w:ind w:firstLine="640" w:firstLineChars="200"/>
        <w:rPr>
          <w:rFonts w:hint="eastAsia" w:hAnsi="仿宋" w:cs="仿宋_GB2312"/>
          <w:sz w:val="32"/>
          <w:szCs w:val="32"/>
        </w:rPr>
      </w:pPr>
      <w:r>
        <w:rPr>
          <w:rFonts w:hint="eastAsia" w:hAnsi="仿宋" w:cs="仿宋_GB2312"/>
          <w:sz w:val="32"/>
          <w:szCs w:val="32"/>
        </w:rPr>
        <w:t>10.社会保障和就业（类）社会福利（款）儿童福利（项）：指对儿童提供福利服务方面的支出。</w:t>
      </w:r>
    </w:p>
    <w:p>
      <w:pPr>
        <w:pStyle w:val="29"/>
        <w:spacing w:line="640" w:lineRule="exact"/>
        <w:ind w:firstLine="640" w:firstLineChars="200"/>
        <w:rPr>
          <w:rFonts w:hint="eastAsia" w:hAnsi="仿宋" w:cs="仿宋_GB2312"/>
          <w:sz w:val="32"/>
          <w:szCs w:val="32"/>
        </w:rPr>
      </w:pPr>
      <w:r>
        <w:rPr>
          <w:rFonts w:hint="eastAsia" w:hAnsi="仿宋" w:cs="仿宋_GB2312"/>
          <w:sz w:val="32"/>
          <w:szCs w:val="32"/>
        </w:rPr>
        <w:t>11.节能环保（类）环境保护管理事务（款）行政运行（项）：指行政单位（包括实行公务员管理的事业单位）的基本支出。</w:t>
      </w:r>
    </w:p>
    <w:p>
      <w:pPr>
        <w:pStyle w:val="29"/>
        <w:spacing w:line="640" w:lineRule="exact"/>
        <w:ind w:firstLine="640" w:firstLineChars="200"/>
        <w:rPr>
          <w:rFonts w:hint="eastAsia" w:hAnsi="仿宋" w:cs="仿宋_GB2312"/>
          <w:sz w:val="32"/>
          <w:szCs w:val="32"/>
        </w:rPr>
      </w:pPr>
      <w:r>
        <w:rPr>
          <w:rFonts w:hint="eastAsia" w:hAnsi="仿宋" w:cs="仿宋_GB2312"/>
          <w:sz w:val="32"/>
          <w:szCs w:val="32"/>
        </w:rPr>
        <w:t>12.节能环保（类）环境保护管理事务（款）一般行政管理事务（项）：指行政单位（包括实行公务员管理的事业单位）未单独设置项级科目的其他项目支出。</w:t>
      </w:r>
    </w:p>
    <w:p>
      <w:pPr>
        <w:pStyle w:val="29"/>
        <w:spacing w:line="640" w:lineRule="exact"/>
        <w:ind w:firstLine="640" w:firstLineChars="200"/>
        <w:rPr>
          <w:rFonts w:hint="eastAsia" w:hAnsi="仿宋" w:cs="仿宋_GB2312"/>
          <w:sz w:val="32"/>
          <w:szCs w:val="32"/>
        </w:rPr>
      </w:pPr>
      <w:r>
        <w:rPr>
          <w:rFonts w:hint="eastAsia" w:hAnsi="仿宋" w:cs="仿宋_GB2312"/>
          <w:sz w:val="32"/>
          <w:szCs w:val="32"/>
        </w:rPr>
        <w:t>13. 节能环保（类）环境保护管理事务（款）其他环境保护管理事务支出（项）：指其他用于环境保护管理事务方面的支出。</w:t>
      </w:r>
    </w:p>
    <w:p>
      <w:pPr>
        <w:pStyle w:val="29"/>
        <w:spacing w:line="640" w:lineRule="exact"/>
        <w:ind w:firstLine="640" w:firstLineChars="200"/>
        <w:rPr>
          <w:rFonts w:hint="eastAsia" w:hAnsi="仿宋" w:cs="仿宋_GB2312"/>
          <w:sz w:val="32"/>
          <w:szCs w:val="32"/>
        </w:rPr>
      </w:pPr>
      <w:r>
        <w:rPr>
          <w:rFonts w:hint="eastAsia" w:hAnsi="仿宋" w:cs="仿宋_GB2312"/>
          <w:sz w:val="32"/>
          <w:szCs w:val="32"/>
        </w:rPr>
        <w:t>14.节能环保（类）环境监测与监察（款）其他环境监测与监察支出（项）：指其他用于环境监测与监察方面的支出。</w:t>
      </w:r>
    </w:p>
    <w:p>
      <w:pPr>
        <w:pStyle w:val="29"/>
        <w:spacing w:line="640" w:lineRule="exact"/>
        <w:ind w:firstLine="640" w:firstLineChars="200"/>
        <w:rPr>
          <w:rFonts w:hint="eastAsia" w:hAnsi="仿宋" w:cs="仿宋_GB2312"/>
          <w:sz w:val="32"/>
          <w:szCs w:val="32"/>
        </w:rPr>
      </w:pPr>
      <w:r>
        <w:rPr>
          <w:rFonts w:hint="eastAsia" w:hAnsi="仿宋" w:cs="仿宋_GB2312"/>
          <w:sz w:val="32"/>
          <w:szCs w:val="32"/>
        </w:rPr>
        <w:t>15.节能环保（类）污染防治（款）其他污染防治支出（项）：指其他用于污染防治方面的支出。</w:t>
      </w:r>
    </w:p>
    <w:p>
      <w:pPr>
        <w:pStyle w:val="29"/>
        <w:spacing w:line="640" w:lineRule="exact"/>
        <w:ind w:firstLine="640" w:firstLineChars="200"/>
        <w:rPr>
          <w:rFonts w:hint="eastAsia" w:hAnsi="仿宋" w:cs="仿宋_GB2312"/>
          <w:sz w:val="32"/>
          <w:szCs w:val="32"/>
        </w:rPr>
      </w:pPr>
      <w:r>
        <w:rPr>
          <w:rFonts w:hint="eastAsia" w:hAnsi="仿宋" w:cs="仿宋_GB2312"/>
          <w:sz w:val="32"/>
          <w:szCs w:val="32"/>
        </w:rPr>
        <w:t>16.节能环保（类）污染减排（款）生态环境监测与信息（项）：指生态环保部门监测和信息方面的支出，包括环境质量监测、污染治理设施竣工验收监测、污染源监督性监测、污染事故应急监测和污染纠纷监测等支出，环境统计和调查、环境质量评价、绿色国民经济核算等支出，环境信息系统建设、维护、运行、信息发布及其技术支持等方面的支出。</w:t>
      </w:r>
    </w:p>
    <w:p>
      <w:pPr>
        <w:pStyle w:val="29"/>
        <w:spacing w:line="640" w:lineRule="exact"/>
        <w:ind w:firstLine="640" w:firstLineChars="200"/>
        <w:rPr>
          <w:rFonts w:hint="eastAsia" w:hAnsi="仿宋" w:cs="仿宋_GB2312"/>
          <w:sz w:val="32"/>
          <w:szCs w:val="32"/>
        </w:rPr>
      </w:pPr>
      <w:r>
        <w:rPr>
          <w:rFonts w:hint="eastAsia" w:hAnsi="仿宋" w:cs="仿宋_GB2312"/>
          <w:sz w:val="32"/>
          <w:szCs w:val="32"/>
        </w:rPr>
        <w:t>17.节能环保（类）其他节能环保支出（款）其他节能环保支出（项）：指其他用于节能环保方面的支出。</w:t>
      </w:r>
    </w:p>
    <w:p>
      <w:pPr>
        <w:pStyle w:val="29"/>
        <w:spacing w:line="640" w:lineRule="exact"/>
        <w:ind w:firstLine="640" w:firstLineChars="200"/>
        <w:rPr>
          <w:rFonts w:hint="eastAsia" w:hAnsi="仿宋" w:cs="仿宋_GB2312"/>
          <w:sz w:val="32"/>
          <w:szCs w:val="32"/>
        </w:rPr>
      </w:pPr>
      <w:r>
        <w:rPr>
          <w:rFonts w:hint="eastAsia" w:hAnsi="仿宋" w:cs="仿宋_GB2312"/>
          <w:sz w:val="32"/>
          <w:szCs w:val="32"/>
        </w:rPr>
        <w:t>18.住房保障支出（类）住房改革支出（款）住房公积金（项）：指行政事业单位按人力资源和社会保障部、财政部规定的基本工资和津补贴以及规定比例为职工缴纳的住房公积金。</w:t>
      </w:r>
    </w:p>
    <w:p>
      <w:pPr>
        <w:spacing w:line="640" w:lineRule="exact"/>
        <w:ind w:firstLine="640"/>
        <w:rPr>
          <w:rFonts w:hint="eastAsia" w:ascii="仿宋" w:hAnsi="仿宋" w:eastAsia="仿宋" w:cs="仿宋_GB2312"/>
          <w:color w:val="000000"/>
          <w:kern w:val="0"/>
          <w:sz w:val="32"/>
          <w:szCs w:val="32"/>
        </w:rPr>
      </w:pPr>
      <w:r>
        <w:rPr>
          <w:rFonts w:hint="eastAsia" w:ascii="仿宋" w:hAnsi="仿宋" w:eastAsia="仿宋" w:cs="仿宋_GB2312"/>
          <w:color w:val="000000"/>
          <w:kern w:val="0"/>
          <w:sz w:val="32"/>
          <w:szCs w:val="32"/>
        </w:rPr>
        <w:t>19.基本支出：指为保障机构正常运转、完成日常工作任务而发生的人员支出和公用支出。</w:t>
      </w:r>
    </w:p>
    <w:p>
      <w:pPr>
        <w:spacing w:line="640" w:lineRule="exact"/>
        <w:rPr>
          <w:rFonts w:hint="eastAsia" w:ascii="仿宋" w:hAnsi="仿宋" w:eastAsia="仿宋" w:cs="仿宋_GB2312"/>
          <w:color w:val="000000"/>
          <w:kern w:val="0"/>
          <w:sz w:val="32"/>
          <w:szCs w:val="32"/>
        </w:rPr>
      </w:pPr>
      <w:r>
        <w:rPr>
          <w:rFonts w:hint="eastAsia" w:ascii="仿宋" w:hAnsi="仿宋" w:eastAsia="仿宋" w:cs="仿宋_GB2312"/>
          <w:color w:val="000000"/>
          <w:kern w:val="0"/>
          <w:sz w:val="32"/>
          <w:szCs w:val="32"/>
        </w:rPr>
        <w:t xml:space="preserve">    20.项目支出：指在基本支出之外为完成特定行政任务和事业发展目标所发生的支出。</w:t>
      </w:r>
    </w:p>
    <w:p>
      <w:pPr>
        <w:spacing w:line="640" w:lineRule="exact"/>
        <w:rPr>
          <w:rFonts w:hint="eastAsia" w:ascii="仿宋" w:hAnsi="仿宋" w:eastAsia="仿宋" w:cs="仿宋_GB2312"/>
          <w:color w:val="000000"/>
          <w:kern w:val="0"/>
          <w:sz w:val="32"/>
          <w:szCs w:val="32"/>
        </w:rPr>
      </w:pPr>
      <w:r>
        <w:rPr>
          <w:rFonts w:hint="eastAsia" w:ascii="仿宋" w:hAnsi="仿宋" w:eastAsia="仿宋" w:cs="仿宋_GB2312"/>
          <w:color w:val="000000"/>
          <w:kern w:val="0"/>
          <w:sz w:val="32"/>
          <w:szCs w:val="32"/>
        </w:rPr>
        <w:t xml:space="preserve">    21.经营支出：指事业单位在专业业务活动及其辅助活动之外开展非独立核算经营活动发生的支出。</w:t>
      </w:r>
    </w:p>
    <w:p>
      <w:pPr>
        <w:pStyle w:val="29"/>
        <w:spacing w:line="640" w:lineRule="exact"/>
        <w:ind w:firstLine="640" w:firstLineChars="200"/>
        <w:rPr>
          <w:rFonts w:hint="eastAsia" w:hAnsi="仿宋" w:cs="仿宋_GB2312"/>
          <w:sz w:val="32"/>
          <w:szCs w:val="32"/>
        </w:rPr>
      </w:pPr>
      <w:r>
        <w:rPr>
          <w:rFonts w:hint="eastAsia" w:hAnsi="仿宋" w:cs="仿宋_GB2312"/>
          <w:sz w:val="32"/>
          <w:szCs w:val="32"/>
        </w:rPr>
        <w:t>22.“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9"/>
        <w:spacing w:line="640" w:lineRule="exact"/>
        <w:ind w:firstLine="640" w:firstLineChars="200"/>
        <w:rPr>
          <w:rFonts w:hint="eastAsia" w:hAnsi="仿宋" w:cs="仿宋_GB2312"/>
          <w:sz w:val="32"/>
          <w:szCs w:val="32"/>
        </w:rPr>
      </w:pPr>
      <w:r>
        <w:rPr>
          <w:rFonts w:hint="eastAsia" w:hAnsi="仿宋" w:cs="仿宋_GB2312"/>
          <w:sz w:val="32"/>
          <w:szCs w:val="32"/>
        </w:rPr>
        <w:t>23.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9"/>
          <w:rFonts w:ascii="黑体" w:hAnsi="黑体" w:eastAsia="黑体"/>
          <w:b w:val="0"/>
        </w:rPr>
      </w:pPr>
      <w:r>
        <w:rPr>
          <w:rFonts w:ascii="仿宋" w:hAnsi="仿宋" w:eastAsia="仿宋" w:cs="仿宋_GB2312"/>
          <w:color w:val="000000"/>
          <w:kern w:val="0"/>
          <w:sz w:val="32"/>
          <w:szCs w:val="32"/>
        </w:rPr>
        <w:br w:type="page"/>
      </w:r>
      <w:bookmarkStart w:id="62" w:name="_Toc15396614"/>
      <w:r>
        <w:rPr>
          <w:rFonts w:hint="eastAsia" w:ascii="黑体" w:hAnsi="黑体" w:eastAsia="黑体"/>
          <w:color w:val="000000"/>
          <w:sz w:val="44"/>
          <w:szCs w:val="44"/>
        </w:rPr>
        <w:t>第</w:t>
      </w:r>
      <w:r>
        <w:rPr>
          <w:rStyle w:val="19"/>
          <w:rFonts w:hint="eastAsia" w:ascii="黑体" w:hAnsi="黑体" w:eastAsia="黑体"/>
          <w:b w:val="0"/>
        </w:rPr>
        <w:t>四部分</w:t>
      </w:r>
      <w:r>
        <w:rPr>
          <w:rStyle w:val="19"/>
          <w:rFonts w:ascii="黑体" w:hAnsi="黑体" w:eastAsia="黑体"/>
          <w:b w:val="0"/>
        </w:rPr>
        <w:t xml:space="preserve"> </w:t>
      </w:r>
      <w:r>
        <w:rPr>
          <w:rStyle w:val="19"/>
          <w:rFonts w:hint="eastAsia" w:ascii="黑体" w:hAnsi="黑体" w:eastAsia="黑体"/>
          <w:b w:val="0"/>
        </w:rPr>
        <w:t>附件</w:t>
      </w:r>
      <w:bookmarkEnd w:id="62"/>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rPr>
        <w:t>攀枝花市生态环境局</w:t>
      </w:r>
      <w:r>
        <w:rPr>
          <w:rFonts w:ascii="方正小标宋简体" w:hAnsi="宋体" w:eastAsia="方正小标宋简体"/>
          <w:color w:val="000000"/>
          <w:kern w:val="0"/>
          <w:sz w:val="40"/>
          <w:szCs w:val="44"/>
        </w:rPr>
        <w:t>2020</w:t>
      </w:r>
      <w:r>
        <w:rPr>
          <w:rFonts w:hint="eastAsia"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hint="eastAsia" w:ascii="仿宋" w:hAnsi="仿宋" w:eastAsia="仿宋" w:cs="宋体"/>
          <w:color w:val="000000"/>
          <w:kern w:val="0"/>
          <w:sz w:val="32"/>
          <w:szCs w:val="32"/>
          <w:shd w:val="clear" w:color="auto" w:fill="FFFFFF"/>
          <w:lang w:val="zh-CN"/>
        </w:rPr>
      </w:pPr>
      <w:r>
        <w:rPr>
          <w:rFonts w:hint="eastAsia" w:ascii="仿宋" w:hAnsi="仿宋" w:eastAsia="仿宋" w:cs="宋体"/>
          <w:color w:val="000000"/>
          <w:kern w:val="0"/>
          <w:sz w:val="32"/>
          <w:szCs w:val="32"/>
          <w:shd w:val="clear" w:color="auto" w:fill="FFFFFF"/>
          <w:lang w:val="zh-CN"/>
        </w:rPr>
        <w:t>（一）机构组成。</w:t>
      </w:r>
    </w:p>
    <w:p>
      <w:pPr>
        <w:spacing w:line="640" w:lineRule="exact"/>
        <w:rPr>
          <w:rFonts w:ascii="仿宋" w:hAnsi="仿宋" w:eastAsia="仿宋" w:cs="宋体"/>
          <w:color w:val="000000"/>
          <w:kern w:val="0"/>
          <w:sz w:val="32"/>
          <w:szCs w:val="32"/>
          <w:shd w:val="clear" w:color="auto" w:fill="FFFFFF"/>
          <w:lang w:val="zh-CN"/>
        </w:rPr>
      </w:pPr>
      <w:r>
        <w:rPr>
          <w:rFonts w:hint="eastAsia" w:ascii="仿宋" w:hAnsi="仿宋" w:eastAsia="仿宋" w:cs="宋体"/>
          <w:color w:val="000000"/>
          <w:kern w:val="0"/>
          <w:sz w:val="32"/>
          <w:szCs w:val="32"/>
          <w:shd w:val="clear" w:color="auto" w:fill="FFFFFF"/>
          <w:lang w:val="zh-CN"/>
        </w:rPr>
        <w:t xml:space="preserve">    我部门含：行政单位1个，未独立核算参公事业单位1个、公益一类事业单位3个和独立核算公益一类事业单位1个。</w:t>
      </w:r>
    </w:p>
    <w:p>
      <w:pPr>
        <w:widowControl/>
        <w:adjustRightInd w:val="0"/>
        <w:snapToGrid w:val="0"/>
        <w:spacing w:line="580" w:lineRule="exact"/>
        <w:ind w:firstLine="640" w:firstLineChars="200"/>
        <w:contextualSpacing/>
        <w:jc w:val="left"/>
        <w:rPr>
          <w:rFonts w:hint="eastAsia" w:ascii="仿宋" w:hAnsi="仿宋" w:eastAsia="仿宋" w:cs="宋体"/>
          <w:color w:val="000000"/>
          <w:kern w:val="0"/>
          <w:sz w:val="32"/>
          <w:szCs w:val="32"/>
          <w:shd w:val="clear" w:color="auto" w:fill="FFFFFF"/>
          <w:lang w:val="zh-CN"/>
        </w:rPr>
      </w:pPr>
      <w:r>
        <w:rPr>
          <w:rFonts w:hint="eastAsia" w:ascii="仿宋" w:hAnsi="仿宋" w:eastAsia="仿宋" w:cs="宋体"/>
          <w:color w:val="000000"/>
          <w:kern w:val="0"/>
          <w:sz w:val="32"/>
          <w:szCs w:val="32"/>
          <w:shd w:val="clear" w:color="auto" w:fill="FFFFFF"/>
          <w:lang w:val="zh-CN"/>
        </w:rPr>
        <w:t>（二）机构职能。</w:t>
      </w:r>
    </w:p>
    <w:p>
      <w:pPr>
        <w:spacing w:line="640" w:lineRule="exact"/>
        <w:rPr>
          <w:rFonts w:ascii="仿宋" w:hAnsi="仿宋" w:eastAsia="仿宋" w:cs="宋体"/>
          <w:color w:val="000000"/>
          <w:kern w:val="0"/>
          <w:sz w:val="32"/>
          <w:szCs w:val="32"/>
          <w:shd w:val="clear" w:color="auto" w:fill="FFFFFF"/>
          <w:lang w:val="zh-CN"/>
        </w:rPr>
      </w:pPr>
      <w:r>
        <w:rPr>
          <w:rFonts w:hint="eastAsia" w:ascii="仿宋" w:hAnsi="仿宋" w:eastAsia="仿宋" w:cs="宋体"/>
          <w:color w:val="000000"/>
          <w:kern w:val="0"/>
          <w:sz w:val="32"/>
          <w:szCs w:val="32"/>
          <w:shd w:val="clear" w:color="auto" w:fill="FFFFFF"/>
          <w:lang w:val="zh-CN"/>
        </w:rPr>
        <w:t xml:space="preserve">    1.负责建立健全全市生态环境基本制度。会同有关部门拟订并组织实施全市生态环境政策、规划，起草生态环境保护的地方性法规、规章草案，并依法组织实施和监督检查。组织编制环境功能区划，会同有关部门编制并监督实施重点区域、流域、应用水水源地生态环境规划和水功能区划，组织拟订生态环境地方标准、技术规范。参与制定与全市生态环境相关的经济、技术、资源配置和产业政策。参与拟订全市主体功能区划。</w:t>
      </w:r>
    </w:p>
    <w:p>
      <w:pPr>
        <w:spacing w:line="640" w:lineRule="exact"/>
        <w:rPr>
          <w:rFonts w:hint="eastAsia" w:ascii="仿宋" w:hAnsi="仿宋" w:eastAsia="仿宋" w:cs="宋体"/>
          <w:color w:val="000000"/>
          <w:kern w:val="0"/>
          <w:sz w:val="32"/>
          <w:szCs w:val="32"/>
          <w:shd w:val="clear" w:color="auto" w:fill="FFFFFF"/>
          <w:lang w:val="zh-CN"/>
        </w:rPr>
      </w:pPr>
      <w:r>
        <w:rPr>
          <w:rFonts w:hint="eastAsia" w:ascii="仿宋" w:hAnsi="仿宋" w:eastAsia="仿宋" w:cs="宋体"/>
          <w:color w:val="000000"/>
          <w:kern w:val="0"/>
          <w:sz w:val="32"/>
          <w:szCs w:val="32"/>
          <w:shd w:val="clear" w:color="auto" w:fill="FFFFFF"/>
          <w:lang w:val="zh-CN"/>
        </w:rPr>
        <w:t xml:space="preserve">    2.负责全市重大生态环境问题的统筹协调和监督管理。牵头协调全市重特大突发生态环境事件和生态破坏事件的调查处理，指导协调各县（区）对重特大突发生态环境事件的应急、预警工作，牵头指导实施生态环境损害赔偿制度，协调解决有关跨区域环境污染纠纷，统筹协调全市重点区域、流域的生态环境保护工作。</w:t>
      </w:r>
    </w:p>
    <w:p>
      <w:pPr>
        <w:spacing w:line="640" w:lineRule="exact"/>
        <w:rPr>
          <w:rFonts w:hint="eastAsia" w:ascii="仿宋" w:hAnsi="仿宋" w:eastAsia="仿宋" w:cs="宋体"/>
          <w:color w:val="000000"/>
          <w:kern w:val="0"/>
          <w:sz w:val="32"/>
          <w:szCs w:val="32"/>
          <w:shd w:val="clear" w:color="auto" w:fill="FFFFFF"/>
          <w:lang w:val="zh-CN"/>
        </w:rPr>
      </w:pPr>
      <w:r>
        <w:rPr>
          <w:rFonts w:hint="eastAsia" w:ascii="仿宋" w:hAnsi="仿宋" w:eastAsia="仿宋" w:cs="宋体"/>
          <w:color w:val="000000"/>
          <w:kern w:val="0"/>
          <w:sz w:val="32"/>
          <w:szCs w:val="32"/>
          <w:shd w:val="clear" w:color="auto" w:fill="FFFFFF"/>
          <w:lang w:val="zh-CN"/>
        </w:rPr>
        <w:t xml:space="preserve">    3.负责监督管理全市减排目标的落实。组织制定并监督实施全市各类污染物排放总量控制和排污许可证制度，确定大气、水等环境纳污能力，提出实施总量控制的污染物名称和控制指标，监督检查各县（区）、园区、企业污染物减排任务完成情况，实施生态环境目标责任制。</w:t>
      </w:r>
    </w:p>
    <w:p>
      <w:pPr>
        <w:spacing w:line="640" w:lineRule="exact"/>
        <w:rPr>
          <w:rFonts w:hint="eastAsia" w:ascii="仿宋" w:hAnsi="仿宋" w:eastAsia="仿宋" w:cs="宋体"/>
          <w:color w:val="000000"/>
          <w:kern w:val="0"/>
          <w:sz w:val="32"/>
          <w:szCs w:val="32"/>
          <w:shd w:val="clear" w:color="auto" w:fill="FFFFFF"/>
          <w:lang w:val="zh-CN"/>
        </w:rPr>
      </w:pPr>
      <w:r>
        <w:rPr>
          <w:rFonts w:hint="eastAsia" w:ascii="仿宋" w:hAnsi="仿宋" w:eastAsia="仿宋" w:cs="宋体"/>
          <w:color w:val="000000"/>
          <w:kern w:val="0"/>
          <w:sz w:val="32"/>
          <w:szCs w:val="32"/>
          <w:shd w:val="clear" w:color="auto" w:fill="FFFFFF"/>
          <w:lang w:val="zh-CN"/>
        </w:rPr>
        <w:t xml:space="preserve">    4.负责提出全市生态环境领域固定资产投资规模和方向、市级财政性资金安排的意见，按市政府规定权限审批、核准全市规划内和年度计划规模内固定资产投资项目，配合有关部门做好组织实施和监督工作。参与指导推动全市循环经济和生态环保产业发展。</w:t>
      </w:r>
    </w:p>
    <w:p>
      <w:pPr>
        <w:spacing w:line="640" w:lineRule="exact"/>
        <w:rPr>
          <w:rFonts w:hint="eastAsia" w:ascii="仿宋" w:hAnsi="仿宋" w:eastAsia="仿宋" w:cs="宋体"/>
          <w:color w:val="000000"/>
          <w:kern w:val="0"/>
          <w:sz w:val="32"/>
          <w:szCs w:val="32"/>
          <w:shd w:val="clear" w:color="auto" w:fill="FFFFFF"/>
          <w:lang w:val="zh-CN"/>
        </w:rPr>
      </w:pPr>
      <w:r>
        <w:rPr>
          <w:rFonts w:hint="eastAsia" w:ascii="仿宋" w:hAnsi="仿宋" w:eastAsia="仿宋" w:cs="宋体"/>
          <w:color w:val="000000"/>
          <w:kern w:val="0"/>
          <w:sz w:val="32"/>
          <w:szCs w:val="32"/>
          <w:shd w:val="clear" w:color="auto" w:fill="FFFFFF"/>
          <w:lang w:val="zh-CN"/>
        </w:rPr>
        <w:t xml:space="preserve">    5.负责全市环境污染防治的监督管理。组织制定并监督实施全市大气、水、土壤、噪声、光、恶臭、固体废物、化学品、机动车等的污染防治管理制度。会同有关部门监督管理饮用水水源地生态环境保护工作，组织指导城乡生态环境综合整治工作，监督指导农业面源污染治理工作。监督指导区域大气环境保护工作，牵头建立区域大气污染联防联控协作机制并监督实施。按职责分工组织开展全市强制性清洁生产审核工作。</w:t>
      </w:r>
    </w:p>
    <w:p>
      <w:pPr>
        <w:spacing w:line="640" w:lineRule="exact"/>
        <w:rPr>
          <w:rFonts w:hint="eastAsia" w:ascii="仿宋" w:hAnsi="仿宋" w:eastAsia="仿宋" w:cs="宋体"/>
          <w:color w:val="000000"/>
          <w:kern w:val="0"/>
          <w:sz w:val="32"/>
          <w:szCs w:val="32"/>
          <w:shd w:val="clear" w:color="auto" w:fill="FFFFFF"/>
          <w:lang w:val="zh-CN"/>
        </w:rPr>
      </w:pPr>
      <w:r>
        <w:rPr>
          <w:rFonts w:hint="eastAsia" w:ascii="仿宋" w:hAnsi="仿宋" w:eastAsia="仿宋" w:cs="宋体"/>
          <w:color w:val="000000"/>
          <w:kern w:val="0"/>
          <w:sz w:val="32"/>
          <w:szCs w:val="32"/>
          <w:shd w:val="clear" w:color="auto" w:fill="FFFFFF"/>
          <w:lang w:val="zh-CN"/>
        </w:rPr>
        <w:t xml:space="preserve">    6.指导协调和监督全市生态保护修复工作。组织编制和监督实施生态保护规划，监督对生态环境有影响的自然资源开发利用活动、重要生态环境建设和生态破坏恢复工作。组织、指导生态示范创建工作。组织制定全市各类自然保护地生态环境监管制度并监督执法，承担自然保护地、生态保护红线相关监管工作。监督野生动植物保护、湿地生态环境保护、荒漠化防治等工作。指导协调和监督全市农村生态环境保护，监督生物技术环境安全，牵头生物物种（含遗传资源）工作，组织协调生物多样性保护工作，参与生态保护补偿工作。</w:t>
      </w:r>
    </w:p>
    <w:p>
      <w:pPr>
        <w:spacing w:line="640" w:lineRule="exact"/>
        <w:rPr>
          <w:rFonts w:hint="eastAsia" w:ascii="仿宋" w:hAnsi="仿宋" w:eastAsia="仿宋" w:cs="宋体"/>
          <w:color w:val="000000"/>
          <w:kern w:val="0"/>
          <w:sz w:val="32"/>
          <w:szCs w:val="32"/>
          <w:shd w:val="clear" w:color="auto" w:fill="FFFFFF"/>
          <w:lang w:val="zh-CN"/>
        </w:rPr>
      </w:pPr>
      <w:r>
        <w:rPr>
          <w:rFonts w:hint="eastAsia" w:ascii="仿宋" w:hAnsi="仿宋" w:eastAsia="仿宋" w:cs="宋体"/>
          <w:color w:val="000000"/>
          <w:kern w:val="0"/>
          <w:sz w:val="32"/>
          <w:szCs w:val="32"/>
          <w:shd w:val="clear" w:color="auto" w:fill="FFFFFF"/>
          <w:lang w:val="zh-CN"/>
        </w:rPr>
        <w:t xml:space="preserve">    7.负责全市核与辐射安全的监督管理。贯彻执行国家、省核与辐射安全法律、法规、规章、政策、规划和技术标准。负责辐射环境事故应急处理工作，参与核事故应急处理。监督管理放射源与射线装置安全，监督管理全市核技术应用、电磁辐射、伴有放射性矿产资源开发利用中的污染防治。负责核与辐射建设项目“三同时”（同时设计、同时施工、同时投产使用）管理工作，参与核设施安全、核设施污染防治监督管理相关工作，参与对核材料的管制和民用核安全设备的设计、制造、安装和无损检验活动的监督管理。负责核与辐射环境监测和执法工作。参与反生化、核与辐射恐怖事件的防范和处理。</w:t>
      </w:r>
    </w:p>
    <w:p>
      <w:pPr>
        <w:spacing w:line="640" w:lineRule="exact"/>
        <w:rPr>
          <w:rFonts w:hint="eastAsia" w:ascii="仿宋" w:hAnsi="仿宋" w:eastAsia="仿宋" w:cs="宋体"/>
          <w:color w:val="000000"/>
          <w:kern w:val="0"/>
          <w:sz w:val="32"/>
          <w:szCs w:val="32"/>
          <w:shd w:val="clear" w:color="auto" w:fill="FFFFFF"/>
          <w:lang w:val="zh-CN"/>
        </w:rPr>
      </w:pPr>
      <w:r>
        <w:rPr>
          <w:rFonts w:hint="eastAsia" w:ascii="仿宋" w:hAnsi="仿宋" w:eastAsia="仿宋" w:cs="宋体"/>
          <w:color w:val="000000"/>
          <w:kern w:val="0"/>
          <w:sz w:val="32"/>
          <w:szCs w:val="32"/>
          <w:shd w:val="clear" w:color="auto" w:fill="FFFFFF"/>
          <w:lang w:val="zh-CN"/>
        </w:rPr>
        <w:t xml:space="preserve">    8.负责全市生态环境准入的监督管理。受市政府委托对重大经济和技术政策、发展规划以及重大经济开发计划进行环境影响评价。按规定审批或审查重大开发建设区域、规划、项目环境影响评价文件。拟订并组织实施全市生态环境准入清单。</w:t>
      </w:r>
    </w:p>
    <w:p>
      <w:pPr>
        <w:spacing w:line="640" w:lineRule="exact"/>
        <w:rPr>
          <w:rFonts w:hint="eastAsia" w:ascii="仿宋" w:hAnsi="仿宋" w:eastAsia="仿宋" w:cs="宋体"/>
          <w:color w:val="000000"/>
          <w:kern w:val="0"/>
          <w:sz w:val="32"/>
          <w:szCs w:val="32"/>
          <w:shd w:val="clear" w:color="auto" w:fill="FFFFFF"/>
          <w:lang w:val="zh-CN"/>
        </w:rPr>
      </w:pPr>
      <w:r>
        <w:rPr>
          <w:rFonts w:hint="eastAsia" w:ascii="仿宋" w:hAnsi="仿宋" w:eastAsia="仿宋" w:cs="宋体"/>
          <w:color w:val="000000"/>
          <w:kern w:val="0"/>
          <w:sz w:val="32"/>
          <w:szCs w:val="32"/>
          <w:shd w:val="clear" w:color="auto" w:fill="FFFFFF"/>
          <w:lang w:val="zh-CN"/>
        </w:rPr>
        <w:t xml:space="preserve">    9.负责全市生态环境监测、统计和信息发布工作。监督执行国家、省颁布的各类环境标准，负责全市环境监测制度和规范相关工作。会同有关部门统一规划全市生态环境质量监测站点设置，组织实施生态环境质量监测、污染源监督性监测、温室气体减排监测、应急监测。组织对全市生态环境质量状况进行调查评价、预警预测，组织建设和管理全市生态环境监测网和生态环境信息网。负责全市生态环境质量考核和生态环境统计工作。建立和实行生态环境质量公告制度，统一发布全市生态环境综合性报告和重大环境信息。</w:t>
      </w:r>
    </w:p>
    <w:p>
      <w:pPr>
        <w:spacing w:line="640" w:lineRule="exact"/>
        <w:rPr>
          <w:rFonts w:hint="eastAsia" w:ascii="仿宋" w:hAnsi="仿宋" w:eastAsia="仿宋" w:cs="宋体"/>
          <w:color w:val="000000"/>
          <w:kern w:val="0"/>
          <w:sz w:val="32"/>
          <w:szCs w:val="32"/>
          <w:shd w:val="clear" w:color="auto" w:fill="FFFFFF"/>
          <w:lang w:val="zh-CN"/>
        </w:rPr>
      </w:pPr>
      <w:r>
        <w:rPr>
          <w:rFonts w:hint="eastAsia" w:ascii="仿宋" w:hAnsi="仿宋" w:eastAsia="仿宋" w:cs="宋体"/>
          <w:color w:val="000000"/>
          <w:kern w:val="0"/>
          <w:sz w:val="32"/>
          <w:szCs w:val="32"/>
          <w:shd w:val="clear" w:color="auto" w:fill="FFFFFF"/>
          <w:lang w:val="zh-CN"/>
        </w:rPr>
        <w:t xml:space="preserve">    10.负责应对气候变化工作。组织实施国家、省应对气候变化及温室气体减排重大战略、规划和政策，组织拟订全市应对气候变化的规划和政策措施。</w:t>
      </w:r>
    </w:p>
    <w:p>
      <w:pPr>
        <w:spacing w:line="640" w:lineRule="exact"/>
        <w:rPr>
          <w:rFonts w:hint="eastAsia" w:ascii="仿宋" w:hAnsi="仿宋" w:eastAsia="仿宋" w:cs="宋体"/>
          <w:color w:val="000000"/>
          <w:kern w:val="0"/>
          <w:sz w:val="32"/>
          <w:szCs w:val="32"/>
          <w:shd w:val="clear" w:color="auto" w:fill="FFFFFF"/>
          <w:lang w:val="zh-CN"/>
        </w:rPr>
      </w:pPr>
      <w:r>
        <w:rPr>
          <w:rFonts w:hint="eastAsia" w:ascii="仿宋" w:hAnsi="仿宋" w:eastAsia="仿宋" w:cs="宋体"/>
          <w:color w:val="000000"/>
          <w:kern w:val="0"/>
          <w:sz w:val="32"/>
          <w:szCs w:val="32"/>
          <w:shd w:val="clear" w:color="auto" w:fill="FFFFFF"/>
          <w:lang w:val="zh-CN"/>
        </w:rPr>
        <w:t xml:space="preserve">    11.组织开展市级生态环境保护督察和监察。拟订市级生态环境保护督察和监察制度，组织协调市级生态环境保护督察和监察工作，根据授权对各县（区）、各有关部门贯彻落实中央、省、市生态环境保护决策部署情况进行督察和监察。</w:t>
      </w:r>
    </w:p>
    <w:p>
      <w:pPr>
        <w:spacing w:line="640" w:lineRule="exact"/>
        <w:rPr>
          <w:rFonts w:hint="eastAsia" w:ascii="仿宋" w:hAnsi="仿宋" w:eastAsia="仿宋" w:cs="宋体"/>
          <w:color w:val="000000"/>
          <w:kern w:val="0"/>
          <w:sz w:val="32"/>
          <w:szCs w:val="32"/>
          <w:shd w:val="clear" w:color="auto" w:fill="FFFFFF"/>
          <w:lang w:val="zh-CN"/>
        </w:rPr>
      </w:pPr>
      <w:r>
        <w:rPr>
          <w:rFonts w:hint="eastAsia" w:ascii="仿宋" w:hAnsi="仿宋" w:eastAsia="仿宋" w:cs="宋体"/>
          <w:color w:val="000000"/>
          <w:kern w:val="0"/>
          <w:sz w:val="32"/>
          <w:szCs w:val="32"/>
          <w:shd w:val="clear" w:color="auto" w:fill="FFFFFF"/>
          <w:lang w:val="zh-CN"/>
        </w:rPr>
        <w:t xml:space="preserve">    12.负责生态环境保护领域的综合行政执法工作。组织开展全市生态环境保护执法检查。监督实施全市建设项目生态环境保护设施“三同时”制度。查处全市重大生态环境违法问题。负责全市生态环境保护综合执法队伍建设并指导开展业务工作。</w:t>
      </w:r>
    </w:p>
    <w:p>
      <w:pPr>
        <w:spacing w:line="640" w:lineRule="exact"/>
        <w:rPr>
          <w:rFonts w:hint="eastAsia" w:ascii="仿宋" w:hAnsi="仿宋" w:eastAsia="仿宋" w:cs="宋体"/>
          <w:color w:val="000000"/>
          <w:kern w:val="0"/>
          <w:sz w:val="32"/>
          <w:szCs w:val="32"/>
          <w:shd w:val="clear" w:color="auto" w:fill="FFFFFF"/>
          <w:lang w:val="zh-CN"/>
        </w:rPr>
      </w:pPr>
      <w:r>
        <w:rPr>
          <w:rFonts w:hint="eastAsia" w:ascii="仿宋" w:hAnsi="仿宋" w:eastAsia="仿宋" w:cs="宋体"/>
          <w:color w:val="000000"/>
          <w:kern w:val="0"/>
          <w:sz w:val="32"/>
          <w:szCs w:val="32"/>
          <w:shd w:val="clear" w:color="auto" w:fill="FFFFFF"/>
          <w:lang w:val="zh-CN"/>
        </w:rPr>
        <w:t xml:space="preserve">    13.组织指导和协调全市生态环境宣传教育工作。制定并组织实施全市生态环境保护宣传教育有关规划和计划。推动社会组织和公众参与生态环境保护。会同有关部门依法对全市保护和改善生态环境有显著成绩的单位和个人给予表彰和奖励。</w:t>
      </w:r>
    </w:p>
    <w:p>
      <w:pPr>
        <w:spacing w:line="640" w:lineRule="exact"/>
        <w:rPr>
          <w:rFonts w:hint="eastAsia" w:ascii="仿宋" w:hAnsi="仿宋" w:eastAsia="仿宋" w:cs="宋体"/>
          <w:color w:val="000000"/>
          <w:kern w:val="0"/>
          <w:sz w:val="32"/>
          <w:szCs w:val="32"/>
          <w:shd w:val="clear" w:color="auto" w:fill="FFFFFF"/>
          <w:lang w:val="zh-CN"/>
        </w:rPr>
      </w:pPr>
      <w:r>
        <w:rPr>
          <w:rFonts w:hint="eastAsia" w:ascii="仿宋" w:hAnsi="仿宋" w:eastAsia="仿宋" w:cs="宋体"/>
          <w:color w:val="000000"/>
          <w:kern w:val="0"/>
          <w:sz w:val="32"/>
          <w:szCs w:val="32"/>
          <w:shd w:val="clear" w:color="auto" w:fill="FFFFFF"/>
          <w:lang w:val="zh-CN"/>
        </w:rPr>
        <w:t xml:space="preserve">    14.开展全市生态环境科技工作。管理全市生态环境保护科技成果并推广应用。组织开展全市生态环境重大科学研究和技术工程示范，推动生态环境技术管理体系建设。</w:t>
      </w:r>
    </w:p>
    <w:p>
      <w:pPr>
        <w:spacing w:line="640" w:lineRule="exact"/>
        <w:rPr>
          <w:rFonts w:hint="eastAsia" w:ascii="仿宋" w:hAnsi="仿宋" w:eastAsia="仿宋" w:cs="宋体"/>
          <w:color w:val="000000"/>
          <w:kern w:val="0"/>
          <w:sz w:val="32"/>
          <w:szCs w:val="32"/>
          <w:shd w:val="clear" w:color="auto" w:fill="FFFFFF"/>
          <w:lang w:val="zh-CN"/>
        </w:rPr>
      </w:pPr>
      <w:r>
        <w:rPr>
          <w:rFonts w:hint="eastAsia" w:ascii="仿宋" w:hAnsi="仿宋" w:eastAsia="仿宋" w:cs="宋体"/>
          <w:color w:val="000000"/>
          <w:kern w:val="0"/>
          <w:sz w:val="32"/>
          <w:szCs w:val="32"/>
          <w:shd w:val="clear" w:color="auto" w:fill="FFFFFF"/>
          <w:lang w:val="zh-CN"/>
        </w:rPr>
        <w:t xml:space="preserve">    15.开展生态环境对外交流与合作。参与协调市内重要生态环境保护国际活动和区域合作，管理全市生态环境系统对外经济合作，参与处理涉外生态环境保护事务，负责与环境保护国际组织的联系工作。</w:t>
      </w:r>
    </w:p>
    <w:p>
      <w:pPr>
        <w:spacing w:line="640" w:lineRule="exact"/>
        <w:rPr>
          <w:rFonts w:hint="eastAsia" w:ascii="仿宋" w:hAnsi="仿宋" w:eastAsia="仿宋" w:cs="宋体"/>
          <w:color w:val="000000"/>
          <w:kern w:val="0"/>
          <w:sz w:val="32"/>
          <w:szCs w:val="32"/>
          <w:shd w:val="clear" w:color="auto" w:fill="FFFFFF"/>
          <w:lang w:val="zh-CN"/>
        </w:rPr>
      </w:pPr>
      <w:r>
        <w:rPr>
          <w:rFonts w:hint="eastAsia" w:ascii="仿宋" w:hAnsi="仿宋" w:eastAsia="仿宋" w:cs="宋体"/>
          <w:color w:val="000000"/>
          <w:kern w:val="0"/>
          <w:sz w:val="32"/>
          <w:szCs w:val="32"/>
          <w:shd w:val="clear" w:color="auto" w:fill="FFFFFF"/>
          <w:lang w:val="zh-CN"/>
        </w:rPr>
        <w:t xml:space="preserve">    16.负责职责范围内安全生产和职业健康、审批服务便民化等工作。</w:t>
      </w:r>
    </w:p>
    <w:p>
      <w:pPr>
        <w:spacing w:line="640" w:lineRule="exact"/>
        <w:rPr>
          <w:rFonts w:hint="eastAsia" w:ascii="仿宋" w:hAnsi="仿宋" w:eastAsia="仿宋"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 xml:space="preserve">   </w:t>
      </w:r>
      <w:r>
        <w:rPr>
          <w:rFonts w:hint="eastAsia" w:ascii="仿宋" w:hAnsi="仿宋" w:eastAsia="仿宋" w:cs="宋体"/>
          <w:color w:val="000000"/>
          <w:kern w:val="0"/>
          <w:sz w:val="32"/>
          <w:szCs w:val="32"/>
          <w:shd w:val="clear" w:color="auto" w:fill="FFFFFF"/>
          <w:lang w:val="zh-CN"/>
        </w:rPr>
        <w:t xml:space="preserve"> 17.完成市委、市政府和省生态环境厅交办的其他任务。</w:t>
      </w:r>
    </w:p>
    <w:p>
      <w:pPr>
        <w:spacing w:line="640" w:lineRule="exact"/>
        <w:rPr>
          <w:rFonts w:ascii="仿宋" w:hAnsi="仿宋" w:eastAsia="仿宋" w:cs="宋体"/>
          <w:color w:val="000000"/>
          <w:kern w:val="0"/>
          <w:sz w:val="32"/>
          <w:szCs w:val="32"/>
          <w:shd w:val="clear" w:color="auto" w:fill="FFFFFF"/>
          <w:lang w:val="zh-CN"/>
        </w:rPr>
      </w:pPr>
      <w:r>
        <w:rPr>
          <w:rFonts w:hint="eastAsia" w:ascii="仿宋" w:hAnsi="仿宋" w:eastAsia="仿宋" w:cs="宋体"/>
          <w:color w:val="000000"/>
          <w:kern w:val="0"/>
          <w:sz w:val="32"/>
          <w:szCs w:val="32"/>
          <w:shd w:val="clear" w:color="auto" w:fill="FFFFFF"/>
          <w:lang w:val="zh-CN"/>
        </w:rPr>
        <w:t xml:space="preserve">    18.职能转变。统一行使全市生态和城乡各类污染排放监管职责，按照国家、省确定的综合行政执法改革要求实施与此对应的行政执法职责，统一负责全市生态环境质量监测、调查评价和考核，切实履行监管责任，加强事中事后监管，全面落实大气、水、土壤污染防治行动计划，强化固体废物、化学品、重金属污染防治监督管理。构建政府为主导、企业为主体、社会组织和公众共同参与的生态环境治理体系，实施最严格的生态环境保护制度，严守生态保护红线和环境质量底线，坚决打好污染防治攻坚战，筑牢长江上游生态屏障，保障生态安全。</w:t>
      </w:r>
    </w:p>
    <w:p>
      <w:pPr>
        <w:widowControl/>
        <w:adjustRightInd w:val="0"/>
        <w:snapToGrid w:val="0"/>
        <w:spacing w:line="580" w:lineRule="exact"/>
        <w:ind w:firstLine="640" w:firstLineChars="200"/>
        <w:contextualSpacing/>
        <w:jc w:val="left"/>
        <w:rPr>
          <w:rFonts w:hint="eastAsia" w:ascii="仿宋" w:hAnsi="仿宋" w:eastAsia="仿宋" w:cs="宋体"/>
          <w:color w:val="000000"/>
          <w:kern w:val="0"/>
          <w:sz w:val="32"/>
          <w:szCs w:val="32"/>
          <w:shd w:val="clear" w:color="auto" w:fill="FFFFFF"/>
          <w:lang w:val="zh-CN"/>
        </w:rPr>
      </w:pPr>
      <w:r>
        <w:rPr>
          <w:rFonts w:hint="eastAsia" w:ascii="仿宋" w:hAnsi="仿宋" w:eastAsia="仿宋" w:cs="宋体"/>
          <w:color w:val="000000"/>
          <w:kern w:val="0"/>
          <w:sz w:val="32"/>
          <w:szCs w:val="32"/>
          <w:shd w:val="clear" w:color="auto" w:fill="FFFFFF"/>
          <w:lang w:val="zh-CN"/>
        </w:rPr>
        <w:t>（三）人员概况。</w:t>
      </w:r>
    </w:p>
    <w:p>
      <w:pPr>
        <w:rPr>
          <w:rFonts w:ascii="仿宋" w:hAnsi="仿宋" w:eastAsia="仿宋" w:cs="宋体"/>
          <w:kern w:val="0"/>
          <w:sz w:val="32"/>
          <w:szCs w:val="32"/>
          <w:shd w:val="clear" w:color="auto" w:fill="FFFFFF"/>
          <w:lang w:val="zh-CN"/>
        </w:rPr>
      </w:pPr>
      <w:r>
        <w:rPr>
          <w:rFonts w:hint="eastAsia" w:ascii="仿宋" w:hAnsi="仿宋" w:eastAsia="仿宋" w:cs="宋体"/>
          <w:color w:val="000000"/>
          <w:kern w:val="0"/>
          <w:sz w:val="32"/>
          <w:szCs w:val="32"/>
          <w:shd w:val="clear" w:color="auto" w:fill="FFFFFF"/>
          <w:lang w:val="zh-CN"/>
        </w:rPr>
        <w:t xml:space="preserve"> </w:t>
      </w:r>
      <w:r>
        <w:rPr>
          <w:rFonts w:hint="eastAsia" w:ascii="仿宋" w:hAnsi="仿宋" w:eastAsia="仿宋" w:cs="宋体"/>
          <w:kern w:val="0"/>
          <w:sz w:val="32"/>
          <w:szCs w:val="32"/>
          <w:shd w:val="clear" w:color="auto" w:fill="FFFFFF"/>
          <w:lang w:val="zh-CN"/>
        </w:rPr>
        <w:t xml:space="preserve">   我部门</w:t>
      </w:r>
      <w:r>
        <w:rPr>
          <w:rFonts w:ascii="仿宋" w:hAnsi="仿宋" w:eastAsia="仿宋" w:cs="宋体"/>
          <w:kern w:val="0"/>
          <w:sz w:val="32"/>
          <w:szCs w:val="32"/>
          <w:shd w:val="clear" w:color="auto" w:fill="FFFFFF"/>
          <w:lang w:val="zh-CN"/>
        </w:rPr>
        <w:t>行政编</w:t>
      </w:r>
      <w:r>
        <w:rPr>
          <w:rFonts w:hint="eastAsia" w:ascii="仿宋" w:hAnsi="仿宋" w:eastAsia="仿宋" w:cs="宋体"/>
          <w:kern w:val="0"/>
          <w:sz w:val="32"/>
          <w:szCs w:val="32"/>
          <w:shd w:val="clear" w:color="auto" w:fill="FFFFFF"/>
          <w:lang w:val="zh-CN"/>
        </w:rPr>
        <w:t>26人（不含县区生态环境局），机关工勤编制4人，参公事业编制33人，公益一类事业编制31人。年末实有人数76人，其中行政人员31人（含纪检监察人员5人），机关工勤4人，参公人员28人，事业人员13人。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仿宋" w:hAnsi="仿宋" w:eastAsia="仿宋" w:cs="宋体"/>
          <w:color w:val="000000"/>
          <w:kern w:val="0"/>
          <w:sz w:val="32"/>
          <w:szCs w:val="32"/>
          <w:shd w:val="clear" w:color="auto" w:fill="FFFFFF"/>
          <w:lang w:val="zh-CN"/>
        </w:rPr>
      </w:pPr>
      <w:r>
        <w:rPr>
          <w:rFonts w:hint="eastAsia" w:ascii="仿宋" w:hAnsi="仿宋" w:eastAsia="仿宋" w:cs="宋体"/>
          <w:color w:val="000000"/>
          <w:kern w:val="0"/>
          <w:sz w:val="32"/>
          <w:szCs w:val="32"/>
          <w:shd w:val="clear" w:color="auto" w:fill="FFFFFF"/>
          <w:lang w:val="zh-CN"/>
        </w:rPr>
        <w:t>（一）部门财政资金收入情况。</w:t>
      </w:r>
    </w:p>
    <w:p>
      <w:pPr>
        <w:widowControl/>
        <w:adjustRightInd w:val="0"/>
        <w:snapToGrid w:val="0"/>
        <w:spacing w:line="580" w:lineRule="exact"/>
        <w:ind w:firstLine="640" w:firstLineChars="200"/>
        <w:contextualSpacing/>
        <w:jc w:val="left"/>
        <w:rPr>
          <w:rFonts w:ascii="仿宋" w:hAnsi="仿宋" w:eastAsia="仿宋" w:cs="宋体"/>
          <w:color w:val="000000"/>
          <w:kern w:val="0"/>
          <w:sz w:val="32"/>
          <w:szCs w:val="32"/>
          <w:shd w:val="clear" w:color="auto" w:fill="FFFFFF"/>
          <w:lang w:val="zh-CN"/>
        </w:rPr>
      </w:pPr>
      <w:r>
        <w:rPr>
          <w:rFonts w:hint="eastAsia" w:ascii="仿宋" w:hAnsi="仿宋" w:eastAsia="仿宋" w:cs="宋体"/>
          <w:color w:val="000000"/>
          <w:kern w:val="0"/>
          <w:sz w:val="32"/>
          <w:szCs w:val="32"/>
          <w:shd w:val="clear" w:color="auto" w:fill="FFFFFF"/>
          <w:lang w:val="zh-CN"/>
        </w:rPr>
        <w:t>2020年，全年收入6282.72万元，其中基本支出1447.14万元，项目支出4835.58万元。</w:t>
      </w:r>
    </w:p>
    <w:p>
      <w:pPr>
        <w:widowControl/>
        <w:adjustRightInd w:val="0"/>
        <w:snapToGrid w:val="0"/>
        <w:spacing w:line="580" w:lineRule="exact"/>
        <w:ind w:firstLine="640" w:firstLineChars="200"/>
        <w:contextualSpacing/>
        <w:jc w:val="left"/>
        <w:rPr>
          <w:rFonts w:hint="eastAsia" w:ascii="仿宋" w:hAnsi="仿宋" w:eastAsia="仿宋" w:cs="宋体"/>
          <w:color w:val="000000"/>
          <w:kern w:val="0"/>
          <w:sz w:val="32"/>
          <w:szCs w:val="32"/>
          <w:shd w:val="clear" w:color="auto" w:fill="FFFFFF"/>
          <w:lang w:val="zh-CN"/>
        </w:rPr>
      </w:pPr>
      <w:r>
        <w:rPr>
          <w:rFonts w:hint="eastAsia" w:ascii="仿宋" w:hAnsi="仿宋" w:eastAsia="仿宋" w:cs="宋体"/>
          <w:color w:val="000000"/>
          <w:kern w:val="0"/>
          <w:sz w:val="32"/>
          <w:szCs w:val="32"/>
          <w:shd w:val="clear" w:color="auto" w:fill="FFFFFF"/>
          <w:lang w:val="zh-CN"/>
        </w:rPr>
        <w:t>（二）部门财政资金支出情况。</w:t>
      </w:r>
    </w:p>
    <w:p>
      <w:pPr>
        <w:widowControl/>
        <w:adjustRightInd w:val="0"/>
        <w:snapToGrid w:val="0"/>
        <w:spacing w:line="580" w:lineRule="exact"/>
        <w:ind w:firstLine="640" w:firstLineChars="200"/>
        <w:contextualSpacing/>
        <w:jc w:val="left"/>
        <w:rPr>
          <w:rFonts w:ascii="仿宋" w:hAnsi="仿宋" w:eastAsia="仿宋" w:cs="宋体"/>
          <w:color w:val="000000"/>
          <w:kern w:val="0"/>
          <w:sz w:val="32"/>
          <w:szCs w:val="32"/>
          <w:shd w:val="clear" w:color="auto" w:fill="FFFFFF"/>
          <w:lang w:val="zh-CN"/>
        </w:rPr>
      </w:pPr>
      <w:r>
        <w:rPr>
          <w:rFonts w:hint="eastAsia" w:ascii="仿宋" w:hAnsi="仿宋" w:eastAsia="仿宋" w:cs="宋体"/>
          <w:color w:val="000000"/>
          <w:kern w:val="0"/>
          <w:sz w:val="32"/>
          <w:szCs w:val="32"/>
          <w:shd w:val="clear" w:color="auto" w:fill="FFFFFF"/>
          <w:lang w:val="zh-CN"/>
        </w:rPr>
        <w:t>2020年，全年支出5866.74万元，其中基本支出1447.14万元，项目支出4419.6万元。</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 w:hAnsi="仿宋" w:eastAsia="仿宋" w:cs="宋体"/>
          <w:color w:val="000000"/>
          <w:kern w:val="0"/>
          <w:sz w:val="32"/>
          <w:szCs w:val="32"/>
          <w:shd w:val="clear" w:color="auto" w:fill="FFFFFF"/>
          <w:lang w:val="zh-CN"/>
        </w:rPr>
      </w:pPr>
      <w:r>
        <w:rPr>
          <w:rFonts w:hint="eastAsia" w:ascii="仿宋" w:hAnsi="仿宋" w:eastAsia="仿宋" w:cs="宋体"/>
          <w:color w:val="000000"/>
          <w:kern w:val="0"/>
          <w:sz w:val="32"/>
          <w:szCs w:val="32"/>
          <w:shd w:val="clear" w:color="auto" w:fill="FFFFFF"/>
          <w:lang w:val="zh-CN"/>
        </w:rPr>
        <w:t>（一）部门预算管理。</w:t>
      </w:r>
    </w:p>
    <w:p>
      <w:pPr>
        <w:spacing w:line="640" w:lineRule="exact"/>
        <w:rPr>
          <w:rFonts w:ascii="仿宋" w:hAnsi="仿宋" w:eastAsia="仿宋"/>
          <w:kern w:val="0"/>
          <w:shd w:val="clear" w:color="auto" w:fill="FFFFFF"/>
          <w:lang w:val="zh-CN"/>
        </w:rPr>
      </w:pPr>
      <w:r>
        <w:rPr>
          <w:rFonts w:hint="eastAsia" w:ascii="仿宋" w:hAnsi="仿宋" w:eastAsia="仿宋" w:cs="宋体"/>
          <w:color w:val="000000"/>
          <w:kern w:val="0"/>
          <w:sz w:val="32"/>
          <w:szCs w:val="32"/>
          <w:shd w:val="clear" w:color="auto" w:fill="FFFFFF"/>
          <w:lang w:val="zh-CN"/>
        </w:rPr>
        <w:t xml:space="preserve">    我部门在编制预算时，同时编制绩效目标，把预算申报与绩效申报结合起来。在预算执行过程中，对绩效目标进行监控分析，对偏离绩效目标或者预期不能达到绩效目标的项目进行分析。年末对绩效目标完成情况进行考评。</w:t>
      </w:r>
    </w:p>
    <w:p>
      <w:pPr>
        <w:widowControl/>
        <w:adjustRightInd w:val="0"/>
        <w:snapToGrid w:val="0"/>
        <w:spacing w:line="580" w:lineRule="exact"/>
        <w:ind w:firstLine="640" w:firstLineChars="200"/>
        <w:contextualSpacing/>
        <w:jc w:val="left"/>
        <w:rPr>
          <w:rFonts w:ascii="仿宋" w:hAnsi="仿宋" w:eastAsia="仿宋" w:cs="宋体"/>
          <w:color w:val="000000"/>
          <w:kern w:val="0"/>
          <w:sz w:val="32"/>
          <w:szCs w:val="32"/>
          <w:shd w:val="clear" w:color="auto" w:fill="FFFFFF"/>
          <w:lang w:val="zh-CN"/>
        </w:rPr>
      </w:pPr>
      <w:r>
        <w:rPr>
          <w:rFonts w:hint="eastAsia" w:ascii="仿宋" w:hAnsi="仿宋" w:eastAsia="仿宋" w:cs="宋体"/>
          <w:color w:val="000000"/>
          <w:kern w:val="0"/>
          <w:sz w:val="32"/>
          <w:szCs w:val="32"/>
          <w:shd w:val="clear" w:color="auto" w:fill="FFFFFF"/>
          <w:lang w:val="zh-CN"/>
        </w:rPr>
        <w:t>（二）结果应用情况。</w:t>
      </w:r>
    </w:p>
    <w:p>
      <w:pPr>
        <w:spacing w:line="640" w:lineRule="exact"/>
        <w:rPr>
          <w:rFonts w:ascii="仿宋" w:hAnsi="仿宋" w:eastAsia="仿宋" w:cs="宋体"/>
          <w:color w:val="000000"/>
          <w:kern w:val="0"/>
          <w:sz w:val="32"/>
          <w:szCs w:val="32"/>
          <w:shd w:val="clear" w:color="auto" w:fill="FFFFFF"/>
          <w:lang w:val="zh-CN"/>
        </w:rPr>
      </w:pPr>
      <w:r>
        <w:rPr>
          <w:rFonts w:hint="eastAsia" w:ascii="仿宋" w:hAnsi="仿宋" w:eastAsia="仿宋" w:cs="宋体"/>
          <w:color w:val="000000"/>
          <w:kern w:val="0"/>
          <w:sz w:val="32"/>
          <w:szCs w:val="32"/>
          <w:shd w:val="clear" w:color="auto" w:fill="FFFFFF"/>
          <w:lang w:val="zh-CN"/>
        </w:rPr>
        <w:t xml:space="preserve">    </w:t>
      </w:r>
      <w:r>
        <w:rPr>
          <w:rFonts w:ascii="仿宋" w:hAnsi="仿宋" w:eastAsia="仿宋" w:cs="宋体"/>
          <w:color w:val="000000"/>
          <w:kern w:val="0"/>
          <w:sz w:val="32"/>
          <w:szCs w:val="32"/>
          <w:shd w:val="clear" w:color="auto" w:fill="FFFFFF"/>
          <w:lang w:val="zh-CN"/>
        </w:rPr>
        <w:t>我部门拟将本次绩效评价结果通报机关各科室及直属单位，督促相关业务科室及直属单位加快项目推进，提高绩效评价意识，建立科学的资金效益考评制度，将绩效评价贯穿于项目立项实施完成的全过程。</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hint="eastAsia" w:ascii="仿宋" w:hAnsi="仿宋" w:eastAsia="仿宋" w:cs="宋体"/>
          <w:color w:val="000000"/>
          <w:kern w:val="0"/>
          <w:sz w:val="32"/>
          <w:szCs w:val="32"/>
          <w:shd w:val="clear" w:color="auto" w:fill="FFFFFF"/>
          <w:lang w:val="zh-CN"/>
        </w:rPr>
      </w:pPr>
      <w:r>
        <w:rPr>
          <w:rFonts w:hint="eastAsia" w:ascii="仿宋" w:hAnsi="仿宋" w:eastAsia="仿宋" w:cs="宋体"/>
          <w:color w:val="000000"/>
          <w:kern w:val="0"/>
          <w:sz w:val="32"/>
          <w:szCs w:val="32"/>
          <w:shd w:val="clear" w:color="auto" w:fill="FFFFFF"/>
          <w:lang w:val="zh-CN"/>
        </w:rPr>
        <w:t>（一）评价结论。</w:t>
      </w:r>
    </w:p>
    <w:p>
      <w:pPr>
        <w:autoSpaceDE w:val="0"/>
        <w:autoSpaceDN w:val="0"/>
        <w:adjustRightInd w:val="0"/>
        <w:spacing w:line="580" w:lineRule="exact"/>
        <w:ind w:firstLine="640" w:firstLineChars="200"/>
        <w:rPr>
          <w:rFonts w:ascii="仿宋" w:hAnsi="仿宋" w:eastAsia="仿宋"/>
          <w:sz w:val="32"/>
          <w:szCs w:val="32"/>
        </w:rPr>
      </w:pPr>
      <w:r>
        <w:rPr>
          <w:rFonts w:hint="eastAsia" w:ascii="仿宋" w:hAnsi="仿宋" w:eastAsia="仿宋"/>
          <w:sz w:val="32"/>
          <w:szCs w:val="32"/>
        </w:rPr>
        <w:t>所实施项目决策立项符合资金管理相关规定，政府采购程序合法规范，施工项目管理规范，质量监督检查严格，施工质量良好。我局及下属事业单位能对环保资金专款专用，规范开支，杜绝资金漏洞，提高了环保资金利用效率。项目实施后达到了预期的社会效益和生态效益，社会公众满意度较高。</w:t>
      </w:r>
    </w:p>
    <w:p>
      <w:pPr>
        <w:widowControl/>
        <w:adjustRightInd w:val="0"/>
        <w:snapToGrid w:val="0"/>
        <w:spacing w:line="580" w:lineRule="exact"/>
        <w:ind w:firstLine="640" w:firstLineChars="200"/>
        <w:contextualSpacing/>
        <w:jc w:val="left"/>
        <w:rPr>
          <w:rFonts w:hint="eastAsia" w:ascii="仿宋" w:hAnsi="仿宋" w:eastAsia="仿宋" w:cs="宋体"/>
          <w:color w:val="000000"/>
          <w:kern w:val="0"/>
          <w:sz w:val="32"/>
          <w:szCs w:val="32"/>
          <w:shd w:val="clear" w:color="auto" w:fill="FFFFFF"/>
          <w:lang w:val="zh-CN"/>
        </w:rPr>
      </w:pPr>
      <w:r>
        <w:rPr>
          <w:rFonts w:hint="eastAsia" w:ascii="仿宋" w:hAnsi="仿宋" w:eastAsia="仿宋" w:cs="宋体"/>
          <w:color w:val="000000"/>
          <w:kern w:val="0"/>
          <w:sz w:val="32"/>
          <w:szCs w:val="32"/>
          <w:shd w:val="clear" w:color="auto" w:fill="FFFFFF"/>
          <w:lang w:val="zh-CN"/>
        </w:rPr>
        <w:t>（二）存在问题。</w:t>
      </w:r>
    </w:p>
    <w:p>
      <w:pPr>
        <w:widowControl/>
        <w:adjustRightInd w:val="0"/>
        <w:snapToGrid w:val="0"/>
        <w:spacing w:line="580" w:lineRule="exact"/>
        <w:ind w:firstLine="640" w:firstLineChars="200"/>
        <w:contextualSpacing/>
        <w:jc w:val="left"/>
        <w:rPr>
          <w:rFonts w:ascii="仿宋" w:hAnsi="仿宋" w:eastAsia="仿宋" w:cs="宋体"/>
          <w:color w:val="000000"/>
          <w:kern w:val="0"/>
          <w:sz w:val="32"/>
          <w:szCs w:val="32"/>
          <w:shd w:val="clear" w:color="auto" w:fill="FFFFFF"/>
          <w:lang w:val="zh-CN"/>
        </w:rPr>
      </w:pPr>
      <w:r>
        <w:rPr>
          <w:rFonts w:hint="eastAsia" w:ascii="仿宋" w:hAnsi="仿宋" w:eastAsia="仿宋"/>
          <w:sz w:val="32"/>
          <w:szCs w:val="32"/>
        </w:rPr>
        <w:t>部分专项资金为建设项目资金、科研项目资金、设备运维资金，因项目实施周期长，需根据项目进度支付，故资金执行率低。</w:t>
      </w:r>
    </w:p>
    <w:p>
      <w:pPr>
        <w:widowControl/>
        <w:adjustRightInd w:val="0"/>
        <w:snapToGrid w:val="0"/>
        <w:spacing w:line="580" w:lineRule="exact"/>
        <w:ind w:firstLine="640" w:firstLineChars="200"/>
        <w:contextualSpacing/>
        <w:jc w:val="left"/>
        <w:rPr>
          <w:rFonts w:ascii="仿宋" w:hAnsi="仿宋" w:eastAsia="仿宋" w:cs="宋体"/>
          <w:color w:val="000000"/>
          <w:kern w:val="0"/>
          <w:sz w:val="32"/>
          <w:szCs w:val="32"/>
          <w:shd w:val="clear" w:color="auto" w:fill="FFFFFF"/>
          <w:lang w:val="zh-CN"/>
        </w:rPr>
      </w:pPr>
      <w:r>
        <w:rPr>
          <w:rFonts w:hint="eastAsia" w:ascii="仿宋" w:hAnsi="仿宋" w:eastAsia="仿宋" w:cs="宋体"/>
          <w:color w:val="000000"/>
          <w:kern w:val="0"/>
          <w:sz w:val="32"/>
          <w:szCs w:val="32"/>
          <w:shd w:val="clear" w:color="auto" w:fill="FFFFFF"/>
          <w:lang w:val="zh-CN"/>
        </w:rPr>
        <w:t>（三）改进建议。</w:t>
      </w:r>
    </w:p>
    <w:p>
      <w:pPr>
        <w:spacing w:line="580" w:lineRule="exact"/>
        <w:ind w:firstLine="640" w:firstLineChars="200"/>
        <w:rPr>
          <w:rFonts w:ascii="仿宋" w:hAnsi="仿宋" w:eastAsia="仿宋" w:cs="仿宋_GB2312"/>
          <w:sz w:val="32"/>
          <w:szCs w:val="32"/>
        </w:rPr>
      </w:pPr>
      <w:r>
        <w:rPr>
          <w:rFonts w:hint="eastAsia" w:ascii="仿宋" w:hAnsi="仿宋" w:eastAsia="仿宋"/>
          <w:sz w:val="32"/>
          <w:szCs w:val="32"/>
        </w:rPr>
        <w:t>我部门将加快项目进度推进，提高资金执行率。</w:t>
      </w:r>
    </w:p>
    <w:p>
      <w:pPr>
        <w:spacing w:line="580" w:lineRule="exact"/>
        <w:ind w:firstLine="640" w:firstLineChars="200"/>
        <w:rPr>
          <w:rFonts w:ascii="仿宋" w:hAnsi="仿宋" w:eastAsia="仿宋" w:cs="仿宋_GB2312"/>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市级环保专项资金</w:t>
      </w:r>
      <w:r>
        <w:rPr>
          <w:rFonts w:hint="eastAsia" w:ascii="方正小标宋简体" w:hAnsi="宋体" w:eastAsia="方正小标宋简体"/>
          <w:color w:val="000000"/>
          <w:kern w:val="0"/>
          <w:sz w:val="44"/>
          <w:szCs w:val="44"/>
          <w:lang w:val="zh-CN"/>
        </w:rPr>
        <w:t>项目</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utoSpaceDE w:val="0"/>
        <w:autoSpaceDN w:val="0"/>
        <w:adjustRightInd w:val="0"/>
        <w:spacing w:line="600" w:lineRule="exact"/>
        <w:ind w:firstLine="640" w:firstLineChars="200"/>
        <w:rPr>
          <w:rFonts w:eastAsia="黑体"/>
          <w:kern w:val="0"/>
          <w:sz w:val="32"/>
          <w:szCs w:val="32"/>
        </w:rPr>
      </w:pPr>
      <w:r>
        <w:rPr>
          <w:rFonts w:hint="eastAsia" w:eastAsia="黑体"/>
          <w:kern w:val="0"/>
          <w:sz w:val="32"/>
          <w:szCs w:val="32"/>
        </w:rPr>
        <w:t>一、项目概况</w:t>
      </w:r>
    </w:p>
    <w:p>
      <w:pPr>
        <w:autoSpaceDE w:val="0"/>
        <w:autoSpaceDN w:val="0"/>
        <w:adjustRightInd w:val="0"/>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（一）项目基本情况。</w:t>
      </w:r>
    </w:p>
    <w:p>
      <w:pPr>
        <w:autoSpaceDE w:val="0"/>
        <w:autoSpaceDN w:val="0"/>
        <w:adjustRightInd w:val="0"/>
        <w:spacing w:line="600" w:lineRule="exact"/>
        <w:ind w:firstLine="640" w:firstLineChars="200"/>
        <w:rPr>
          <w:rFonts w:ascii="仿宋" w:hAnsi="仿宋" w:eastAsia="仿宋"/>
          <w:kern w:val="0"/>
          <w:sz w:val="32"/>
          <w:szCs w:val="32"/>
        </w:rPr>
      </w:pPr>
      <w:r>
        <w:rPr>
          <w:rFonts w:ascii="仿宋" w:hAnsi="仿宋" w:eastAsia="仿宋"/>
          <w:kern w:val="0"/>
          <w:sz w:val="32"/>
          <w:szCs w:val="32"/>
        </w:rPr>
        <w:t>1</w:t>
      </w:r>
      <w:r>
        <w:rPr>
          <w:rFonts w:hint="eastAsia" w:ascii="仿宋" w:hAnsi="仿宋" w:eastAsia="仿宋"/>
          <w:kern w:val="0"/>
          <w:sz w:val="32"/>
          <w:szCs w:val="32"/>
        </w:rPr>
        <w:t>．我局在该项目管理中的职能。</w:t>
      </w:r>
    </w:p>
    <w:p>
      <w:pPr>
        <w:autoSpaceDE w:val="0"/>
        <w:autoSpaceDN w:val="0"/>
        <w:adjustRightInd w:val="0"/>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bCs/>
          <w:kern w:val="0"/>
          <w:sz w:val="32"/>
          <w:szCs w:val="32"/>
        </w:rPr>
        <w:t>（</w:t>
      </w:r>
      <w:r>
        <w:rPr>
          <w:rFonts w:ascii="仿宋" w:hAnsi="仿宋" w:eastAsia="仿宋" w:cs="仿宋_GB2312"/>
          <w:bCs/>
          <w:kern w:val="0"/>
          <w:sz w:val="32"/>
          <w:szCs w:val="32"/>
        </w:rPr>
        <w:t>1</w:t>
      </w:r>
      <w:r>
        <w:rPr>
          <w:rFonts w:hint="eastAsia" w:ascii="仿宋" w:hAnsi="仿宋" w:eastAsia="仿宋" w:cs="仿宋_GB2312"/>
          <w:bCs/>
          <w:kern w:val="0"/>
          <w:sz w:val="32"/>
          <w:szCs w:val="32"/>
        </w:rPr>
        <w:t>）</w:t>
      </w:r>
      <w:r>
        <w:rPr>
          <w:rFonts w:hint="eastAsia" w:ascii="仿宋" w:hAnsi="仿宋" w:eastAsia="仿宋" w:cs="仿宋_GB2312"/>
          <w:kern w:val="0"/>
          <w:sz w:val="32"/>
          <w:szCs w:val="32"/>
        </w:rPr>
        <w:t>指导县（区）开展环境保护综合治理工作，充分发挥市级环境保护专项资金的作用；</w:t>
      </w:r>
    </w:p>
    <w:p>
      <w:pPr>
        <w:autoSpaceDE w:val="0"/>
        <w:autoSpaceDN w:val="0"/>
        <w:adjustRightInd w:val="0"/>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w:t>
      </w:r>
      <w:r>
        <w:rPr>
          <w:rFonts w:ascii="仿宋" w:hAnsi="仿宋" w:eastAsia="仿宋" w:cs="仿宋_GB2312"/>
          <w:kern w:val="0"/>
          <w:sz w:val="32"/>
          <w:szCs w:val="32"/>
        </w:rPr>
        <w:t>2</w:t>
      </w:r>
      <w:r>
        <w:rPr>
          <w:rFonts w:hint="eastAsia" w:ascii="仿宋" w:hAnsi="仿宋" w:eastAsia="仿宋" w:cs="仿宋_GB2312"/>
          <w:kern w:val="0"/>
          <w:sz w:val="32"/>
          <w:szCs w:val="32"/>
        </w:rPr>
        <w:t>）围绕国家提出的生态文明建设要求，根据创国模规划中确立的创建路径和环境污染治理重点，按照区域、流域治理和控制的主要特征污染物，会同市财政</w:t>
      </w:r>
      <w:bookmarkStart w:id="77" w:name="_GoBack"/>
      <w:bookmarkEnd w:id="77"/>
      <w:r>
        <w:rPr>
          <w:rFonts w:hint="eastAsia" w:ascii="仿宋" w:hAnsi="仿宋" w:eastAsia="仿宋" w:cs="仿宋_GB2312"/>
          <w:kern w:val="0"/>
          <w:sz w:val="32"/>
          <w:szCs w:val="32"/>
        </w:rPr>
        <w:t>局制定项目申报下发各县（区）人民政府；</w:t>
      </w:r>
    </w:p>
    <w:p>
      <w:pPr>
        <w:autoSpaceDE w:val="0"/>
        <w:autoSpaceDN w:val="0"/>
        <w:adjustRightIn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w:t>
      </w:r>
      <w:r>
        <w:rPr>
          <w:rFonts w:ascii="仿宋" w:hAnsi="仿宋" w:eastAsia="仿宋" w:cs="仿宋_GB2312"/>
          <w:kern w:val="0"/>
          <w:sz w:val="32"/>
          <w:szCs w:val="32"/>
        </w:rPr>
        <w:t>3</w:t>
      </w:r>
      <w:r>
        <w:rPr>
          <w:rFonts w:hint="eastAsia" w:ascii="仿宋" w:hAnsi="仿宋" w:eastAsia="仿宋" w:cs="仿宋_GB2312"/>
          <w:kern w:val="0"/>
          <w:sz w:val="32"/>
          <w:szCs w:val="32"/>
        </w:rPr>
        <w:t>）负责跟踪、检查专项资金使用和项目实施情况，</w:t>
      </w:r>
    </w:p>
    <w:p>
      <w:pPr>
        <w:autoSpaceDE w:val="0"/>
        <w:autoSpaceDN w:val="0"/>
        <w:adjustRightInd w:val="0"/>
        <w:spacing w:line="580" w:lineRule="exact"/>
        <w:rPr>
          <w:rFonts w:ascii="仿宋" w:hAnsi="仿宋" w:eastAsia="仿宋" w:cs="仿宋_GB2312"/>
          <w:kern w:val="0"/>
          <w:sz w:val="32"/>
          <w:szCs w:val="32"/>
        </w:rPr>
      </w:pPr>
      <w:r>
        <w:rPr>
          <w:rFonts w:hint="eastAsia" w:ascii="仿宋" w:hAnsi="仿宋" w:eastAsia="仿宋" w:cs="仿宋_GB2312"/>
          <w:kern w:val="0"/>
          <w:sz w:val="32"/>
          <w:szCs w:val="32"/>
        </w:rPr>
        <w:t>负责项目验收，配合市财政部门组织开展项目绩效评价；</w:t>
      </w:r>
    </w:p>
    <w:p>
      <w:pPr>
        <w:autoSpaceDE w:val="0"/>
        <w:autoSpaceDN w:val="0"/>
        <w:adjustRightIn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w:t>
      </w:r>
      <w:r>
        <w:rPr>
          <w:rFonts w:ascii="仿宋" w:hAnsi="仿宋" w:eastAsia="仿宋" w:cs="仿宋_GB2312"/>
          <w:kern w:val="0"/>
          <w:sz w:val="32"/>
          <w:szCs w:val="32"/>
        </w:rPr>
        <w:t>4</w:t>
      </w:r>
      <w:r>
        <w:rPr>
          <w:rFonts w:hint="eastAsia" w:ascii="仿宋" w:hAnsi="仿宋" w:eastAsia="仿宋" w:cs="仿宋_GB2312"/>
          <w:kern w:val="0"/>
          <w:sz w:val="32"/>
          <w:szCs w:val="32"/>
        </w:rPr>
        <w:t>）会同市财政部门制定与本办法配套的有关实施细则和操作规程。</w:t>
      </w:r>
    </w:p>
    <w:p>
      <w:pPr>
        <w:autoSpaceDE w:val="0"/>
        <w:autoSpaceDN w:val="0"/>
        <w:adjustRightInd w:val="0"/>
        <w:spacing w:line="600" w:lineRule="exact"/>
        <w:ind w:firstLine="640" w:firstLineChars="200"/>
        <w:rPr>
          <w:rFonts w:ascii="仿宋" w:hAnsi="仿宋" w:eastAsia="仿宋"/>
          <w:kern w:val="0"/>
          <w:sz w:val="32"/>
          <w:szCs w:val="32"/>
        </w:rPr>
      </w:pPr>
      <w:r>
        <w:rPr>
          <w:rFonts w:ascii="仿宋" w:hAnsi="仿宋" w:eastAsia="仿宋"/>
          <w:kern w:val="0"/>
          <w:sz w:val="32"/>
          <w:szCs w:val="32"/>
        </w:rPr>
        <w:t>2</w:t>
      </w:r>
      <w:r>
        <w:rPr>
          <w:rFonts w:hint="eastAsia" w:ascii="仿宋" w:hAnsi="仿宋" w:eastAsia="仿宋"/>
          <w:kern w:val="0"/>
          <w:sz w:val="32"/>
          <w:szCs w:val="32"/>
        </w:rPr>
        <w:t>．项目立项、资金申报的依据。</w:t>
      </w:r>
    </w:p>
    <w:p>
      <w:pPr>
        <w:autoSpaceDE w:val="0"/>
        <w:autoSpaceDN w:val="0"/>
        <w:adjustRightInd w:val="0"/>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该项目立项、资金申报依据为《攀枝花市市级环境保护专项资金管理办法》。</w:t>
      </w:r>
    </w:p>
    <w:p>
      <w:pPr>
        <w:autoSpaceDE w:val="0"/>
        <w:autoSpaceDN w:val="0"/>
        <w:adjustRightInd w:val="0"/>
        <w:spacing w:line="600" w:lineRule="exact"/>
        <w:ind w:firstLine="640" w:firstLineChars="200"/>
        <w:rPr>
          <w:rFonts w:ascii="仿宋" w:hAnsi="仿宋" w:eastAsia="仿宋"/>
          <w:kern w:val="0"/>
          <w:sz w:val="32"/>
          <w:szCs w:val="32"/>
        </w:rPr>
      </w:pPr>
      <w:r>
        <w:rPr>
          <w:rFonts w:ascii="仿宋" w:hAnsi="仿宋" w:eastAsia="仿宋"/>
          <w:kern w:val="0"/>
          <w:sz w:val="32"/>
          <w:szCs w:val="32"/>
        </w:rPr>
        <w:t>3</w:t>
      </w:r>
      <w:r>
        <w:rPr>
          <w:rFonts w:hint="eastAsia" w:ascii="仿宋" w:hAnsi="仿宋" w:eastAsia="仿宋"/>
          <w:kern w:val="0"/>
          <w:sz w:val="32"/>
          <w:szCs w:val="32"/>
        </w:rPr>
        <w:t>．资金管理办法制定情况，资金支持具体项目的条件、范围与支持方式概况。</w:t>
      </w:r>
    </w:p>
    <w:p>
      <w:pPr>
        <w:autoSpaceDE w:val="0"/>
        <w:autoSpaceDN w:val="0"/>
        <w:adjustRightInd w:val="0"/>
        <w:spacing w:line="600" w:lineRule="exact"/>
        <w:ind w:firstLine="640" w:firstLineChars="200"/>
        <w:rPr>
          <w:rFonts w:ascii="仿宋" w:hAnsi="仿宋" w:eastAsia="仿宋"/>
          <w:kern w:val="0"/>
          <w:sz w:val="32"/>
          <w:szCs w:val="32"/>
        </w:rPr>
      </w:pPr>
      <w:r>
        <w:rPr>
          <w:rFonts w:hint="eastAsia" w:ascii="仿宋" w:hAnsi="仿宋" w:eastAsia="仿宋" w:cs="仿宋_GB2312"/>
          <w:kern w:val="0"/>
          <w:sz w:val="32"/>
          <w:szCs w:val="32"/>
        </w:rPr>
        <w:t>为了加强财政专项资金管理，强化支出责任，建立科学、合理的专项资金绩效评价管理体系，我局同市财政局制定了《攀枝花市市级环境保护专项资金管理办法》，该办法管理下的环保专项资金资助对象则具备健全的财务核算和管理体系；项目所有开支均按照相关制度执行，资金的使用全部实行专账管理。专项资金适用范围有：重点污染源治理项目、重金属污染防治项目、清洁生产项目；重点区域环境综合整治和污染集中控制项目；总量减排等重点领域、行业污染治理；污染防治新技术、新工艺、新设备的推广应用项目；环境污染治理示范工程；集中式饮用水源地污染治理项目；重点小流域综合整治项目、农村村庄连片环境综合整治及土壤污染治理试点示范项目、规模化（养殖小区）畜禽养殖污染治理项目；环境监测、监察、预警、应急、信息、评估、统计、科技、宣教、依法行政等环境保护监管执法能力标准化建设和运行保障项目；根据市政府有关政策和部署，市财政局和市环保局研究确定的其他环境保护项目。专项资金主要采取“定向财力转移支付”、“竞争立项”和“特定补助”等方式进行分配。目前分配方式主要是定向财力转移支付。</w:t>
      </w:r>
    </w:p>
    <w:p>
      <w:pPr>
        <w:autoSpaceDE w:val="0"/>
        <w:autoSpaceDN w:val="0"/>
        <w:adjustRightInd w:val="0"/>
        <w:spacing w:line="600" w:lineRule="exact"/>
        <w:ind w:firstLine="640" w:firstLineChars="200"/>
        <w:rPr>
          <w:rFonts w:ascii="仿宋" w:hAnsi="仿宋" w:eastAsia="仿宋"/>
          <w:kern w:val="0"/>
          <w:sz w:val="32"/>
          <w:szCs w:val="32"/>
        </w:rPr>
      </w:pPr>
      <w:r>
        <w:rPr>
          <w:rFonts w:ascii="仿宋" w:hAnsi="仿宋" w:eastAsia="仿宋"/>
          <w:kern w:val="0"/>
          <w:sz w:val="32"/>
          <w:szCs w:val="32"/>
        </w:rPr>
        <w:t>4</w:t>
      </w:r>
      <w:r>
        <w:rPr>
          <w:rFonts w:hint="eastAsia" w:ascii="仿宋" w:hAnsi="仿宋" w:eastAsia="仿宋"/>
          <w:kern w:val="0"/>
          <w:sz w:val="32"/>
          <w:szCs w:val="32"/>
        </w:rPr>
        <w:t>．资金分配的原则及考虑因素。</w:t>
      </w:r>
    </w:p>
    <w:p>
      <w:pPr>
        <w:autoSpaceDE w:val="0"/>
        <w:autoSpaceDN w:val="0"/>
        <w:adjustRightInd w:val="0"/>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专项资金支出要做到专款专用的，严格遵守相关的资金管理办法。定向财力转移支付项目，遵循环境质量、专项资金绩效考评等因素。</w:t>
      </w:r>
    </w:p>
    <w:p>
      <w:pPr>
        <w:autoSpaceDE w:val="0"/>
        <w:autoSpaceDN w:val="0"/>
        <w:adjustRightInd w:val="0"/>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（二）项目绩效目标。</w:t>
      </w:r>
    </w:p>
    <w:p>
      <w:pPr>
        <w:autoSpaceDE w:val="0"/>
        <w:autoSpaceDN w:val="0"/>
        <w:adjustRightInd w:val="0"/>
        <w:spacing w:line="600" w:lineRule="exact"/>
        <w:ind w:firstLine="640" w:firstLineChars="200"/>
        <w:rPr>
          <w:rFonts w:ascii="仿宋" w:hAnsi="仿宋" w:eastAsia="仿宋"/>
          <w:kern w:val="0"/>
          <w:sz w:val="32"/>
          <w:szCs w:val="32"/>
        </w:rPr>
      </w:pPr>
      <w:r>
        <w:rPr>
          <w:rFonts w:ascii="仿宋" w:hAnsi="仿宋" w:eastAsia="仿宋"/>
          <w:kern w:val="0"/>
          <w:sz w:val="32"/>
          <w:szCs w:val="32"/>
        </w:rPr>
        <w:t>1</w:t>
      </w:r>
      <w:r>
        <w:rPr>
          <w:rFonts w:hint="eastAsia" w:ascii="仿宋" w:hAnsi="仿宋" w:eastAsia="仿宋"/>
          <w:kern w:val="0"/>
          <w:sz w:val="32"/>
          <w:szCs w:val="32"/>
        </w:rPr>
        <w:t>．项目主要内容。</w:t>
      </w:r>
    </w:p>
    <w:p>
      <w:pPr>
        <w:autoSpaceDE w:val="0"/>
        <w:autoSpaceDN w:val="0"/>
        <w:adjustRightInd w:val="0"/>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本年度安排市级环保专项资金689万元，年底收回财政预算47.84万元，实际安排资金641.16万元，安排项目有:大气污染防治保障159万元，环评评估经费310万元，“攀枝花市固废危化与环境应急事务中心”办公设备采购13.85万元， 档案数字化建设65.848万元，业务运行保障经费92.462万元。</w:t>
      </w:r>
    </w:p>
    <w:p>
      <w:pPr>
        <w:autoSpaceDE w:val="0"/>
        <w:autoSpaceDN w:val="0"/>
        <w:adjustRightInd w:val="0"/>
        <w:spacing w:line="600" w:lineRule="exact"/>
        <w:ind w:firstLine="640" w:firstLineChars="200"/>
        <w:rPr>
          <w:rFonts w:ascii="仿宋" w:hAnsi="仿宋" w:eastAsia="仿宋"/>
          <w:kern w:val="0"/>
          <w:sz w:val="32"/>
          <w:szCs w:val="32"/>
        </w:rPr>
      </w:pPr>
      <w:r>
        <w:rPr>
          <w:rFonts w:ascii="仿宋" w:hAnsi="仿宋" w:eastAsia="仿宋"/>
          <w:kern w:val="0"/>
          <w:sz w:val="32"/>
          <w:szCs w:val="32"/>
        </w:rPr>
        <w:t>2</w:t>
      </w:r>
      <w:r>
        <w:rPr>
          <w:rFonts w:hint="eastAsia" w:ascii="仿宋" w:hAnsi="仿宋" w:eastAsia="仿宋"/>
          <w:kern w:val="0"/>
          <w:sz w:val="32"/>
          <w:szCs w:val="32"/>
        </w:rPr>
        <w:t>．项目绩效目标。</w:t>
      </w:r>
    </w:p>
    <w:p>
      <w:pPr>
        <w:autoSpaceDE w:val="0"/>
        <w:autoSpaceDN w:val="0"/>
        <w:adjustRightInd w:val="0"/>
        <w:spacing w:line="600" w:lineRule="exact"/>
        <w:ind w:firstLine="640" w:firstLineChars="200"/>
        <w:rPr>
          <w:rFonts w:ascii="仿宋" w:hAnsi="仿宋" w:eastAsia="仿宋" w:cs="仿宋_GB2312"/>
          <w:kern w:val="0"/>
          <w:sz w:val="32"/>
          <w:szCs w:val="32"/>
        </w:rPr>
      </w:pPr>
      <w:r>
        <w:rPr>
          <w:rFonts w:hint="eastAsia" w:ascii="仿宋" w:hAnsi="仿宋" w:eastAsia="仿宋"/>
          <w:kern w:val="0"/>
          <w:sz w:val="32"/>
          <w:szCs w:val="32"/>
        </w:rPr>
        <w:t>（1）</w:t>
      </w:r>
      <w:r>
        <w:rPr>
          <w:rFonts w:hint="eastAsia" w:ascii="仿宋" w:hAnsi="仿宋" w:eastAsia="仿宋" w:cs="仿宋_GB2312"/>
          <w:kern w:val="0"/>
          <w:sz w:val="32"/>
          <w:szCs w:val="32"/>
        </w:rPr>
        <w:t>大气污染防治保障项目，为保障全市细颗粒物控制在34.8μg/Nm3，空气优良率控制在98.1%，组织全市交叉、联合检查，召开会议，邀请专家研判空气质量，对外宣传，开展大气污染防控。</w:t>
      </w:r>
    </w:p>
    <w:p>
      <w:pPr>
        <w:autoSpaceDE w:val="0"/>
        <w:autoSpaceDN w:val="0"/>
        <w:adjustRightInd w:val="0"/>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（2）环评评估项目，为服务企业办理环评手续，力推全市经济发展，开展建设项目环评评估。</w:t>
      </w:r>
    </w:p>
    <w:p>
      <w:pPr>
        <w:autoSpaceDE w:val="0"/>
        <w:autoSpaceDN w:val="0"/>
        <w:adjustRightInd w:val="0"/>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（3）“攀枝花市固废危化与环境应急事务中心”办公设备采购项目，是中心新成立，为保障中心日常办公需要，完成中心相应职能职责，特购置基本办公设备。</w:t>
      </w:r>
    </w:p>
    <w:p>
      <w:pPr>
        <w:autoSpaceDE w:val="0"/>
        <w:autoSpaceDN w:val="0"/>
        <w:adjustRightInd w:val="0"/>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4）档案数字化建设项目，是使档案文件资料全部实现数字化处理，建立健全档案目录数据库，用先进的档案数字化管理系统提供安全、高效的管理和利用，实现资源共享，提高公众服务水平，实现更高的社会价值。</w:t>
      </w:r>
    </w:p>
    <w:p>
      <w:pPr>
        <w:autoSpaceDE w:val="0"/>
        <w:autoSpaceDN w:val="0"/>
        <w:adjustRightInd w:val="0"/>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（5）业务运行保障项目，为保障环境监测、环保宣传、排污口设置论证、环保执法工作正常开展，弥补运行经费不足。</w:t>
      </w:r>
    </w:p>
    <w:p>
      <w:pPr>
        <w:autoSpaceDE w:val="0"/>
        <w:autoSpaceDN w:val="0"/>
        <w:adjustRightInd w:val="0"/>
        <w:spacing w:line="600" w:lineRule="exact"/>
        <w:ind w:firstLine="640" w:firstLineChars="200"/>
        <w:rPr>
          <w:rFonts w:ascii="仿宋" w:hAnsi="仿宋" w:eastAsia="仿宋"/>
          <w:kern w:val="0"/>
          <w:sz w:val="32"/>
          <w:szCs w:val="32"/>
        </w:rPr>
      </w:pPr>
      <w:r>
        <w:rPr>
          <w:rFonts w:ascii="仿宋" w:hAnsi="仿宋" w:eastAsia="仿宋"/>
          <w:kern w:val="0"/>
          <w:sz w:val="32"/>
          <w:szCs w:val="32"/>
        </w:rPr>
        <w:t>3</w:t>
      </w:r>
      <w:r>
        <w:rPr>
          <w:rFonts w:hint="eastAsia" w:ascii="仿宋" w:hAnsi="仿宋" w:eastAsia="仿宋"/>
          <w:kern w:val="0"/>
          <w:sz w:val="32"/>
          <w:szCs w:val="32"/>
        </w:rPr>
        <w:t>．项目申报内容与实际工作相符，申报目标合理可行。</w:t>
      </w:r>
    </w:p>
    <w:p>
      <w:pPr>
        <w:autoSpaceDE w:val="0"/>
        <w:autoSpaceDN w:val="0"/>
        <w:adjustRightInd w:val="0"/>
        <w:spacing w:line="600" w:lineRule="exact"/>
        <w:ind w:firstLine="640" w:firstLineChars="200"/>
        <w:rPr>
          <w:rFonts w:eastAsia="黑体"/>
          <w:kern w:val="0"/>
          <w:sz w:val="32"/>
          <w:szCs w:val="32"/>
        </w:rPr>
      </w:pPr>
      <w:r>
        <w:rPr>
          <w:rFonts w:hint="eastAsia" w:eastAsia="黑体"/>
          <w:kern w:val="0"/>
          <w:sz w:val="32"/>
          <w:szCs w:val="32"/>
        </w:rPr>
        <w:t>二、项目资金申报及使用情况</w:t>
      </w:r>
    </w:p>
    <w:p>
      <w:pPr>
        <w:autoSpaceDE w:val="0"/>
        <w:autoSpaceDN w:val="0"/>
        <w:adjustRightInd w:val="0"/>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（一）项目资金申报及批复情况。</w:t>
      </w:r>
    </w:p>
    <w:p>
      <w:pPr>
        <w:autoSpaceDE w:val="0"/>
        <w:autoSpaceDN w:val="0"/>
        <w:adjustRightInd w:val="0"/>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根据《攀枝花市市级环境保护专项资金管理办法》的相关规定，由业务科室提出资金使用计划和方案，经我局审核后会同财政协商同意后，财政下发资金文件。</w:t>
      </w:r>
    </w:p>
    <w:p>
      <w:pPr>
        <w:autoSpaceDE w:val="0"/>
        <w:autoSpaceDN w:val="0"/>
        <w:adjustRightInd w:val="0"/>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（二）资金计划、到位及使用情况。</w:t>
      </w:r>
    </w:p>
    <w:p>
      <w:pPr>
        <w:autoSpaceDE w:val="0"/>
        <w:autoSpaceDN w:val="0"/>
        <w:adjustRightInd w:val="0"/>
        <w:spacing w:line="600" w:lineRule="exact"/>
        <w:ind w:firstLine="640" w:firstLineChars="200"/>
        <w:rPr>
          <w:rFonts w:ascii="仿宋" w:hAnsi="仿宋" w:eastAsia="仿宋"/>
          <w:kern w:val="0"/>
          <w:sz w:val="32"/>
          <w:szCs w:val="32"/>
        </w:rPr>
      </w:pPr>
      <w:r>
        <w:rPr>
          <w:rFonts w:ascii="仿宋" w:hAnsi="仿宋" w:eastAsia="仿宋"/>
          <w:kern w:val="0"/>
          <w:sz w:val="32"/>
          <w:szCs w:val="32"/>
        </w:rPr>
        <w:t>1</w:t>
      </w:r>
      <w:r>
        <w:rPr>
          <w:rFonts w:hint="eastAsia" w:ascii="仿宋" w:hAnsi="仿宋" w:eastAsia="仿宋"/>
          <w:kern w:val="0"/>
          <w:sz w:val="32"/>
          <w:szCs w:val="32"/>
        </w:rPr>
        <w:t>．资金计划。</w:t>
      </w:r>
    </w:p>
    <w:p>
      <w:pPr>
        <w:autoSpaceDE w:val="0"/>
        <w:autoSpaceDN w:val="0"/>
        <w:adjustRightInd w:val="0"/>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本年度安排市级环保专项资金689万元。</w:t>
      </w:r>
    </w:p>
    <w:p>
      <w:pPr>
        <w:autoSpaceDE w:val="0"/>
        <w:autoSpaceDN w:val="0"/>
        <w:adjustRightInd w:val="0"/>
        <w:spacing w:line="600" w:lineRule="exact"/>
        <w:ind w:firstLine="640" w:firstLineChars="200"/>
        <w:rPr>
          <w:rFonts w:ascii="仿宋" w:hAnsi="仿宋" w:eastAsia="仿宋"/>
          <w:kern w:val="0"/>
          <w:sz w:val="32"/>
          <w:szCs w:val="32"/>
        </w:rPr>
      </w:pPr>
      <w:r>
        <w:rPr>
          <w:rFonts w:ascii="仿宋" w:hAnsi="仿宋" w:eastAsia="仿宋"/>
          <w:kern w:val="0"/>
          <w:sz w:val="32"/>
          <w:szCs w:val="32"/>
        </w:rPr>
        <w:t xml:space="preserve"> 2</w:t>
      </w:r>
      <w:r>
        <w:rPr>
          <w:rFonts w:hint="eastAsia" w:ascii="仿宋" w:hAnsi="仿宋" w:eastAsia="仿宋"/>
          <w:kern w:val="0"/>
          <w:sz w:val="32"/>
          <w:szCs w:val="32"/>
        </w:rPr>
        <w:t>．资金到位。</w:t>
      </w:r>
    </w:p>
    <w:p>
      <w:pPr>
        <w:autoSpaceDE w:val="0"/>
        <w:autoSpaceDN w:val="0"/>
        <w:adjustRightInd w:val="0"/>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12月底，市级环保专项资金被收回财政预算47.84万元，实际到位资金641.16万元。</w:t>
      </w:r>
    </w:p>
    <w:p>
      <w:pPr>
        <w:autoSpaceDE w:val="0"/>
        <w:autoSpaceDN w:val="0"/>
        <w:adjustRightInd w:val="0"/>
        <w:spacing w:line="600" w:lineRule="exact"/>
        <w:ind w:firstLine="640" w:firstLineChars="200"/>
        <w:rPr>
          <w:rFonts w:ascii="仿宋" w:hAnsi="仿宋" w:eastAsia="仿宋"/>
          <w:kern w:val="0"/>
          <w:sz w:val="32"/>
          <w:szCs w:val="32"/>
        </w:rPr>
      </w:pPr>
      <w:r>
        <w:rPr>
          <w:rFonts w:ascii="仿宋" w:hAnsi="仿宋" w:eastAsia="仿宋"/>
          <w:kern w:val="0"/>
          <w:sz w:val="32"/>
          <w:szCs w:val="32"/>
        </w:rPr>
        <w:t>3</w:t>
      </w:r>
      <w:r>
        <w:rPr>
          <w:rFonts w:hint="eastAsia" w:ascii="仿宋" w:hAnsi="仿宋" w:eastAsia="仿宋"/>
          <w:kern w:val="0"/>
          <w:sz w:val="32"/>
          <w:szCs w:val="32"/>
        </w:rPr>
        <w:t>．资金使用。</w:t>
      </w:r>
    </w:p>
    <w:p>
      <w:pPr>
        <w:autoSpaceDE w:val="0"/>
        <w:autoSpaceDN w:val="0"/>
        <w:adjustRightInd w:val="0"/>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大气污染防治保障159万元，已使用完毕；环评评估经费310万元，使用111.2万元，结余198.8万元，“攀枝花市固废危化与环境应急事务中心”办公设备采购13.85万元，使用12.6694万元，结余1.1806万元； 档案数字化建设65.848万元，预付19.185万元，剩余46.663万元根据项目进度支付；业务运行保障经费92.462万元，使用76.18万元，待2021年陆续使用。</w:t>
      </w:r>
    </w:p>
    <w:p>
      <w:pPr>
        <w:autoSpaceDE w:val="0"/>
        <w:autoSpaceDN w:val="0"/>
        <w:adjustRightInd w:val="0"/>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（三）项目财务管理情况。</w:t>
      </w:r>
    </w:p>
    <w:p>
      <w:pPr>
        <w:autoSpaceDE w:val="0"/>
        <w:autoSpaceDN w:val="0"/>
        <w:adjustRightInd w:val="0"/>
        <w:spacing w:line="560" w:lineRule="exact"/>
        <w:ind w:firstLine="640"/>
        <w:rPr>
          <w:rFonts w:ascii="仿宋" w:hAnsi="仿宋" w:eastAsia="仿宋"/>
          <w:kern w:val="0"/>
          <w:sz w:val="32"/>
          <w:szCs w:val="32"/>
        </w:rPr>
      </w:pPr>
      <w:r>
        <w:rPr>
          <w:rFonts w:hint="eastAsia" w:ascii="仿宋" w:hAnsi="仿宋" w:eastAsia="仿宋"/>
          <w:kern w:val="0"/>
          <w:sz w:val="32"/>
          <w:szCs w:val="32"/>
        </w:rPr>
        <w:t>该项目资金严格按照各我单位财务管理制度和《攀枝花市市级环境保护专项资金管理办法》的要求进行会计核算，财务管理制度健全，账务处理及时，会计核算合乎规范，资金使用与具体项目实施内容相符。</w:t>
      </w:r>
    </w:p>
    <w:p>
      <w:pPr>
        <w:autoSpaceDE w:val="0"/>
        <w:autoSpaceDN w:val="0"/>
        <w:adjustRightInd w:val="0"/>
        <w:spacing w:line="600" w:lineRule="exact"/>
        <w:ind w:firstLine="640" w:firstLineChars="200"/>
        <w:rPr>
          <w:rFonts w:eastAsia="黑体"/>
          <w:kern w:val="0"/>
          <w:sz w:val="32"/>
          <w:szCs w:val="32"/>
        </w:rPr>
      </w:pPr>
      <w:r>
        <w:rPr>
          <w:rFonts w:hint="eastAsia" w:eastAsia="黑体"/>
          <w:kern w:val="0"/>
          <w:sz w:val="32"/>
          <w:szCs w:val="32"/>
        </w:rPr>
        <w:t>三、项目实施及管理情况</w:t>
      </w:r>
    </w:p>
    <w:p>
      <w:pPr>
        <w:autoSpaceDE w:val="0"/>
        <w:autoSpaceDN w:val="0"/>
        <w:adjustRightInd w:val="0"/>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（一）项目组织架构及实施流程。</w:t>
      </w:r>
    </w:p>
    <w:p>
      <w:pPr>
        <w:autoSpaceDE w:val="0"/>
        <w:autoSpaceDN w:val="0"/>
        <w:adjustRightInd w:val="0"/>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环评评估项目、</w:t>
      </w:r>
      <w:r>
        <w:rPr>
          <w:rFonts w:hint="eastAsia" w:ascii="仿宋" w:hAnsi="仿宋" w:eastAsia="仿宋" w:cs="仿宋_GB2312"/>
          <w:kern w:val="0"/>
          <w:sz w:val="32"/>
          <w:szCs w:val="32"/>
        </w:rPr>
        <w:t>“攀枝花市固废危化与环境应急事务中心”办公设备采购项目、</w:t>
      </w:r>
      <w:r>
        <w:rPr>
          <w:rFonts w:hint="eastAsia" w:ascii="仿宋" w:hAnsi="仿宋" w:eastAsia="仿宋"/>
          <w:kern w:val="0"/>
          <w:sz w:val="32"/>
          <w:szCs w:val="32"/>
        </w:rPr>
        <w:t>档案数字化建设项目为政府购买服务、货物项目，由相关业务科室、直属单位提出政府采购预算，经财政审核批复后按照政府采购管理办法和流程组织实施。大气污染防治保障项目、业务运行保障项目为专项工作经费，由相关业务科室、直属单位按要求组织专项工作。</w:t>
      </w:r>
    </w:p>
    <w:p>
      <w:pPr>
        <w:autoSpaceDE w:val="0"/>
        <w:autoSpaceDN w:val="0"/>
        <w:adjustRightInd w:val="0"/>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（二）项目管理情况。</w:t>
      </w:r>
    </w:p>
    <w:p>
      <w:pPr>
        <w:autoSpaceDE w:val="0"/>
        <w:autoSpaceDN w:val="0"/>
        <w:adjustRightInd w:val="0"/>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项目由业务科室、直属单位负责具体实施，按采购项目、专项工作分别进行项目立项、申报、实施管理。</w:t>
      </w:r>
    </w:p>
    <w:p>
      <w:pPr>
        <w:autoSpaceDE w:val="0"/>
        <w:autoSpaceDN w:val="0"/>
        <w:adjustRightInd w:val="0"/>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（三）项目监管情况。</w:t>
      </w:r>
    </w:p>
    <w:p>
      <w:pPr>
        <w:autoSpaceDE w:val="0"/>
        <w:autoSpaceDN w:val="0"/>
        <w:adjustRightInd w:val="0"/>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局纪检监察组对专项资金的安排、使用中各科室履职情况，项目实施中各科室履职情况进行监督检查。</w:t>
      </w:r>
    </w:p>
    <w:p>
      <w:pPr>
        <w:autoSpaceDE w:val="0"/>
        <w:autoSpaceDN w:val="0"/>
        <w:adjustRightInd w:val="0"/>
        <w:spacing w:line="600" w:lineRule="exact"/>
        <w:ind w:firstLine="640" w:firstLineChars="200"/>
        <w:rPr>
          <w:rFonts w:eastAsia="黑体"/>
          <w:kern w:val="0"/>
          <w:sz w:val="32"/>
          <w:szCs w:val="32"/>
        </w:rPr>
      </w:pPr>
      <w:r>
        <w:rPr>
          <w:rFonts w:hint="eastAsia" w:eastAsia="黑体"/>
          <w:kern w:val="0"/>
          <w:sz w:val="32"/>
          <w:szCs w:val="32"/>
        </w:rPr>
        <w:t>四、项目绩效情况</w:t>
      </w:r>
    </w:p>
    <w:p>
      <w:pPr>
        <w:autoSpaceDE w:val="0"/>
        <w:autoSpaceDN w:val="0"/>
        <w:adjustRightInd w:val="0"/>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（一）项目完成情况。</w:t>
      </w:r>
    </w:p>
    <w:p>
      <w:pPr>
        <w:autoSpaceDE w:val="0"/>
        <w:autoSpaceDN w:val="0"/>
        <w:adjustRightInd w:val="0"/>
        <w:spacing w:line="600" w:lineRule="exact"/>
        <w:ind w:firstLine="640" w:firstLineChars="200"/>
        <w:rPr>
          <w:rFonts w:ascii="仿宋" w:hAnsi="仿宋" w:eastAsia="仿宋" w:cs="仿宋_GB2312"/>
          <w:kern w:val="0"/>
          <w:sz w:val="32"/>
          <w:szCs w:val="32"/>
        </w:rPr>
      </w:pPr>
      <w:r>
        <w:rPr>
          <w:rFonts w:ascii="仿宋" w:hAnsi="仿宋" w:eastAsia="仿宋"/>
          <w:kern w:val="0"/>
          <w:sz w:val="32"/>
          <w:szCs w:val="32"/>
        </w:rPr>
        <w:t>1.</w:t>
      </w:r>
      <w:r>
        <w:rPr>
          <w:rFonts w:hint="eastAsia" w:ascii="仿宋" w:hAnsi="仿宋" w:eastAsia="仿宋" w:cs="仿宋_GB2312"/>
          <w:kern w:val="0"/>
          <w:sz w:val="32"/>
          <w:szCs w:val="32"/>
        </w:rPr>
        <w:t>大气污染防治保障项目，完成全年交叉、联合检查，大气环境质量得到有效防控，细颗粒物29μg/Nm3，空气优良率98.6%，支付培训、会议、差旅、劳务费等159万元。</w:t>
      </w:r>
    </w:p>
    <w:p>
      <w:pPr>
        <w:autoSpaceDE w:val="0"/>
        <w:autoSpaceDN w:val="0"/>
        <w:adjustRightInd w:val="0"/>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2.环评评估项目，完成报告表56个，报告书24个，支付评估费111.2万。</w:t>
      </w:r>
    </w:p>
    <w:p>
      <w:pPr>
        <w:autoSpaceDE w:val="0"/>
        <w:autoSpaceDN w:val="0"/>
        <w:adjustRightInd w:val="0"/>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3.“攀枝花市固废危化与环境应急事务中心”办公设备采购项目，完成办公设备采购台式电脑5台、笔记本电脑3台、一体机1台、打印机1台、复印件1台、空调4台、办公桌椅7套、钢制资料架5套、文件柜7套、饮水机2台、办公沙发1套，支付12.6694万元。</w:t>
      </w:r>
    </w:p>
    <w:p>
      <w:pPr>
        <w:autoSpaceDE w:val="0"/>
        <w:autoSpaceDN w:val="0"/>
        <w:adjustRightInd w:val="0"/>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4.档案数字化建设项目，完成归档资料的收集整理，预付款项19.185万元。项目按计划进度推进，预计2021年底前完成。</w:t>
      </w:r>
    </w:p>
    <w:p>
      <w:pPr>
        <w:autoSpaceDE w:val="0"/>
        <w:autoSpaceDN w:val="0"/>
        <w:adjustRightInd w:val="0"/>
        <w:spacing w:line="600" w:lineRule="exact"/>
        <w:ind w:firstLine="640" w:firstLineChars="200"/>
        <w:rPr>
          <w:rFonts w:ascii="仿宋" w:hAnsi="仿宋" w:eastAsia="仿宋"/>
          <w:kern w:val="0"/>
          <w:sz w:val="32"/>
          <w:szCs w:val="32"/>
        </w:rPr>
      </w:pPr>
      <w:r>
        <w:rPr>
          <w:rFonts w:hint="eastAsia" w:ascii="仿宋" w:hAnsi="仿宋" w:eastAsia="仿宋" w:cs="仿宋_GB2312"/>
          <w:kern w:val="0"/>
          <w:sz w:val="32"/>
          <w:szCs w:val="32"/>
        </w:rPr>
        <w:t>5.业务运行保障项目，完成全年环境监测、环保宣传、排污口设置论证工作，声环境质量调查及达标对策研究完成前期现场调查和监测，预计2021年6月底前完成。支付76.18万元。</w:t>
      </w:r>
    </w:p>
    <w:p>
      <w:pPr>
        <w:autoSpaceDE w:val="0"/>
        <w:autoSpaceDN w:val="0"/>
        <w:adjustRightInd w:val="0"/>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（二）项目效益情况。</w:t>
      </w:r>
    </w:p>
    <w:p>
      <w:pPr>
        <w:autoSpaceDE w:val="0"/>
        <w:autoSpaceDN w:val="0"/>
        <w:adjustRightInd w:val="0"/>
        <w:spacing w:line="600" w:lineRule="exact"/>
        <w:ind w:firstLine="640" w:firstLineChars="200"/>
        <w:rPr>
          <w:rFonts w:ascii="仿宋" w:hAnsi="仿宋" w:eastAsia="仿宋" w:cs="仿宋_GB2312"/>
          <w:kern w:val="0"/>
          <w:sz w:val="32"/>
          <w:szCs w:val="32"/>
        </w:rPr>
      </w:pPr>
      <w:r>
        <w:rPr>
          <w:rFonts w:ascii="仿宋" w:hAnsi="仿宋" w:eastAsia="仿宋"/>
          <w:kern w:val="0"/>
          <w:sz w:val="32"/>
          <w:szCs w:val="32"/>
        </w:rPr>
        <w:t>1.</w:t>
      </w:r>
      <w:r>
        <w:rPr>
          <w:rFonts w:hint="eastAsia" w:ascii="仿宋" w:hAnsi="仿宋" w:eastAsia="仿宋" w:cs="仿宋_GB2312"/>
          <w:kern w:val="0"/>
          <w:sz w:val="32"/>
          <w:szCs w:val="32"/>
        </w:rPr>
        <w:t>大气污染防治保障项目的实施，促进建设项目顺利落地，提高了社会公众环保意识，提升了环保监管能力，大气环境质量得到巩固和改善，社会公众对环境质量基本满意。</w:t>
      </w:r>
    </w:p>
    <w:p>
      <w:pPr>
        <w:autoSpaceDE w:val="0"/>
        <w:autoSpaceDN w:val="0"/>
        <w:adjustRightInd w:val="0"/>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2.环评评估项目的实施，服务了全市重大项目环评审批，规范了环评审批工作的开展。通过严格按照环评及批复要求落实各项环保设施、措施，保障了生态环境质量。企业对环评审批的办理基本满意。</w:t>
      </w:r>
    </w:p>
    <w:p>
      <w:pPr>
        <w:autoSpaceDE w:val="0"/>
        <w:autoSpaceDN w:val="0"/>
        <w:adjustRightInd w:val="0"/>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3.“攀枝花市固废危化与环境应急事务中心”办公设备采购项目的实施，提升了环境监管能力，保障了中心完成相应职能职责。中心对采购设备满意度100%。</w:t>
      </w:r>
    </w:p>
    <w:p>
      <w:pPr>
        <w:autoSpaceDE w:val="0"/>
        <w:autoSpaceDN w:val="0"/>
        <w:adjustRightInd w:val="0"/>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4.档案数字化建设项目的实施，提高了档案的查阅效率，避免了反复复印资料造成的浪费，有利于档案的保存和使用安全。档案使用者对数字化建设满意度100%。</w:t>
      </w:r>
    </w:p>
    <w:p>
      <w:pPr>
        <w:autoSpaceDE w:val="0"/>
        <w:autoSpaceDN w:val="0"/>
        <w:adjustRightInd w:val="0"/>
        <w:spacing w:line="600" w:lineRule="exact"/>
        <w:ind w:firstLine="640" w:firstLineChars="200"/>
        <w:rPr>
          <w:rFonts w:ascii="仿宋" w:hAnsi="仿宋" w:eastAsia="仿宋"/>
          <w:kern w:val="0"/>
          <w:sz w:val="32"/>
          <w:szCs w:val="32"/>
        </w:rPr>
      </w:pPr>
      <w:r>
        <w:rPr>
          <w:rFonts w:hint="eastAsia" w:ascii="仿宋" w:hAnsi="仿宋" w:eastAsia="仿宋" w:cs="仿宋_GB2312"/>
          <w:kern w:val="0"/>
          <w:sz w:val="32"/>
          <w:szCs w:val="32"/>
        </w:rPr>
        <w:t>5.业务运行保障项目的实施，提升了环保监管能力，巩固和改善了环境质量，社会公众对环境质量基本满意。</w:t>
      </w:r>
    </w:p>
    <w:p>
      <w:pPr>
        <w:autoSpaceDE w:val="0"/>
        <w:autoSpaceDN w:val="0"/>
        <w:adjustRightInd w:val="0"/>
        <w:spacing w:line="600" w:lineRule="exact"/>
        <w:ind w:firstLine="640" w:firstLineChars="200"/>
        <w:rPr>
          <w:rFonts w:eastAsia="黑体"/>
          <w:kern w:val="0"/>
          <w:sz w:val="32"/>
          <w:szCs w:val="32"/>
        </w:rPr>
      </w:pPr>
      <w:r>
        <w:rPr>
          <w:rFonts w:hint="eastAsia" w:eastAsia="黑体"/>
          <w:kern w:val="0"/>
          <w:sz w:val="32"/>
          <w:szCs w:val="32"/>
        </w:rPr>
        <w:t>五、评价结论及建议</w:t>
      </w:r>
    </w:p>
    <w:p>
      <w:pPr>
        <w:autoSpaceDE w:val="0"/>
        <w:autoSpaceDN w:val="0"/>
        <w:adjustRightInd w:val="0"/>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（一）评价结论。</w:t>
      </w:r>
    </w:p>
    <w:p>
      <w:pPr>
        <w:autoSpaceDE w:val="0"/>
        <w:autoSpaceDN w:val="0"/>
        <w:adjustRightInd w:val="0"/>
        <w:spacing w:line="580" w:lineRule="exact"/>
        <w:ind w:firstLine="640" w:firstLineChars="200"/>
        <w:rPr>
          <w:rFonts w:ascii="仿宋" w:hAnsi="仿宋" w:eastAsia="仿宋"/>
          <w:kern w:val="0"/>
          <w:sz w:val="32"/>
          <w:szCs w:val="32"/>
        </w:rPr>
      </w:pPr>
      <w:r>
        <w:rPr>
          <w:rFonts w:hint="eastAsia" w:ascii="仿宋" w:hAnsi="仿宋" w:eastAsia="仿宋"/>
          <w:kern w:val="0"/>
          <w:sz w:val="32"/>
          <w:szCs w:val="32"/>
        </w:rPr>
        <w:t>所实施项目决策立项符合资金管理相关规定，采购流程手续完备，实施管理规范。我局能对环保补助资金专款专用，规范开支，杜绝资金漏洞，提高了环保资金利用效率，项目实施后达到了预期的环境和社会效益。</w:t>
      </w:r>
    </w:p>
    <w:p>
      <w:pPr>
        <w:autoSpaceDE w:val="0"/>
        <w:autoSpaceDN w:val="0"/>
        <w:adjustRightInd w:val="0"/>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（二）存在的问题。</w:t>
      </w:r>
    </w:p>
    <w:p>
      <w:pPr>
        <w:autoSpaceDE w:val="0"/>
        <w:autoSpaceDN w:val="0"/>
        <w:adjustRightInd w:val="0"/>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个别项目实施进度稍慢。</w:t>
      </w:r>
    </w:p>
    <w:p>
      <w:pPr>
        <w:autoSpaceDE w:val="0"/>
        <w:autoSpaceDN w:val="0"/>
        <w:adjustRightInd w:val="0"/>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（三）相关建议。</w:t>
      </w:r>
    </w:p>
    <w:p>
      <w:pPr>
        <w:autoSpaceDE w:val="0"/>
        <w:autoSpaceDN w:val="0"/>
        <w:adjustRightInd w:val="0"/>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加快项目实施进度，加强对实施效果好的项目的资金支出力度。</w:t>
      </w:r>
    </w:p>
    <w:p>
      <w:pPr>
        <w:spacing w:line="580" w:lineRule="exact"/>
        <w:ind w:firstLine="640"/>
        <w:rPr>
          <w:rFonts w:ascii="仿宋" w:hAnsi="仿宋" w:eastAsia="仿宋" w:cs="仿宋_GB2312"/>
          <w:sz w:val="32"/>
          <w:szCs w:val="32"/>
        </w:rPr>
      </w:pPr>
    </w:p>
    <w:p>
      <w:pPr>
        <w:widowControl/>
        <w:jc w:val="left"/>
        <w:rPr>
          <w:rStyle w:val="19"/>
          <w:rFonts w:ascii="黑体" w:hAnsi="黑体" w:eastAsia="黑体"/>
          <w:b w:val="0"/>
        </w:rPr>
      </w:pPr>
    </w:p>
    <w:p>
      <w:pPr>
        <w:widowControl/>
        <w:jc w:val="left"/>
        <w:rPr>
          <w:rStyle w:val="19"/>
          <w:rFonts w:hint="eastAsia" w:ascii="黑体" w:hAnsi="黑体" w:eastAsia="黑体"/>
          <w:b w:val="0"/>
        </w:rPr>
      </w:pPr>
    </w:p>
    <w:p>
      <w:pPr>
        <w:widowControl/>
        <w:jc w:val="left"/>
        <w:rPr>
          <w:rStyle w:val="19"/>
          <w:rFonts w:hint="eastAsia" w:ascii="黑体" w:hAnsi="黑体" w:eastAsia="黑体"/>
          <w:b w:val="0"/>
        </w:rPr>
      </w:pPr>
    </w:p>
    <w:p>
      <w:pPr>
        <w:widowControl/>
        <w:jc w:val="left"/>
        <w:rPr>
          <w:rStyle w:val="19"/>
          <w:rFonts w:hint="eastAsia" w:ascii="黑体" w:hAnsi="黑体" w:eastAsia="黑体"/>
          <w:b w:val="0"/>
        </w:rPr>
      </w:pPr>
    </w:p>
    <w:p>
      <w:pPr>
        <w:widowControl/>
        <w:jc w:val="left"/>
        <w:rPr>
          <w:rStyle w:val="19"/>
          <w:rFonts w:ascii="黑体" w:hAnsi="黑体" w:eastAsia="黑体"/>
          <w:b w:val="0"/>
        </w:rPr>
      </w:pPr>
    </w:p>
    <w:p>
      <w:pPr>
        <w:spacing w:line="600" w:lineRule="exact"/>
        <w:jc w:val="center"/>
        <w:outlineLvl w:val="0"/>
        <w:rPr>
          <w:rFonts w:ascii="黑体" w:hAnsi="黑体" w:eastAsia="黑体"/>
          <w:bCs/>
          <w:kern w:val="44"/>
          <w:sz w:val="44"/>
          <w:szCs w:val="44"/>
        </w:rPr>
      </w:pPr>
      <w:bookmarkStart w:id="63" w:name="_Toc15396618"/>
      <w:r>
        <w:rPr>
          <w:rFonts w:hint="eastAsia" w:ascii="黑体" w:hAnsi="黑体" w:eastAsia="黑体"/>
          <w:color w:val="000000"/>
          <w:sz w:val="44"/>
          <w:szCs w:val="44"/>
        </w:rPr>
        <w:t>第</w:t>
      </w:r>
      <w:r>
        <w:rPr>
          <w:rStyle w:val="19"/>
          <w:rFonts w:hint="eastAsia" w:ascii="黑体" w:hAnsi="黑体" w:eastAsia="黑体"/>
          <w:b w:val="0"/>
        </w:rPr>
        <w:t>五部分</w:t>
      </w:r>
      <w:r>
        <w:rPr>
          <w:rStyle w:val="19"/>
          <w:rFonts w:ascii="黑体" w:hAnsi="黑体" w:eastAsia="黑体"/>
          <w:b w:val="0"/>
        </w:rPr>
        <w:t xml:space="preserve"> </w:t>
      </w:r>
      <w:r>
        <w:rPr>
          <w:rStyle w:val="19"/>
          <w:rFonts w:hint="eastAsia" w:ascii="黑体" w:hAnsi="黑体" w:eastAsia="黑体"/>
          <w:b w:val="0"/>
        </w:rPr>
        <w:t>附表</w:t>
      </w:r>
      <w:bookmarkEnd w:id="61"/>
      <w:bookmarkEnd w:id="63"/>
    </w:p>
    <w:p>
      <w:pPr>
        <w:pStyle w:val="3"/>
        <w:spacing w:line="480" w:lineRule="exact"/>
        <w:rPr>
          <w:rFonts w:ascii="仿宋" w:hAnsi="仿宋" w:eastAsia="仿宋"/>
          <w:color w:val="000000"/>
        </w:rPr>
      </w:pPr>
      <w:bookmarkStart w:id="64" w:name="_Toc15396619"/>
      <w:r>
        <w:rPr>
          <w:rFonts w:hint="eastAsia" w:ascii="仿宋" w:hAnsi="仿宋" w:eastAsia="仿宋"/>
          <w:b w:val="0"/>
          <w:color w:val="000000"/>
        </w:rPr>
        <w:t>一、收</w:t>
      </w:r>
      <w:r>
        <w:rPr>
          <w:rStyle w:val="20"/>
          <w:rFonts w:hint="eastAsia" w:ascii="仿宋" w:hAnsi="仿宋" w:eastAsia="仿宋"/>
          <w:b w:val="0"/>
          <w:bCs w:val="0"/>
        </w:rPr>
        <w:t>入支出决算总表</w:t>
      </w:r>
      <w:bookmarkEnd w:id="64"/>
    </w:p>
    <w:p>
      <w:pPr>
        <w:pStyle w:val="3"/>
        <w:spacing w:line="480" w:lineRule="exact"/>
        <w:rPr>
          <w:rFonts w:ascii="仿宋" w:hAnsi="仿宋" w:eastAsia="仿宋"/>
          <w:color w:val="000000"/>
        </w:rPr>
      </w:pPr>
      <w:bookmarkStart w:id="65" w:name="_Toc15396620"/>
      <w:r>
        <w:rPr>
          <w:rFonts w:hint="eastAsia" w:ascii="仿宋" w:hAnsi="仿宋" w:eastAsia="仿宋"/>
          <w:b w:val="0"/>
          <w:color w:val="000000"/>
        </w:rPr>
        <w:t>二、收</w:t>
      </w:r>
      <w:r>
        <w:rPr>
          <w:rStyle w:val="20"/>
          <w:rFonts w:hint="eastAsia" w:ascii="仿宋" w:hAnsi="仿宋" w:eastAsia="仿宋"/>
          <w:b w:val="0"/>
          <w:bCs w:val="0"/>
        </w:rPr>
        <w:t>入决算表</w:t>
      </w:r>
      <w:bookmarkEnd w:id="65"/>
    </w:p>
    <w:p>
      <w:pPr>
        <w:pStyle w:val="3"/>
        <w:spacing w:line="480" w:lineRule="exact"/>
        <w:rPr>
          <w:rFonts w:ascii="仿宋" w:hAnsi="仿宋" w:eastAsia="仿宋"/>
          <w:color w:val="000000"/>
        </w:rPr>
      </w:pPr>
      <w:bookmarkStart w:id="66" w:name="_Toc15396621"/>
      <w:r>
        <w:rPr>
          <w:rStyle w:val="20"/>
          <w:rFonts w:hint="eastAsia" w:ascii="仿宋" w:hAnsi="仿宋" w:eastAsia="仿宋"/>
          <w:b w:val="0"/>
          <w:bCs w:val="0"/>
        </w:rPr>
        <w:t>三、</w:t>
      </w:r>
      <w:r>
        <w:rPr>
          <w:rFonts w:hint="eastAsia" w:ascii="仿宋" w:hAnsi="仿宋" w:eastAsia="仿宋"/>
          <w:b w:val="0"/>
          <w:color w:val="000000"/>
        </w:rPr>
        <w:t>支</w:t>
      </w:r>
      <w:r>
        <w:rPr>
          <w:rStyle w:val="20"/>
          <w:rFonts w:hint="eastAsia" w:ascii="仿宋" w:hAnsi="仿宋" w:eastAsia="仿宋"/>
          <w:b w:val="0"/>
          <w:bCs w:val="0"/>
        </w:rPr>
        <w:t>出决算表</w:t>
      </w:r>
      <w:bookmarkEnd w:id="66"/>
    </w:p>
    <w:p>
      <w:pPr>
        <w:pStyle w:val="3"/>
        <w:spacing w:line="480" w:lineRule="exact"/>
        <w:rPr>
          <w:rFonts w:ascii="仿宋" w:hAnsi="仿宋" w:eastAsia="仿宋"/>
          <w:b w:val="0"/>
          <w:color w:val="000000"/>
        </w:rPr>
      </w:pPr>
      <w:bookmarkStart w:id="67" w:name="_Toc15396622"/>
      <w:r>
        <w:rPr>
          <w:rStyle w:val="20"/>
          <w:rFonts w:hint="eastAsia" w:ascii="仿宋" w:hAnsi="仿宋" w:eastAsia="仿宋"/>
          <w:b w:val="0"/>
          <w:bCs w:val="0"/>
        </w:rPr>
        <w:t>四、</w:t>
      </w:r>
      <w:r>
        <w:rPr>
          <w:rFonts w:hint="eastAsia" w:ascii="仿宋" w:hAnsi="仿宋" w:eastAsia="仿宋"/>
          <w:b w:val="0"/>
          <w:color w:val="000000"/>
        </w:rPr>
        <w:t>财</w:t>
      </w:r>
      <w:r>
        <w:rPr>
          <w:rStyle w:val="20"/>
          <w:rFonts w:hint="eastAsia" w:ascii="仿宋" w:hAnsi="仿宋" w:eastAsia="仿宋"/>
          <w:b w:val="0"/>
          <w:bCs w:val="0"/>
        </w:rPr>
        <w:t>政拨款收入支出决算总表</w:t>
      </w:r>
      <w:bookmarkEnd w:id="67"/>
    </w:p>
    <w:p>
      <w:pPr>
        <w:pStyle w:val="3"/>
        <w:spacing w:line="480" w:lineRule="exact"/>
        <w:rPr>
          <w:rStyle w:val="20"/>
          <w:rFonts w:ascii="仿宋" w:hAnsi="仿宋" w:eastAsia="仿宋"/>
          <w:b w:val="0"/>
          <w:bCs w:val="0"/>
        </w:rPr>
      </w:pPr>
      <w:bookmarkStart w:id="68" w:name="_Toc15396623"/>
      <w:r>
        <w:rPr>
          <w:rStyle w:val="20"/>
          <w:rFonts w:hint="eastAsia" w:ascii="仿宋" w:hAnsi="仿宋" w:eastAsia="仿宋"/>
          <w:b w:val="0"/>
          <w:bCs w:val="0"/>
        </w:rPr>
        <w:t>五、</w:t>
      </w:r>
      <w:r>
        <w:rPr>
          <w:rFonts w:hint="eastAsia" w:ascii="仿宋" w:hAnsi="仿宋" w:eastAsia="仿宋"/>
          <w:b w:val="0"/>
          <w:color w:val="000000"/>
        </w:rPr>
        <w:t>财</w:t>
      </w:r>
      <w:r>
        <w:rPr>
          <w:rStyle w:val="20"/>
          <w:rFonts w:hint="eastAsia" w:ascii="仿宋" w:hAnsi="仿宋" w:eastAsia="仿宋"/>
          <w:b w:val="0"/>
          <w:bCs w:val="0"/>
        </w:rPr>
        <w:t>政拨款支出决算明细表</w:t>
      </w:r>
      <w:bookmarkEnd w:id="68"/>
      <w:bookmarkStart w:id="69" w:name="_Toc15396624"/>
    </w:p>
    <w:p>
      <w:pPr>
        <w:pStyle w:val="3"/>
        <w:spacing w:line="480" w:lineRule="exact"/>
        <w:rPr>
          <w:rFonts w:ascii="仿宋" w:hAnsi="仿宋" w:eastAsia="仿宋"/>
          <w:color w:val="000000"/>
        </w:rPr>
      </w:pPr>
      <w:r>
        <w:rPr>
          <w:rStyle w:val="20"/>
          <w:rFonts w:hint="eastAsia" w:ascii="仿宋" w:hAnsi="仿宋" w:eastAsia="仿宋"/>
          <w:b w:val="0"/>
          <w:bCs w:val="0"/>
        </w:rPr>
        <w:t>六、</w:t>
      </w:r>
      <w:r>
        <w:rPr>
          <w:rFonts w:hint="eastAsia" w:ascii="仿宋" w:hAnsi="仿宋" w:eastAsia="仿宋"/>
          <w:b w:val="0"/>
          <w:color w:val="000000"/>
        </w:rPr>
        <w:t>一</w:t>
      </w:r>
      <w:r>
        <w:rPr>
          <w:rStyle w:val="20"/>
          <w:rFonts w:hint="eastAsia" w:ascii="仿宋" w:hAnsi="仿宋" w:eastAsia="仿宋"/>
          <w:b w:val="0"/>
          <w:bCs w:val="0"/>
        </w:rPr>
        <w:t>般公共预算财政拨款支出决算表</w:t>
      </w:r>
      <w:bookmarkEnd w:id="69"/>
    </w:p>
    <w:p>
      <w:pPr>
        <w:pStyle w:val="3"/>
        <w:spacing w:line="480" w:lineRule="exact"/>
        <w:rPr>
          <w:rFonts w:ascii="仿宋" w:hAnsi="仿宋" w:eastAsia="仿宋"/>
          <w:color w:val="000000"/>
        </w:rPr>
      </w:pPr>
      <w:bookmarkStart w:id="70" w:name="_Toc15396625"/>
      <w:r>
        <w:rPr>
          <w:rStyle w:val="20"/>
          <w:rFonts w:hint="eastAsia" w:ascii="仿宋" w:hAnsi="仿宋" w:eastAsia="仿宋"/>
          <w:b w:val="0"/>
          <w:bCs w:val="0"/>
        </w:rPr>
        <w:t>七、</w:t>
      </w:r>
      <w:r>
        <w:rPr>
          <w:rFonts w:hint="eastAsia" w:ascii="仿宋" w:hAnsi="仿宋" w:eastAsia="仿宋"/>
          <w:b w:val="0"/>
          <w:color w:val="000000"/>
        </w:rPr>
        <w:t>一</w:t>
      </w:r>
      <w:r>
        <w:rPr>
          <w:rStyle w:val="20"/>
          <w:rFonts w:hint="eastAsia" w:ascii="仿宋" w:hAnsi="仿宋" w:eastAsia="仿宋"/>
          <w:b w:val="0"/>
          <w:bCs w:val="0"/>
        </w:rPr>
        <w:t>般公共预算财政拨款支出决算明细表</w:t>
      </w:r>
      <w:bookmarkEnd w:id="70"/>
    </w:p>
    <w:p>
      <w:pPr>
        <w:pStyle w:val="3"/>
        <w:spacing w:line="480" w:lineRule="exact"/>
        <w:rPr>
          <w:rFonts w:ascii="仿宋" w:hAnsi="仿宋" w:eastAsia="仿宋"/>
          <w:color w:val="000000"/>
        </w:rPr>
      </w:pPr>
      <w:bookmarkStart w:id="71" w:name="_Toc15396626"/>
      <w:r>
        <w:rPr>
          <w:rStyle w:val="20"/>
          <w:rFonts w:hint="eastAsia" w:ascii="仿宋" w:hAnsi="仿宋" w:eastAsia="仿宋"/>
          <w:b w:val="0"/>
          <w:bCs w:val="0"/>
        </w:rPr>
        <w:t>八、</w:t>
      </w:r>
      <w:r>
        <w:rPr>
          <w:rFonts w:hint="eastAsia" w:ascii="仿宋" w:hAnsi="仿宋" w:eastAsia="仿宋"/>
          <w:b w:val="0"/>
          <w:color w:val="000000"/>
        </w:rPr>
        <w:t>一</w:t>
      </w:r>
      <w:r>
        <w:rPr>
          <w:rStyle w:val="20"/>
          <w:rFonts w:hint="eastAsia" w:ascii="仿宋" w:hAnsi="仿宋" w:eastAsia="仿宋"/>
          <w:b w:val="0"/>
          <w:bCs w:val="0"/>
        </w:rPr>
        <w:t>般公共预算财政拨款基本支出决算表</w:t>
      </w:r>
      <w:bookmarkEnd w:id="71"/>
    </w:p>
    <w:p>
      <w:pPr>
        <w:pStyle w:val="3"/>
        <w:spacing w:line="480" w:lineRule="exact"/>
        <w:rPr>
          <w:rFonts w:ascii="仿宋" w:hAnsi="仿宋" w:eastAsia="仿宋"/>
          <w:color w:val="000000"/>
        </w:rPr>
      </w:pPr>
      <w:bookmarkStart w:id="72" w:name="_Toc15396627"/>
      <w:r>
        <w:rPr>
          <w:rStyle w:val="20"/>
          <w:rFonts w:hint="eastAsia" w:ascii="仿宋" w:hAnsi="仿宋" w:eastAsia="仿宋"/>
          <w:b w:val="0"/>
          <w:bCs w:val="0"/>
        </w:rPr>
        <w:t>九、</w:t>
      </w:r>
      <w:r>
        <w:rPr>
          <w:rFonts w:hint="eastAsia" w:ascii="仿宋" w:hAnsi="仿宋" w:eastAsia="仿宋"/>
          <w:b w:val="0"/>
          <w:color w:val="000000"/>
        </w:rPr>
        <w:t>一</w:t>
      </w:r>
      <w:r>
        <w:rPr>
          <w:rStyle w:val="20"/>
          <w:rFonts w:hint="eastAsia" w:ascii="仿宋" w:hAnsi="仿宋" w:eastAsia="仿宋"/>
          <w:b w:val="0"/>
          <w:bCs w:val="0"/>
        </w:rPr>
        <w:t>般公共预算财政拨款项目支出决算表</w:t>
      </w:r>
      <w:bookmarkEnd w:id="72"/>
    </w:p>
    <w:p>
      <w:pPr>
        <w:pStyle w:val="3"/>
        <w:spacing w:line="480" w:lineRule="exact"/>
        <w:rPr>
          <w:rFonts w:ascii="仿宋" w:hAnsi="仿宋" w:eastAsia="仿宋"/>
          <w:color w:val="000000"/>
        </w:rPr>
      </w:pPr>
      <w:bookmarkStart w:id="73" w:name="_Toc15396628"/>
      <w:r>
        <w:rPr>
          <w:rStyle w:val="20"/>
          <w:rFonts w:hint="eastAsia" w:ascii="仿宋" w:hAnsi="仿宋" w:eastAsia="仿宋"/>
          <w:b w:val="0"/>
          <w:bCs w:val="0"/>
        </w:rPr>
        <w:t>十、</w:t>
      </w:r>
      <w:r>
        <w:rPr>
          <w:rFonts w:hint="eastAsia" w:ascii="仿宋" w:hAnsi="仿宋" w:eastAsia="仿宋"/>
          <w:b w:val="0"/>
          <w:color w:val="000000"/>
        </w:rPr>
        <w:t>一</w:t>
      </w:r>
      <w:r>
        <w:rPr>
          <w:rStyle w:val="20"/>
          <w:rFonts w:hint="eastAsia" w:ascii="仿宋" w:hAnsi="仿宋" w:eastAsia="仿宋"/>
          <w:b w:val="0"/>
          <w:bCs w:val="0"/>
        </w:rPr>
        <w:t>般公共预算财政拨款“三公”经费支出决算表</w:t>
      </w:r>
      <w:bookmarkEnd w:id="73"/>
    </w:p>
    <w:p>
      <w:pPr>
        <w:pStyle w:val="3"/>
        <w:spacing w:line="480" w:lineRule="exact"/>
        <w:rPr>
          <w:rFonts w:ascii="仿宋" w:hAnsi="仿宋" w:eastAsia="仿宋"/>
          <w:color w:val="000000"/>
        </w:rPr>
      </w:pPr>
      <w:bookmarkStart w:id="74" w:name="_Toc15396629"/>
      <w:r>
        <w:rPr>
          <w:rStyle w:val="20"/>
          <w:rFonts w:hint="eastAsia" w:ascii="仿宋" w:hAnsi="仿宋" w:eastAsia="仿宋"/>
          <w:b w:val="0"/>
          <w:bCs w:val="0"/>
        </w:rPr>
        <w:t>十一、</w:t>
      </w:r>
      <w:r>
        <w:rPr>
          <w:rFonts w:hint="eastAsia" w:ascii="仿宋" w:hAnsi="仿宋" w:eastAsia="仿宋"/>
          <w:b w:val="0"/>
          <w:color w:val="000000"/>
        </w:rPr>
        <w:t>政</w:t>
      </w:r>
      <w:r>
        <w:rPr>
          <w:rStyle w:val="20"/>
          <w:rFonts w:hint="eastAsia" w:ascii="仿宋" w:hAnsi="仿宋" w:eastAsia="仿宋"/>
          <w:b w:val="0"/>
          <w:bCs w:val="0"/>
        </w:rPr>
        <w:t>府性基金预算财政拨款收入支出决算表</w:t>
      </w:r>
      <w:bookmarkEnd w:id="74"/>
    </w:p>
    <w:p>
      <w:pPr>
        <w:pStyle w:val="3"/>
        <w:spacing w:line="480" w:lineRule="exact"/>
        <w:rPr>
          <w:rFonts w:ascii="仿宋" w:hAnsi="仿宋" w:eastAsia="仿宋"/>
          <w:color w:val="000000"/>
        </w:rPr>
      </w:pPr>
      <w:bookmarkStart w:id="75" w:name="_Toc15396630"/>
      <w:r>
        <w:rPr>
          <w:rStyle w:val="20"/>
          <w:rFonts w:hint="eastAsia" w:ascii="仿宋" w:hAnsi="仿宋" w:eastAsia="仿宋"/>
          <w:b w:val="0"/>
          <w:bCs w:val="0"/>
        </w:rPr>
        <w:t>十二、</w:t>
      </w:r>
      <w:r>
        <w:rPr>
          <w:rFonts w:hint="eastAsia" w:ascii="仿宋" w:hAnsi="仿宋" w:eastAsia="仿宋"/>
          <w:b w:val="0"/>
          <w:color w:val="000000"/>
        </w:rPr>
        <w:t>政</w:t>
      </w:r>
      <w:r>
        <w:rPr>
          <w:rStyle w:val="20"/>
          <w:rFonts w:hint="eastAsia" w:ascii="仿宋" w:hAnsi="仿宋" w:eastAsia="仿宋"/>
          <w:b w:val="0"/>
          <w:bCs w:val="0"/>
        </w:rPr>
        <w:t>府性基金预算财政拨款“三公”经费支出决算表</w:t>
      </w:r>
      <w:bookmarkEnd w:id="75"/>
    </w:p>
    <w:p>
      <w:pPr>
        <w:pStyle w:val="3"/>
        <w:spacing w:line="480" w:lineRule="exact"/>
        <w:rPr>
          <w:rStyle w:val="20"/>
          <w:rFonts w:hint="eastAsia" w:ascii="仿宋" w:hAnsi="仿宋" w:eastAsia="仿宋"/>
          <w:b w:val="0"/>
          <w:bCs w:val="0"/>
          <w:lang w:eastAsia="zh-CN"/>
        </w:rPr>
      </w:pPr>
      <w:bookmarkStart w:id="76" w:name="_Toc15396631"/>
      <w:r>
        <w:rPr>
          <w:rStyle w:val="20"/>
          <w:rFonts w:hint="eastAsia" w:ascii="仿宋" w:hAnsi="仿宋" w:eastAsia="仿宋"/>
          <w:b w:val="0"/>
          <w:bCs w:val="0"/>
        </w:rPr>
        <w:t>十三、</w:t>
      </w:r>
      <w:r>
        <w:rPr>
          <w:rFonts w:hint="eastAsia" w:ascii="仿宋" w:hAnsi="仿宋" w:eastAsia="仿宋"/>
          <w:b w:val="0"/>
          <w:color w:val="000000"/>
        </w:rPr>
        <w:t>国</w:t>
      </w:r>
      <w:r>
        <w:rPr>
          <w:rStyle w:val="20"/>
          <w:rFonts w:hint="eastAsia" w:ascii="仿宋" w:hAnsi="仿宋" w:eastAsia="仿宋"/>
          <w:b w:val="0"/>
          <w:bCs w:val="0"/>
        </w:rPr>
        <w:t>有资本经营预算财政拨款</w:t>
      </w:r>
      <w:r>
        <w:rPr>
          <w:rStyle w:val="20"/>
          <w:rFonts w:hint="eastAsia" w:ascii="仿宋" w:hAnsi="仿宋" w:eastAsia="仿宋"/>
          <w:b w:val="0"/>
          <w:bCs w:val="0"/>
          <w:lang w:eastAsia="zh-CN"/>
        </w:rPr>
        <w:t>收入</w:t>
      </w:r>
      <w:r>
        <w:rPr>
          <w:rStyle w:val="20"/>
          <w:rFonts w:hint="eastAsia" w:ascii="仿宋" w:hAnsi="仿宋" w:eastAsia="仿宋"/>
          <w:b w:val="0"/>
          <w:bCs w:val="0"/>
        </w:rPr>
        <w:t>支出决算表</w:t>
      </w:r>
      <w:bookmarkEnd w:id="76"/>
      <w:r>
        <w:rPr>
          <w:rStyle w:val="20"/>
          <w:rFonts w:hint="eastAsia" w:ascii="仿宋" w:hAnsi="仿宋" w:eastAsia="仿宋"/>
          <w:b w:val="0"/>
          <w:bCs w:val="0"/>
          <w:lang w:eastAsia="zh-CN"/>
        </w:rPr>
        <w:t>（此表无数据）</w:t>
      </w:r>
    </w:p>
    <w:p>
      <w:pPr>
        <w:pStyle w:val="3"/>
        <w:spacing w:line="480" w:lineRule="exact"/>
        <w:rPr>
          <w:rStyle w:val="20"/>
          <w:rFonts w:hint="eastAsia" w:ascii="仿宋" w:hAnsi="仿宋" w:eastAsia="仿宋"/>
          <w:b w:val="0"/>
          <w:bCs w:val="0"/>
          <w:lang w:eastAsia="zh-CN"/>
        </w:rPr>
      </w:pPr>
      <w:r>
        <w:rPr>
          <w:rStyle w:val="20"/>
          <w:rFonts w:hint="eastAsia" w:ascii="仿宋" w:hAnsi="仿宋" w:eastAsia="仿宋"/>
          <w:b w:val="0"/>
          <w:bCs w:val="0"/>
        </w:rPr>
        <w:t>十四、</w:t>
      </w:r>
      <w:r>
        <w:rPr>
          <w:rFonts w:hint="eastAsia" w:ascii="仿宋" w:hAnsi="仿宋" w:eastAsia="仿宋"/>
          <w:b w:val="0"/>
          <w:color w:val="000000"/>
        </w:rPr>
        <w:t>国</w:t>
      </w:r>
      <w:r>
        <w:rPr>
          <w:rStyle w:val="20"/>
          <w:rFonts w:hint="eastAsia" w:ascii="仿宋" w:hAnsi="仿宋" w:eastAsia="仿宋"/>
          <w:b w:val="0"/>
          <w:bCs w:val="0"/>
        </w:rPr>
        <w:t>有资本经营预算财政拨款支出决算表</w:t>
      </w:r>
      <w:r>
        <w:rPr>
          <w:rStyle w:val="20"/>
          <w:rFonts w:hint="eastAsia" w:ascii="仿宋" w:hAnsi="仿宋" w:eastAsia="仿宋"/>
          <w:b w:val="0"/>
          <w:bCs w:val="0"/>
          <w:lang w:eastAsia="zh-CN"/>
        </w:rPr>
        <w:t>（此表无数据）</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ourier New">
    <w:altName w:val="DejaVu Sans"/>
    <w:panose1 w:val="02070309020205020404"/>
    <w:charset w:val="00"/>
    <w:family w:val="modern"/>
    <w:pitch w:val="default"/>
    <w:sig w:usb0="00000000" w:usb1="00000000" w:usb2="00000009" w:usb3="00000000" w:csb0="000001F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54</w:t>
    </w:r>
    <w: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E48B8C24"/>
    <w:multiLevelType w:val="singleLevel"/>
    <w:tmpl w:val="E48B8C24"/>
    <w:lvl w:ilvl="0" w:tentative="0">
      <w:start w:val="1"/>
      <w:numFmt w:val="decimal"/>
      <w:suff w:val="nothing"/>
      <w:lvlText w:val="%1．"/>
      <w:lvlJc w:val="left"/>
    </w:lvl>
  </w:abstractNum>
  <w:abstractNum w:abstractNumId="3">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4">
    <w:nsid w:val="62621CDC"/>
    <w:multiLevelType w:val="multilevel"/>
    <w:tmpl w:val="62621CDC"/>
    <w:lvl w:ilvl="0" w:tentative="0">
      <w:start w:val="1"/>
      <w:numFmt w:val="decimal"/>
      <w:lvlText w:val="%1."/>
      <w:lvlJc w:val="left"/>
      <w:pPr>
        <w:ind w:left="1152" w:hanging="480"/>
      </w:pPr>
      <w:rPr>
        <w:rFonts w:hint="default" w:cs="Times New Roman"/>
      </w:rPr>
    </w:lvl>
    <w:lvl w:ilvl="1" w:tentative="0">
      <w:start w:val="1"/>
      <w:numFmt w:val="lowerLetter"/>
      <w:lvlText w:val="%2)"/>
      <w:lvlJc w:val="left"/>
      <w:pPr>
        <w:ind w:left="1512" w:hanging="420"/>
      </w:pPr>
      <w:rPr>
        <w:rFonts w:cs="Times New Roman"/>
      </w:rPr>
    </w:lvl>
    <w:lvl w:ilvl="2" w:tentative="0">
      <w:start w:val="1"/>
      <w:numFmt w:val="lowerRoman"/>
      <w:lvlText w:val="%3."/>
      <w:lvlJc w:val="right"/>
      <w:pPr>
        <w:ind w:left="1932" w:hanging="420"/>
      </w:pPr>
      <w:rPr>
        <w:rFonts w:cs="Times New Roman"/>
      </w:rPr>
    </w:lvl>
    <w:lvl w:ilvl="3" w:tentative="0">
      <w:start w:val="1"/>
      <w:numFmt w:val="decimal"/>
      <w:lvlText w:val="%4."/>
      <w:lvlJc w:val="left"/>
      <w:pPr>
        <w:ind w:left="2352" w:hanging="420"/>
      </w:pPr>
      <w:rPr>
        <w:rFonts w:cs="Times New Roman"/>
      </w:rPr>
    </w:lvl>
    <w:lvl w:ilvl="4" w:tentative="0">
      <w:start w:val="1"/>
      <w:numFmt w:val="lowerLetter"/>
      <w:lvlText w:val="%5)"/>
      <w:lvlJc w:val="left"/>
      <w:pPr>
        <w:ind w:left="2772" w:hanging="420"/>
      </w:pPr>
      <w:rPr>
        <w:rFonts w:cs="Times New Roman"/>
      </w:rPr>
    </w:lvl>
    <w:lvl w:ilvl="5" w:tentative="0">
      <w:start w:val="1"/>
      <w:numFmt w:val="lowerRoman"/>
      <w:lvlText w:val="%6."/>
      <w:lvlJc w:val="right"/>
      <w:pPr>
        <w:ind w:left="3192" w:hanging="420"/>
      </w:pPr>
      <w:rPr>
        <w:rFonts w:cs="Times New Roman"/>
      </w:rPr>
    </w:lvl>
    <w:lvl w:ilvl="6" w:tentative="0">
      <w:start w:val="1"/>
      <w:numFmt w:val="decimal"/>
      <w:lvlText w:val="%7."/>
      <w:lvlJc w:val="left"/>
      <w:pPr>
        <w:ind w:left="3612" w:hanging="420"/>
      </w:pPr>
      <w:rPr>
        <w:rFonts w:cs="Times New Roman"/>
      </w:rPr>
    </w:lvl>
    <w:lvl w:ilvl="7" w:tentative="0">
      <w:start w:val="1"/>
      <w:numFmt w:val="lowerLetter"/>
      <w:lvlText w:val="%8)"/>
      <w:lvlJc w:val="left"/>
      <w:pPr>
        <w:ind w:left="4032" w:hanging="420"/>
      </w:pPr>
      <w:rPr>
        <w:rFonts w:cs="Times New Roman"/>
      </w:rPr>
    </w:lvl>
    <w:lvl w:ilvl="8" w:tentative="0">
      <w:start w:val="1"/>
      <w:numFmt w:val="lowerRoman"/>
      <w:lvlText w:val="%9."/>
      <w:lvlJc w:val="right"/>
      <w:pPr>
        <w:ind w:left="4452" w:hanging="420"/>
      </w:pPr>
      <w:rPr>
        <w:rFonts w:cs="Times New Roman"/>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1C"/>
    <w:rsid w:val="00003740"/>
    <w:rsid w:val="00017614"/>
    <w:rsid w:val="000222C6"/>
    <w:rsid w:val="0002549F"/>
    <w:rsid w:val="00025DAA"/>
    <w:rsid w:val="0002650A"/>
    <w:rsid w:val="00035A1C"/>
    <w:rsid w:val="00036978"/>
    <w:rsid w:val="00043AD5"/>
    <w:rsid w:val="000468DB"/>
    <w:rsid w:val="00060124"/>
    <w:rsid w:val="000606C1"/>
    <w:rsid w:val="000643CF"/>
    <w:rsid w:val="0006487A"/>
    <w:rsid w:val="00065F8F"/>
    <w:rsid w:val="00070A43"/>
    <w:rsid w:val="000768F2"/>
    <w:rsid w:val="00077D0A"/>
    <w:rsid w:val="0008567C"/>
    <w:rsid w:val="0009184B"/>
    <w:rsid w:val="00094236"/>
    <w:rsid w:val="0009593C"/>
    <w:rsid w:val="00097322"/>
    <w:rsid w:val="000A0E97"/>
    <w:rsid w:val="000A6A92"/>
    <w:rsid w:val="000B047F"/>
    <w:rsid w:val="000B1564"/>
    <w:rsid w:val="000B5923"/>
    <w:rsid w:val="000B5A48"/>
    <w:rsid w:val="000B6FF3"/>
    <w:rsid w:val="000C09A9"/>
    <w:rsid w:val="000C19FB"/>
    <w:rsid w:val="000C3467"/>
    <w:rsid w:val="000C3CA6"/>
    <w:rsid w:val="000C7D51"/>
    <w:rsid w:val="000D1267"/>
    <w:rsid w:val="000D1D50"/>
    <w:rsid w:val="000D396E"/>
    <w:rsid w:val="000D3B5E"/>
    <w:rsid w:val="000D5782"/>
    <w:rsid w:val="000D6E0B"/>
    <w:rsid w:val="000E1A26"/>
    <w:rsid w:val="000E4CB3"/>
    <w:rsid w:val="000E6613"/>
    <w:rsid w:val="000E68DB"/>
    <w:rsid w:val="000E6A00"/>
    <w:rsid w:val="000E7119"/>
    <w:rsid w:val="000F7626"/>
    <w:rsid w:val="00106865"/>
    <w:rsid w:val="00113E38"/>
    <w:rsid w:val="00114031"/>
    <w:rsid w:val="00114E9B"/>
    <w:rsid w:val="00115301"/>
    <w:rsid w:val="00115B62"/>
    <w:rsid w:val="001176C0"/>
    <w:rsid w:val="0012099C"/>
    <w:rsid w:val="0012304E"/>
    <w:rsid w:val="00124C8D"/>
    <w:rsid w:val="001278DD"/>
    <w:rsid w:val="001319E1"/>
    <w:rsid w:val="00131A8B"/>
    <w:rsid w:val="00142216"/>
    <w:rsid w:val="00144D6A"/>
    <w:rsid w:val="0014729F"/>
    <w:rsid w:val="00153C9E"/>
    <w:rsid w:val="00157240"/>
    <w:rsid w:val="00157BAB"/>
    <w:rsid w:val="001654D1"/>
    <w:rsid w:val="0016562B"/>
    <w:rsid w:val="00174518"/>
    <w:rsid w:val="0018106D"/>
    <w:rsid w:val="00184AFF"/>
    <w:rsid w:val="00186DF7"/>
    <w:rsid w:val="001877A7"/>
    <w:rsid w:val="00191536"/>
    <w:rsid w:val="00196687"/>
    <w:rsid w:val="001A425C"/>
    <w:rsid w:val="001A59F3"/>
    <w:rsid w:val="001A62DD"/>
    <w:rsid w:val="001B791F"/>
    <w:rsid w:val="001C0962"/>
    <w:rsid w:val="001C397D"/>
    <w:rsid w:val="001D7531"/>
    <w:rsid w:val="001E0C14"/>
    <w:rsid w:val="001E2932"/>
    <w:rsid w:val="001E294F"/>
    <w:rsid w:val="001E4E5A"/>
    <w:rsid w:val="001E6BC8"/>
    <w:rsid w:val="001E737D"/>
    <w:rsid w:val="001F0592"/>
    <w:rsid w:val="001F5C31"/>
    <w:rsid w:val="001F7506"/>
    <w:rsid w:val="001F77D5"/>
    <w:rsid w:val="002006CD"/>
    <w:rsid w:val="00202B36"/>
    <w:rsid w:val="00204B7A"/>
    <w:rsid w:val="00204CDE"/>
    <w:rsid w:val="00205236"/>
    <w:rsid w:val="00206258"/>
    <w:rsid w:val="00207327"/>
    <w:rsid w:val="0021101A"/>
    <w:rsid w:val="00220536"/>
    <w:rsid w:val="00220AA3"/>
    <w:rsid w:val="00222767"/>
    <w:rsid w:val="00225247"/>
    <w:rsid w:val="00226B80"/>
    <w:rsid w:val="00232D20"/>
    <w:rsid w:val="00235629"/>
    <w:rsid w:val="00243FFA"/>
    <w:rsid w:val="00246AF4"/>
    <w:rsid w:val="002478F0"/>
    <w:rsid w:val="00256262"/>
    <w:rsid w:val="00260C38"/>
    <w:rsid w:val="002616C0"/>
    <w:rsid w:val="00261CEE"/>
    <w:rsid w:val="002628EE"/>
    <w:rsid w:val="00265372"/>
    <w:rsid w:val="002662AA"/>
    <w:rsid w:val="00280496"/>
    <w:rsid w:val="002868E9"/>
    <w:rsid w:val="00287F37"/>
    <w:rsid w:val="00294CA0"/>
    <w:rsid w:val="00294DC9"/>
    <w:rsid w:val="00295495"/>
    <w:rsid w:val="00296E6F"/>
    <w:rsid w:val="002A31DE"/>
    <w:rsid w:val="002A37CC"/>
    <w:rsid w:val="002B2613"/>
    <w:rsid w:val="002B38CD"/>
    <w:rsid w:val="002C537B"/>
    <w:rsid w:val="002C586E"/>
    <w:rsid w:val="002C683C"/>
    <w:rsid w:val="002D088F"/>
    <w:rsid w:val="002D6D05"/>
    <w:rsid w:val="002E5EF7"/>
    <w:rsid w:val="002E69D0"/>
    <w:rsid w:val="002F0FEA"/>
    <w:rsid w:val="002F1818"/>
    <w:rsid w:val="002F3CA2"/>
    <w:rsid w:val="002F567B"/>
    <w:rsid w:val="00300CC8"/>
    <w:rsid w:val="003127CB"/>
    <w:rsid w:val="003216A9"/>
    <w:rsid w:val="00325559"/>
    <w:rsid w:val="00325695"/>
    <w:rsid w:val="003320F4"/>
    <w:rsid w:val="00335A74"/>
    <w:rsid w:val="0034419C"/>
    <w:rsid w:val="00350431"/>
    <w:rsid w:val="0036561B"/>
    <w:rsid w:val="0037013F"/>
    <w:rsid w:val="00374063"/>
    <w:rsid w:val="0037481A"/>
    <w:rsid w:val="00380C92"/>
    <w:rsid w:val="003821D9"/>
    <w:rsid w:val="00382310"/>
    <w:rsid w:val="00384BFF"/>
    <w:rsid w:val="003902F1"/>
    <w:rsid w:val="00396AD0"/>
    <w:rsid w:val="003A02B9"/>
    <w:rsid w:val="003A24DF"/>
    <w:rsid w:val="003A484F"/>
    <w:rsid w:val="003A4883"/>
    <w:rsid w:val="003B0214"/>
    <w:rsid w:val="003B0BE0"/>
    <w:rsid w:val="003B0C1B"/>
    <w:rsid w:val="003B2C63"/>
    <w:rsid w:val="003B688C"/>
    <w:rsid w:val="003C0291"/>
    <w:rsid w:val="003C39AE"/>
    <w:rsid w:val="003C7B60"/>
    <w:rsid w:val="003D0C0F"/>
    <w:rsid w:val="003D1FB2"/>
    <w:rsid w:val="003D632A"/>
    <w:rsid w:val="003D66DA"/>
    <w:rsid w:val="003E1310"/>
    <w:rsid w:val="003E55D9"/>
    <w:rsid w:val="003E6F55"/>
    <w:rsid w:val="003F370D"/>
    <w:rsid w:val="003F6EF8"/>
    <w:rsid w:val="00406254"/>
    <w:rsid w:val="00414C0A"/>
    <w:rsid w:val="004223DE"/>
    <w:rsid w:val="0042336A"/>
    <w:rsid w:val="00434489"/>
    <w:rsid w:val="00437085"/>
    <w:rsid w:val="00443880"/>
    <w:rsid w:val="00445F01"/>
    <w:rsid w:val="004464F4"/>
    <w:rsid w:val="00450A4E"/>
    <w:rsid w:val="00454019"/>
    <w:rsid w:val="004635AB"/>
    <w:rsid w:val="00467CD8"/>
    <w:rsid w:val="00471401"/>
    <w:rsid w:val="00473F31"/>
    <w:rsid w:val="004764A7"/>
    <w:rsid w:val="00481894"/>
    <w:rsid w:val="0048263A"/>
    <w:rsid w:val="0048472D"/>
    <w:rsid w:val="00487E5D"/>
    <w:rsid w:val="00496C72"/>
    <w:rsid w:val="004A24B9"/>
    <w:rsid w:val="004A711F"/>
    <w:rsid w:val="004B199D"/>
    <w:rsid w:val="004B26C9"/>
    <w:rsid w:val="004B4690"/>
    <w:rsid w:val="004C4593"/>
    <w:rsid w:val="004C6137"/>
    <w:rsid w:val="004D1279"/>
    <w:rsid w:val="004D26CD"/>
    <w:rsid w:val="004D385E"/>
    <w:rsid w:val="004D5439"/>
    <w:rsid w:val="004E0A2D"/>
    <w:rsid w:val="004E1902"/>
    <w:rsid w:val="004E206B"/>
    <w:rsid w:val="004E3BCB"/>
    <w:rsid w:val="004E6DB1"/>
    <w:rsid w:val="004E6DF7"/>
    <w:rsid w:val="004E763A"/>
    <w:rsid w:val="004F0FBD"/>
    <w:rsid w:val="004F22B6"/>
    <w:rsid w:val="004F3E9A"/>
    <w:rsid w:val="00502758"/>
    <w:rsid w:val="00505A47"/>
    <w:rsid w:val="00510747"/>
    <w:rsid w:val="005115CC"/>
    <w:rsid w:val="0051247B"/>
    <w:rsid w:val="00512FDA"/>
    <w:rsid w:val="00520DA0"/>
    <w:rsid w:val="005269D7"/>
    <w:rsid w:val="00533ABB"/>
    <w:rsid w:val="00537F4B"/>
    <w:rsid w:val="005416EA"/>
    <w:rsid w:val="00551F44"/>
    <w:rsid w:val="005664BB"/>
    <w:rsid w:val="00566FFA"/>
    <w:rsid w:val="0056707C"/>
    <w:rsid w:val="0057072A"/>
    <w:rsid w:val="0057481D"/>
    <w:rsid w:val="00581A84"/>
    <w:rsid w:val="0058486E"/>
    <w:rsid w:val="00585B33"/>
    <w:rsid w:val="0059014D"/>
    <w:rsid w:val="00591F1D"/>
    <w:rsid w:val="00596523"/>
    <w:rsid w:val="005B29C3"/>
    <w:rsid w:val="005B38A6"/>
    <w:rsid w:val="005B5C64"/>
    <w:rsid w:val="005B63BB"/>
    <w:rsid w:val="005C5337"/>
    <w:rsid w:val="005C6BD0"/>
    <w:rsid w:val="005C7B6E"/>
    <w:rsid w:val="005C7C76"/>
    <w:rsid w:val="005D1C8B"/>
    <w:rsid w:val="005D22C8"/>
    <w:rsid w:val="005D45EB"/>
    <w:rsid w:val="005D468D"/>
    <w:rsid w:val="005D55BA"/>
    <w:rsid w:val="005D5CED"/>
    <w:rsid w:val="005E4DF1"/>
    <w:rsid w:val="005E743E"/>
    <w:rsid w:val="005F1A4C"/>
    <w:rsid w:val="00604545"/>
    <w:rsid w:val="00605688"/>
    <w:rsid w:val="006070AF"/>
    <w:rsid w:val="00607E6C"/>
    <w:rsid w:val="006101B1"/>
    <w:rsid w:val="00614E44"/>
    <w:rsid w:val="0061576E"/>
    <w:rsid w:val="00617C7B"/>
    <w:rsid w:val="0062270A"/>
    <w:rsid w:val="00622830"/>
    <w:rsid w:val="00623DA0"/>
    <w:rsid w:val="00630AEF"/>
    <w:rsid w:val="006325F8"/>
    <w:rsid w:val="006327E2"/>
    <w:rsid w:val="00633463"/>
    <w:rsid w:val="00634B0A"/>
    <w:rsid w:val="00634C9A"/>
    <w:rsid w:val="006418B3"/>
    <w:rsid w:val="00642EE8"/>
    <w:rsid w:val="006440E4"/>
    <w:rsid w:val="00644793"/>
    <w:rsid w:val="00656DF5"/>
    <w:rsid w:val="00656FB2"/>
    <w:rsid w:val="0066343B"/>
    <w:rsid w:val="00664777"/>
    <w:rsid w:val="00664F59"/>
    <w:rsid w:val="00672D93"/>
    <w:rsid w:val="00673CDF"/>
    <w:rsid w:val="006748A4"/>
    <w:rsid w:val="00675716"/>
    <w:rsid w:val="00681A31"/>
    <w:rsid w:val="00683E73"/>
    <w:rsid w:val="00685605"/>
    <w:rsid w:val="00687589"/>
    <w:rsid w:val="006910AB"/>
    <w:rsid w:val="00697821"/>
    <w:rsid w:val="006A3141"/>
    <w:rsid w:val="006A5E34"/>
    <w:rsid w:val="006B1D47"/>
    <w:rsid w:val="006B2422"/>
    <w:rsid w:val="006B2B9A"/>
    <w:rsid w:val="006C0CA9"/>
    <w:rsid w:val="006C1937"/>
    <w:rsid w:val="006C40A7"/>
    <w:rsid w:val="006D564B"/>
    <w:rsid w:val="006D61A6"/>
    <w:rsid w:val="006F020C"/>
    <w:rsid w:val="006F22A4"/>
    <w:rsid w:val="006F4AF7"/>
    <w:rsid w:val="0070223D"/>
    <w:rsid w:val="0070430E"/>
    <w:rsid w:val="0070714F"/>
    <w:rsid w:val="007127B7"/>
    <w:rsid w:val="0071798E"/>
    <w:rsid w:val="00721A80"/>
    <w:rsid w:val="00722AE2"/>
    <w:rsid w:val="00733006"/>
    <w:rsid w:val="007416B6"/>
    <w:rsid w:val="00746F48"/>
    <w:rsid w:val="007532B7"/>
    <w:rsid w:val="0075404D"/>
    <w:rsid w:val="0076182A"/>
    <w:rsid w:val="00767B7E"/>
    <w:rsid w:val="00767D84"/>
    <w:rsid w:val="007726F9"/>
    <w:rsid w:val="007770C3"/>
    <w:rsid w:val="00777A1F"/>
    <w:rsid w:val="00784D24"/>
    <w:rsid w:val="00785FBA"/>
    <w:rsid w:val="00786E4A"/>
    <w:rsid w:val="00786F0C"/>
    <w:rsid w:val="00787053"/>
    <w:rsid w:val="007875EB"/>
    <w:rsid w:val="0079200A"/>
    <w:rsid w:val="0079426B"/>
    <w:rsid w:val="007B29EC"/>
    <w:rsid w:val="007B4193"/>
    <w:rsid w:val="007B5B4F"/>
    <w:rsid w:val="007B7CD0"/>
    <w:rsid w:val="007C54FB"/>
    <w:rsid w:val="007C7B17"/>
    <w:rsid w:val="007D02DB"/>
    <w:rsid w:val="007D1682"/>
    <w:rsid w:val="007D312A"/>
    <w:rsid w:val="007D3F19"/>
    <w:rsid w:val="007E23B0"/>
    <w:rsid w:val="007E23E5"/>
    <w:rsid w:val="007E3ABA"/>
    <w:rsid w:val="007E6C28"/>
    <w:rsid w:val="007E7D9E"/>
    <w:rsid w:val="007F1991"/>
    <w:rsid w:val="007F2C2F"/>
    <w:rsid w:val="007F45C5"/>
    <w:rsid w:val="007F55FC"/>
    <w:rsid w:val="007F5665"/>
    <w:rsid w:val="00800112"/>
    <w:rsid w:val="00801C19"/>
    <w:rsid w:val="00805A26"/>
    <w:rsid w:val="00813348"/>
    <w:rsid w:val="00816F02"/>
    <w:rsid w:val="00817A02"/>
    <w:rsid w:val="008250DA"/>
    <w:rsid w:val="008253BB"/>
    <w:rsid w:val="00832AC0"/>
    <w:rsid w:val="0083706E"/>
    <w:rsid w:val="008408F6"/>
    <w:rsid w:val="008416CC"/>
    <w:rsid w:val="008422DD"/>
    <w:rsid w:val="008423A5"/>
    <w:rsid w:val="00850625"/>
    <w:rsid w:val="008532E3"/>
    <w:rsid w:val="00853718"/>
    <w:rsid w:val="00855221"/>
    <w:rsid w:val="00860645"/>
    <w:rsid w:val="00860FAF"/>
    <w:rsid w:val="00871F71"/>
    <w:rsid w:val="00872238"/>
    <w:rsid w:val="00872567"/>
    <w:rsid w:val="00872FD8"/>
    <w:rsid w:val="00876D0C"/>
    <w:rsid w:val="00877CA1"/>
    <w:rsid w:val="00885AF4"/>
    <w:rsid w:val="00891CBB"/>
    <w:rsid w:val="008939CD"/>
    <w:rsid w:val="008968D0"/>
    <w:rsid w:val="008A4512"/>
    <w:rsid w:val="008A6E3B"/>
    <w:rsid w:val="008B5EAE"/>
    <w:rsid w:val="008B768C"/>
    <w:rsid w:val="008C3753"/>
    <w:rsid w:val="008C4C2F"/>
    <w:rsid w:val="008C4DB1"/>
    <w:rsid w:val="008C4EAF"/>
    <w:rsid w:val="008C5176"/>
    <w:rsid w:val="008C7FD0"/>
    <w:rsid w:val="008D5251"/>
    <w:rsid w:val="008D557A"/>
    <w:rsid w:val="008E1DE7"/>
    <w:rsid w:val="008E4DC9"/>
    <w:rsid w:val="008E5A7A"/>
    <w:rsid w:val="008E707C"/>
    <w:rsid w:val="008E7680"/>
    <w:rsid w:val="00900B08"/>
    <w:rsid w:val="00902155"/>
    <w:rsid w:val="00902FA3"/>
    <w:rsid w:val="0091586E"/>
    <w:rsid w:val="00922278"/>
    <w:rsid w:val="00923564"/>
    <w:rsid w:val="0092392E"/>
    <w:rsid w:val="00924724"/>
    <w:rsid w:val="009315F9"/>
    <w:rsid w:val="00933499"/>
    <w:rsid w:val="009334D8"/>
    <w:rsid w:val="009355BB"/>
    <w:rsid w:val="009358AB"/>
    <w:rsid w:val="00935C98"/>
    <w:rsid w:val="00946945"/>
    <w:rsid w:val="00951085"/>
    <w:rsid w:val="00951248"/>
    <w:rsid w:val="0095152F"/>
    <w:rsid w:val="00954BA4"/>
    <w:rsid w:val="00954C49"/>
    <w:rsid w:val="009555F1"/>
    <w:rsid w:val="00955E37"/>
    <w:rsid w:val="00956193"/>
    <w:rsid w:val="00963D2E"/>
    <w:rsid w:val="0097099F"/>
    <w:rsid w:val="00971997"/>
    <w:rsid w:val="00971FFC"/>
    <w:rsid w:val="00973770"/>
    <w:rsid w:val="0097594A"/>
    <w:rsid w:val="00976EC4"/>
    <w:rsid w:val="0098660A"/>
    <w:rsid w:val="00991B37"/>
    <w:rsid w:val="00991F59"/>
    <w:rsid w:val="009931C3"/>
    <w:rsid w:val="009964B1"/>
    <w:rsid w:val="009A1045"/>
    <w:rsid w:val="009A648A"/>
    <w:rsid w:val="009B2C43"/>
    <w:rsid w:val="009B4EAE"/>
    <w:rsid w:val="009B7573"/>
    <w:rsid w:val="009C0363"/>
    <w:rsid w:val="009C22F4"/>
    <w:rsid w:val="009C2A4B"/>
    <w:rsid w:val="009C2E98"/>
    <w:rsid w:val="009D03C9"/>
    <w:rsid w:val="009D2668"/>
    <w:rsid w:val="009D2749"/>
    <w:rsid w:val="009D3447"/>
    <w:rsid w:val="009D4711"/>
    <w:rsid w:val="009E069D"/>
    <w:rsid w:val="009F1185"/>
    <w:rsid w:val="009F18CD"/>
    <w:rsid w:val="009F2A13"/>
    <w:rsid w:val="009F7527"/>
    <w:rsid w:val="00A0266A"/>
    <w:rsid w:val="00A03E0A"/>
    <w:rsid w:val="00A04EB0"/>
    <w:rsid w:val="00A13CC1"/>
    <w:rsid w:val="00A16847"/>
    <w:rsid w:val="00A237D8"/>
    <w:rsid w:val="00A268C4"/>
    <w:rsid w:val="00A27667"/>
    <w:rsid w:val="00A30334"/>
    <w:rsid w:val="00A307CD"/>
    <w:rsid w:val="00A331C8"/>
    <w:rsid w:val="00A35417"/>
    <w:rsid w:val="00A40A00"/>
    <w:rsid w:val="00A40F73"/>
    <w:rsid w:val="00A4142F"/>
    <w:rsid w:val="00A41768"/>
    <w:rsid w:val="00A4226F"/>
    <w:rsid w:val="00A422EB"/>
    <w:rsid w:val="00A4294D"/>
    <w:rsid w:val="00A439C9"/>
    <w:rsid w:val="00A45BB7"/>
    <w:rsid w:val="00A515D4"/>
    <w:rsid w:val="00A52884"/>
    <w:rsid w:val="00A56DF2"/>
    <w:rsid w:val="00A56E6E"/>
    <w:rsid w:val="00A619D7"/>
    <w:rsid w:val="00A63493"/>
    <w:rsid w:val="00A671B1"/>
    <w:rsid w:val="00A67AB5"/>
    <w:rsid w:val="00A733B2"/>
    <w:rsid w:val="00A741C2"/>
    <w:rsid w:val="00A80F15"/>
    <w:rsid w:val="00A812A3"/>
    <w:rsid w:val="00A812D3"/>
    <w:rsid w:val="00A84DEE"/>
    <w:rsid w:val="00A91760"/>
    <w:rsid w:val="00A93B00"/>
    <w:rsid w:val="00A93C21"/>
    <w:rsid w:val="00A9452A"/>
    <w:rsid w:val="00A97D69"/>
    <w:rsid w:val="00AB64C9"/>
    <w:rsid w:val="00AC18D1"/>
    <w:rsid w:val="00AC367B"/>
    <w:rsid w:val="00AC3C6A"/>
    <w:rsid w:val="00AC4460"/>
    <w:rsid w:val="00AC70B6"/>
    <w:rsid w:val="00AC7DAA"/>
    <w:rsid w:val="00AD1CFB"/>
    <w:rsid w:val="00AD5620"/>
    <w:rsid w:val="00AD656B"/>
    <w:rsid w:val="00AD7C1B"/>
    <w:rsid w:val="00AE16BA"/>
    <w:rsid w:val="00AE1EBE"/>
    <w:rsid w:val="00B03C9D"/>
    <w:rsid w:val="00B060AE"/>
    <w:rsid w:val="00B10517"/>
    <w:rsid w:val="00B12F7F"/>
    <w:rsid w:val="00B14E76"/>
    <w:rsid w:val="00B161B8"/>
    <w:rsid w:val="00B2048C"/>
    <w:rsid w:val="00B2655D"/>
    <w:rsid w:val="00B310B9"/>
    <w:rsid w:val="00B35F3F"/>
    <w:rsid w:val="00B36CBB"/>
    <w:rsid w:val="00B37764"/>
    <w:rsid w:val="00B425E0"/>
    <w:rsid w:val="00B440AA"/>
    <w:rsid w:val="00B44B70"/>
    <w:rsid w:val="00B53C56"/>
    <w:rsid w:val="00B57D48"/>
    <w:rsid w:val="00B57DAF"/>
    <w:rsid w:val="00B74B33"/>
    <w:rsid w:val="00B76796"/>
    <w:rsid w:val="00B77EA6"/>
    <w:rsid w:val="00B81598"/>
    <w:rsid w:val="00B82B9F"/>
    <w:rsid w:val="00B841F1"/>
    <w:rsid w:val="00B90E4E"/>
    <w:rsid w:val="00B944D6"/>
    <w:rsid w:val="00B965DC"/>
    <w:rsid w:val="00B97478"/>
    <w:rsid w:val="00BB2A13"/>
    <w:rsid w:val="00BB4DF0"/>
    <w:rsid w:val="00BC0C25"/>
    <w:rsid w:val="00BC289F"/>
    <w:rsid w:val="00BC2D50"/>
    <w:rsid w:val="00BC5361"/>
    <w:rsid w:val="00BC5460"/>
    <w:rsid w:val="00BC6B50"/>
    <w:rsid w:val="00BD0E25"/>
    <w:rsid w:val="00BE6554"/>
    <w:rsid w:val="00BF493A"/>
    <w:rsid w:val="00BF5BD6"/>
    <w:rsid w:val="00BF6438"/>
    <w:rsid w:val="00C03E31"/>
    <w:rsid w:val="00C11C3C"/>
    <w:rsid w:val="00C11DB3"/>
    <w:rsid w:val="00C17755"/>
    <w:rsid w:val="00C20AEA"/>
    <w:rsid w:val="00C33E72"/>
    <w:rsid w:val="00C354B2"/>
    <w:rsid w:val="00C35554"/>
    <w:rsid w:val="00C35E50"/>
    <w:rsid w:val="00C42709"/>
    <w:rsid w:val="00C437BD"/>
    <w:rsid w:val="00C47BC9"/>
    <w:rsid w:val="00C51B7B"/>
    <w:rsid w:val="00C533CC"/>
    <w:rsid w:val="00C56A3E"/>
    <w:rsid w:val="00C5751C"/>
    <w:rsid w:val="00C61381"/>
    <w:rsid w:val="00C61BFC"/>
    <w:rsid w:val="00C62A3F"/>
    <w:rsid w:val="00C62B85"/>
    <w:rsid w:val="00C651E2"/>
    <w:rsid w:val="00C65438"/>
    <w:rsid w:val="00C75767"/>
    <w:rsid w:val="00C8004D"/>
    <w:rsid w:val="00C83AE2"/>
    <w:rsid w:val="00C86A3D"/>
    <w:rsid w:val="00C87FD8"/>
    <w:rsid w:val="00C91381"/>
    <w:rsid w:val="00C91AF8"/>
    <w:rsid w:val="00C91CBB"/>
    <w:rsid w:val="00CA2AF8"/>
    <w:rsid w:val="00CA5B67"/>
    <w:rsid w:val="00CA7B29"/>
    <w:rsid w:val="00CB014B"/>
    <w:rsid w:val="00CB3F4B"/>
    <w:rsid w:val="00CB4D47"/>
    <w:rsid w:val="00CB4E70"/>
    <w:rsid w:val="00CB73D8"/>
    <w:rsid w:val="00CC09B6"/>
    <w:rsid w:val="00CC666F"/>
    <w:rsid w:val="00CD1020"/>
    <w:rsid w:val="00CD1E3F"/>
    <w:rsid w:val="00CD377C"/>
    <w:rsid w:val="00CD4ED8"/>
    <w:rsid w:val="00CE03AA"/>
    <w:rsid w:val="00CE2BD1"/>
    <w:rsid w:val="00CE44F6"/>
    <w:rsid w:val="00CE49DA"/>
    <w:rsid w:val="00CE7B61"/>
    <w:rsid w:val="00CF05C6"/>
    <w:rsid w:val="00D00095"/>
    <w:rsid w:val="00D114F0"/>
    <w:rsid w:val="00D20054"/>
    <w:rsid w:val="00D20620"/>
    <w:rsid w:val="00D21574"/>
    <w:rsid w:val="00D2291F"/>
    <w:rsid w:val="00D254F7"/>
    <w:rsid w:val="00D26091"/>
    <w:rsid w:val="00D2685C"/>
    <w:rsid w:val="00D332F5"/>
    <w:rsid w:val="00D34E7C"/>
    <w:rsid w:val="00D35489"/>
    <w:rsid w:val="00D36AFE"/>
    <w:rsid w:val="00D43156"/>
    <w:rsid w:val="00D462DF"/>
    <w:rsid w:val="00D51276"/>
    <w:rsid w:val="00D54F1D"/>
    <w:rsid w:val="00D66CAE"/>
    <w:rsid w:val="00D7035F"/>
    <w:rsid w:val="00D7386F"/>
    <w:rsid w:val="00D842B3"/>
    <w:rsid w:val="00D93B8A"/>
    <w:rsid w:val="00DA634F"/>
    <w:rsid w:val="00DA6399"/>
    <w:rsid w:val="00DA65AC"/>
    <w:rsid w:val="00DA7FD6"/>
    <w:rsid w:val="00DB1913"/>
    <w:rsid w:val="00DB46A0"/>
    <w:rsid w:val="00DC0C05"/>
    <w:rsid w:val="00DC410D"/>
    <w:rsid w:val="00DC5A81"/>
    <w:rsid w:val="00DC68CA"/>
    <w:rsid w:val="00DC762D"/>
    <w:rsid w:val="00DC7CBA"/>
    <w:rsid w:val="00DD73B7"/>
    <w:rsid w:val="00DE3726"/>
    <w:rsid w:val="00DF28BC"/>
    <w:rsid w:val="00DF34B9"/>
    <w:rsid w:val="00E0006D"/>
    <w:rsid w:val="00E01053"/>
    <w:rsid w:val="00E033DF"/>
    <w:rsid w:val="00E0505B"/>
    <w:rsid w:val="00E07ACF"/>
    <w:rsid w:val="00E11915"/>
    <w:rsid w:val="00E1247F"/>
    <w:rsid w:val="00E13069"/>
    <w:rsid w:val="00E143E8"/>
    <w:rsid w:val="00E273F0"/>
    <w:rsid w:val="00E32CAD"/>
    <w:rsid w:val="00E331A1"/>
    <w:rsid w:val="00E33202"/>
    <w:rsid w:val="00E336A9"/>
    <w:rsid w:val="00E34CBC"/>
    <w:rsid w:val="00E3562D"/>
    <w:rsid w:val="00E36905"/>
    <w:rsid w:val="00E36F56"/>
    <w:rsid w:val="00E415C0"/>
    <w:rsid w:val="00E44DC5"/>
    <w:rsid w:val="00E4523F"/>
    <w:rsid w:val="00E472B1"/>
    <w:rsid w:val="00E50624"/>
    <w:rsid w:val="00E525C2"/>
    <w:rsid w:val="00E568DF"/>
    <w:rsid w:val="00E577E0"/>
    <w:rsid w:val="00E64269"/>
    <w:rsid w:val="00E6520C"/>
    <w:rsid w:val="00E67A88"/>
    <w:rsid w:val="00E82267"/>
    <w:rsid w:val="00E853CE"/>
    <w:rsid w:val="00E867B6"/>
    <w:rsid w:val="00E87536"/>
    <w:rsid w:val="00E91369"/>
    <w:rsid w:val="00EA010F"/>
    <w:rsid w:val="00EB19AA"/>
    <w:rsid w:val="00EB367E"/>
    <w:rsid w:val="00EC13BF"/>
    <w:rsid w:val="00EC3DFC"/>
    <w:rsid w:val="00ED1B63"/>
    <w:rsid w:val="00ED2E7E"/>
    <w:rsid w:val="00ED3C1F"/>
    <w:rsid w:val="00ED4085"/>
    <w:rsid w:val="00ED4113"/>
    <w:rsid w:val="00ED420E"/>
    <w:rsid w:val="00ED6FBE"/>
    <w:rsid w:val="00EE2F57"/>
    <w:rsid w:val="00EE3257"/>
    <w:rsid w:val="00EE583F"/>
    <w:rsid w:val="00EF245C"/>
    <w:rsid w:val="00EF35B8"/>
    <w:rsid w:val="00EF4C34"/>
    <w:rsid w:val="00EF5905"/>
    <w:rsid w:val="00EF60EF"/>
    <w:rsid w:val="00EF77C6"/>
    <w:rsid w:val="00EF7ABC"/>
    <w:rsid w:val="00F02370"/>
    <w:rsid w:val="00F02FDD"/>
    <w:rsid w:val="00F05438"/>
    <w:rsid w:val="00F07D54"/>
    <w:rsid w:val="00F11152"/>
    <w:rsid w:val="00F1361C"/>
    <w:rsid w:val="00F1465C"/>
    <w:rsid w:val="00F156F0"/>
    <w:rsid w:val="00F160C7"/>
    <w:rsid w:val="00F23747"/>
    <w:rsid w:val="00F2408F"/>
    <w:rsid w:val="00F240E9"/>
    <w:rsid w:val="00F3267C"/>
    <w:rsid w:val="00F326B2"/>
    <w:rsid w:val="00F334E5"/>
    <w:rsid w:val="00F36C4B"/>
    <w:rsid w:val="00F36D8F"/>
    <w:rsid w:val="00F37DD7"/>
    <w:rsid w:val="00F415DB"/>
    <w:rsid w:val="00F417B1"/>
    <w:rsid w:val="00F42D4E"/>
    <w:rsid w:val="00F4398A"/>
    <w:rsid w:val="00F45853"/>
    <w:rsid w:val="00F55A29"/>
    <w:rsid w:val="00F602DF"/>
    <w:rsid w:val="00F623A3"/>
    <w:rsid w:val="00F67760"/>
    <w:rsid w:val="00F73788"/>
    <w:rsid w:val="00F754A1"/>
    <w:rsid w:val="00F80964"/>
    <w:rsid w:val="00F81FD9"/>
    <w:rsid w:val="00F841AA"/>
    <w:rsid w:val="00F84A94"/>
    <w:rsid w:val="00F87E96"/>
    <w:rsid w:val="00FA1439"/>
    <w:rsid w:val="00FA23E8"/>
    <w:rsid w:val="00FA7E53"/>
    <w:rsid w:val="00FB4919"/>
    <w:rsid w:val="00FC1083"/>
    <w:rsid w:val="00FC5327"/>
    <w:rsid w:val="00FD3CC1"/>
    <w:rsid w:val="00FD777C"/>
    <w:rsid w:val="00FE1016"/>
    <w:rsid w:val="00FE4302"/>
    <w:rsid w:val="00FF1E02"/>
    <w:rsid w:val="00FF30B4"/>
    <w:rsid w:val="0A2032A3"/>
    <w:rsid w:val="10C055FF"/>
    <w:rsid w:val="118107EC"/>
    <w:rsid w:val="16BB723D"/>
    <w:rsid w:val="1D155CEE"/>
    <w:rsid w:val="240371BF"/>
    <w:rsid w:val="29FD04D3"/>
    <w:rsid w:val="319F7F4E"/>
    <w:rsid w:val="3D6ED06A"/>
    <w:rsid w:val="4ECE2238"/>
    <w:rsid w:val="6C4A05C8"/>
    <w:rsid w:val="72734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lang w:val="zh-CN" w:eastAsia="zh-CN"/>
    </w:rPr>
  </w:style>
  <w:style w:type="paragraph" w:styleId="3">
    <w:name w:val="heading 2"/>
    <w:basedOn w:val="1"/>
    <w:next w:val="1"/>
    <w:link w:val="20"/>
    <w:qFormat/>
    <w:uiPriority w:val="9"/>
    <w:pPr>
      <w:keepNext/>
      <w:keepLines/>
      <w:spacing w:before="260" w:after="260" w:line="416" w:lineRule="auto"/>
      <w:outlineLvl w:val="1"/>
    </w:pPr>
    <w:rPr>
      <w:rFonts w:ascii="Cambria" w:hAnsi="Cambria"/>
      <w:b/>
      <w:bCs/>
      <w:sz w:val="32"/>
      <w:szCs w:val="32"/>
      <w:lang w:val="zh-CN" w:eastAsia="zh-CN"/>
    </w:rPr>
  </w:style>
  <w:style w:type="paragraph" w:styleId="4">
    <w:name w:val="heading 3"/>
    <w:basedOn w:val="1"/>
    <w:next w:val="1"/>
    <w:link w:val="21"/>
    <w:qFormat/>
    <w:uiPriority w:val="9"/>
    <w:pPr>
      <w:keepNext/>
      <w:keepLines/>
      <w:spacing w:before="260" w:after="260" w:line="416" w:lineRule="auto"/>
      <w:outlineLvl w:val="2"/>
    </w:pPr>
    <w:rPr>
      <w:b/>
      <w:bCs/>
      <w:sz w:val="32"/>
      <w:szCs w:val="32"/>
      <w:lang w:val="zh-CN" w:eastAsia="zh-CN"/>
    </w:rPr>
  </w:style>
  <w:style w:type="character" w:default="1" w:styleId="16">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Salutation"/>
    <w:basedOn w:val="1"/>
    <w:next w:val="1"/>
    <w:link w:val="33"/>
    <w:qFormat/>
    <w:uiPriority w:val="0"/>
  </w:style>
  <w:style w:type="paragraph" w:styleId="6">
    <w:name w:val="Body Text"/>
    <w:basedOn w:val="1"/>
    <w:link w:val="28"/>
    <w:qFormat/>
    <w:uiPriority w:val="99"/>
    <w:pPr>
      <w:spacing w:beforeLines="30"/>
    </w:pPr>
    <w:rPr>
      <w:rFonts w:ascii="仿宋_GB2312" w:eastAsia="仿宋_GB2312"/>
      <w:kern w:val="0"/>
      <w:sz w:val="24"/>
      <w:szCs w:val="20"/>
      <w:lang w:val="zh-CN" w:eastAsia="zh-CN"/>
    </w:rPr>
  </w:style>
  <w:style w:type="paragraph" w:styleId="7">
    <w:name w:val="toc 3"/>
    <w:basedOn w:val="1"/>
    <w:next w:val="1"/>
    <w:unhideWhenUsed/>
    <w:qFormat/>
    <w:uiPriority w:val="39"/>
    <w:pPr>
      <w:tabs>
        <w:tab w:val="right" w:leader="dot" w:pos="8296"/>
      </w:tabs>
      <w:ind w:left="840" w:leftChars="400"/>
    </w:pPr>
  </w:style>
  <w:style w:type="paragraph" w:styleId="8">
    <w:name w:val="Plain Text"/>
    <w:basedOn w:val="1"/>
    <w:link w:val="34"/>
    <w:unhideWhenUsed/>
    <w:qFormat/>
    <w:uiPriority w:val="0"/>
    <w:rPr>
      <w:rFonts w:ascii="宋体" w:hAnsi="Courier New"/>
    </w:rPr>
  </w:style>
  <w:style w:type="paragraph" w:styleId="9">
    <w:name w:val="Balloon Text"/>
    <w:basedOn w:val="1"/>
    <w:link w:val="23"/>
    <w:semiHidden/>
    <w:unhideWhenUsed/>
    <w:qFormat/>
    <w:uiPriority w:val="99"/>
    <w:rPr>
      <w:sz w:val="18"/>
      <w:szCs w:val="18"/>
      <w:lang w:val="zh-CN" w:eastAsia="zh-CN"/>
    </w:rPr>
  </w:style>
  <w:style w:type="paragraph" w:styleId="10">
    <w:name w:val="footer"/>
    <w:basedOn w:val="1"/>
    <w:link w:val="27"/>
    <w:qFormat/>
    <w:uiPriority w:val="99"/>
    <w:pPr>
      <w:tabs>
        <w:tab w:val="center" w:pos="4153"/>
        <w:tab w:val="right" w:pos="8306"/>
      </w:tabs>
      <w:snapToGrid w:val="0"/>
      <w:jc w:val="left"/>
    </w:pPr>
    <w:rPr>
      <w:rFonts w:ascii="Calibri" w:hAnsi="Calibri"/>
      <w:kern w:val="0"/>
      <w:sz w:val="18"/>
      <w:szCs w:val="20"/>
      <w:lang w:val="zh-CN" w:eastAsia="zh-CN"/>
    </w:rPr>
  </w:style>
  <w:style w:type="paragraph" w:styleId="11">
    <w:name w:val="header"/>
    <w:basedOn w:val="1"/>
    <w:link w:val="26"/>
    <w:semiHidden/>
    <w:qFormat/>
    <w:uiPriority w:val="99"/>
    <w:pPr>
      <w:pBdr>
        <w:bottom w:val="single" w:color="auto" w:sz="6" w:space="1"/>
      </w:pBdr>
      <w:tabs>
        <w:tab w:val="center" w:pos="4153"/>
        <w:tab w:val="right" w:pos="8306"/>
      </w:tabs>
      <w:snapToGrid w:val="0"/>
      <w:jc w:val="center"/>
    </w:pPr>
    <w:rPr>
      <w:rFonts w:ascii="Calibri" w:hAnsi="Calibri"/>
      <w:kern w:val="0"/>
      <w:sz w:val="18"/>
      <w:szCs w:val="20"/>
      <w:lang w:val="zh-CN" w:eastAsia="zh-CN"/>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unhideWhenUsed/>
    <w:qFormat/>
    <w:uiPriority w:val="99"/>
    <w:pPr>
      <w:spacing w:before="100" w:beforeAutospacing="1" w:after="100" w:afterAutospacing="1"/>
      <w:jc w:val="left"/>
    </w:pPr>
    <w:rPr>
      <w:kern w:val="0"/>
      <w:sz w:val="24"/>
    </w:rPr>
  </w:style>
  <w:style w:type="character" w:styleId="17">
    <w:name w:val="Strong"/>
    <w:qFormat/>
    <w:uiPriority w:val="99"/>
    <w:rPr>
      <w:rFonts w:cs="Times New Roman"/>
      <w:b/>
    </w:rPr>
  </w:style>
  <w:style w:type="character" w:styleId="18">
    <w:name w:val="Hyperlink"/>
    <w:unhideWhenUsed/>
    <w:qFormat/>
    <w:uiPriority w:val="99"/>
    <w:rPr>
      <w:rFonts w:cs="Times New Roman"/>
      <w:color w:val="0000FF"/>
      <w:u w:val="single"/>
    </w:rPr>
  </w:style>
  <w:style w:type="character" w:customStyle="1" w:styleId="19">
    <w:name w:val="标题 1 字符"/>
    <w:link w:val="2"/>
    <w:qFormat/>
    <w:locked/>
    <w:uiPriority w:val="9"/>
    <w:rPr>
      <w:rFonts w:ascii="Times New Roman" w:hAnsi="Times New Roman" w:cs="Times New Roman"/>
      <w:b/>
      <w:bCs/>
      <w:kern w:val="44"/>
      <w:sz w:val="44"/>
      <w:szCs w:val="44"/>
    </w:rPr>
  </w:style>
  <w:style w:type="character" w:customStyle="1" w:styleId="20">
    <w:name w:val="标题 2 字符"/>
    <w:link w:val="3"/>
    <w:qFormat/>
    <w:locked/>
    <w:uiPriority w:val="9"/>
    <w:rPr>
      <w:rFonts w:ascii="Cambria" w:hAnsi="Cambria" w:eastAsia="宋体" w:cs="Times New Roman"/>
      <w:b/>
      <w:bCs/>
      <w:kern w:val="2"/>
      <w:sz w:val="32"/>
      <w:szCs w:val="32"/>
    </w:rPr>
  </w:style>
  <w:style w:type="character" w:customStyle="1" w:styleId="21">
    <w:name w:val="标题 3 字符"/>
    <w:link w:val="4"/>
    <w:qFormat/>
    <w:locked/>
    <w:uiPriority w:val="9"/>
    <w:rPr>
      <w:rFonts w:ascii="Times New Roman" w:hAnsi="Times New Roman" w:cs="Times New Roman"/>
      <w:b/>
      <w:bCs/>
      <w:kern w:val="2"/>
      <w:sz w:val="32"/>
      <w:szCs w:val="32"/>
    </w:rPr>
  </w:style>
  <w:style w:type="character" w:customStyle="1" w:styleId="22">
    <w:name w:val="Body Text Char"/>
    <w:semiHidden/>
    <w:qFormat/>
    <w:uiPriority w:val="99"/>
    <w:rPr>
      <w:rFonts w:ascii="Times New Roman" w:hAnsi="Times New Roman" w:cs="Times New Roman"/>
      <w:sz w:val="24"/>
      <w:szCs w:val="24"/>
    </w:rPr>
  </w:style>
  <w:style w:type="character" w:customStyle="1" w:styleId="23">
    <w:name w:val="批注框文本 字符"/>
    <w:link w:val="9"/>
    <w:semiHidden/>
    <w:qFormat/>
    <w:locked/>
    <w:uiPriority w:val="99"/>
    <w:rPr>
      <w:rFonts w:ascii="Times New Roman" w:hAnsi="Times New Roman" w:cs="Times New Roman"/>
      <w:kern w:val="2"/>
      <w:sz w:val="18"/>
      <w:szCs w:val="18"/>
    </w:rPr>
  </w:style>
  <w:style w:type="character" w:customStyle="1" w:styleId="24">
    <w:name w:val="Footer Char"/>
    <w:semiHidden/>
    <w:qFormat/>
    <w:uiPriority w:val="99"/>
    <w:rPr>
      <w:rFonts w:ascii="Times New Roman" w:hAnsi="Times New Roman" w:cs="Times New Roman"/>
      <w:sz w:val="18"/>
      <w:szCs w:val="18"/>
    </w:rPr>
  </w:style>
  <w:style w:type="character" w:customStyle="1" w:styleId="25">
    <w:name w:val="Header Char"/>
    <w:semiHidden/>
    <w:qFormat/>
    <w:uiPriority w:val="99"/>
    <w:rPr>
      <w:rFonts w:ascii="Times New Roman" w:hAnsi="Times New Roman" w:cs="Times New Roman"/>
      <w:sz w:val="18"/>
      <w:szCs w:val="18"/>
    </w:rPr>
  </w:style>
  <w:style w:type="character" w:customStyle="1" w:styleId="26">
    <w:name w:val="页眉 字符"/>
    <w:link w:val="11"/>
    <w:semiHidden/>
    <w:qFormat/>
    <w:locked/>
    <w:uiPriority w:val="99"/>
    <w:rPr>
      <w:sz w:val="18"/>
    </w:rPr>
  </w:style>
  <w:style w:type="character" w:customStyle="1" w:styleId="27">
    <w:name w:val="页脚 字符"/>
    <w:link w:val="10"/>
    <w:qFormat/>
    <w:locked/>
    <w:uiPriority w:val="99"/>
    <w:rPr>
      <w:sz w:val="18"/>
    </w:rPr>
  </w:style>
  <w:style w:type="character" w:customStyle="1" w:styleId="28">
    <w:name w:val="正文文本 字符"/>
    <w:link w:val="6"/>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30">
    <w:name w:val="List Paragraph"/>
    <w:basedOn w:val="1"/>
    <w:qFormat/>
    <w:uiPriority w:val="34"/>
    <w:pPr>
      <w:ind w:firstLine="420" w:firstLineChars="200"/>
    </w:pPr>
  </w:style>
  <w:style w:type="paragraph" w:customStyle="1" w:styleId="31">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2">
    <w:name w:val="TOC Heading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33">
    <w:name w:val="称呼 Char"/>
    <w:basedOn w:val="16"/>
    <w:link w:val="5"/>
    <w:qFormat/>
    <w:uiPriority w:val="0"/>
    <w:rPr>
      <w:rFonts w:ascii="Times New Roman" w:hAnsi="Times New Roman"/>
      <w:kern w:val="2"/>
      <w:sz w:val="21"/>
      <w:szCs w:val="24"/>
    </w:rPr>
  </w:style>
  <w:style w:type="character" w:customStyle="1" w:styleId="34">
    <w:name w:val="纯文本 Char"/>
    <w:basedOn w:val="16"/>
    <w:link w:val="8"/>
    <w:qFormat/>
    <w:uiPriority w:val="0"/>
    <w:rPr>
      <w:rFonts w:ascii="宋体" w:hAnsi="Courier New"/>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E:\&#36130;&#21153;\&#20449;&#24687;&#20844;&#24320;\2020&#24180;&#20915;&#31639;&#20844;&#24320;\&#20844;&#24320;&#65288;&#20027;&#31649;&#12289;&#19979;&#23646;&#20998;&#24320;&#34920;&#65289;\&#22270;&#34920;&#65288;&#26412;&#32423;&#6528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36130;&#21153;\&#20449;&#24687;&#20844;&#24320;\2020&#24180;&#20915;&#31639;&#20844;&#24320;\&#20844;&#24320;&#65288;&#20027;&#31649;&#12289;&#19979;&#23646;&#20998;&#24320;&#34920;&#65289;\&#22270;&#34920;&#65288;&#26412;&#32423;&#6528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36130;&#21153;\&#20449;&#24687;&#20844;&#24320;\2020&#24180;&#20915;&#31639;&#20844;&#24320;\&#20844;&#24320;&#65288;&#20027;&#31649;&#12289;&#19979;&#23646;&#20998;&#24320;&#34920;&#65289;\&#22270;&#34920;&#65288;&#26412;&#32423;&#6528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36130;&#21153;\&#20449;&#24687;&#20844;&#24320;\2020&#24180;&#20915;&#31639;&#20844;&#24320;\&#20844;&#24320;&#65288;&#20027;&#31649;&#12289;&#19979;&#23646;&#20998;&#24320;&#34920;&#65289;\&#22270;&#34920;&#65288;&#26412;&#32423;&#6528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true"/>
  <c:lang val="zh-CN"/>
  <c:roundedCorners val="tru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explosion val="0"/>
          <c:dPt>
            <c:idx val="0"/>
            <c:bubble3D val="false"/>
            <c:spPr>
              <a:solidFill>
                <a:srgbClr val="00B0F0"/>
              </a:solidFill>
            </c:spPr>
          </c:dPt>
          <c:dPt>
            <c:idx val="1"/>
            <c:bubble3D val="false"/>
          </c:dPt>
          <c:dPt>
            <c:idx val="2"/>
            <c:bubble3D val="false"/>
            <c:spPr>
              <a:solidFill>
                <a:schemeClr val="accent6">
                  <a:lumMod val="60000"/>
                  <a:lumOff val="40000"/>
                </a:schemeClr>
              </a:solidFill>
            </c:spPr>
          </c:dPt>
          <c:dLbls>
            <c:delete val="true"/>
          </c:dLbls>
          <c:cat>
            <c:strRef>
              <c:f>Sheet3!$B$20:$B$22</c:f>
              <c:strCache>
                <c:ptCount val="3"/>
                <c:pt idx="0">
                  <c:v>一般公共预算财政拨款</c:v>
                </c:pt>
                <c:pt idx="1">
                  <c:v>政府性基金预算财政拨款</c:v>
                </c:pt>
                <c:pt idx="2">
                  <c:v>其他收入</c:v>
                </c:pt>
              </c:strCache>
            </c:strRef>
          </c:cat>
          <c:val>
            <c:numRef>
              <c:f>Sheet3!$C$20:$C$22</c:f>
              <c:numCache>
                <c:formatCode>General</c:formatCode>
                <c:ptCount val="3"/>
                <c:pt idx="0">
                  <c:v>5690.12</c:v>
                </c:pt>
                <c:pt idx="1">
                  <c:v>591.46</c:v>
                </c:pt>
                <c:pt idx="2">
                  <c:v>1.14</c:v>
                </c:pt>
              </c:numCache>
            </c:numRef>
          </c:val>
        </c:ser>
        <c:ser>
          <c:idx val="1"/>
          <c:order val="1"/>
          <c:explosion val="0"/>
          <c:dPt>
            <c:idx val="0"/>
            <c:bubble3D val="false"/>
          </c:dPt>
          <c:dPt>
            <c:idx val="1"/>
            <c:bubble3D val="false"/>
          </c:dPt>
          <c:dLbls>
            <c:delete val="true"/>
          </c:dLbls>
          <c:cat>
            <c:strRef>
              <c:f>Sheet3!$B$20:$B$22</c:f>
              <c:strCache>
                <c:ptCount val="3"/>
                <c:pt idx="0">
                  <c:v>一般公共预算财政拨款</c:v>
                </c:pt>
                <c:pt idx="1">
                  <c:v>政府性基金预算财政拨款</c:v>
                </c:pt>
                <c:pt idx="2">
                  <c:v>其他收入</c:v>
                </c:pt>
              </c:strCache>
            </c:strRef>
          </c:cat>
          <c:val>
            <c:numRef>
              <c:f>Sheet3!$B$21:$C$21</c:f>
              <c:numCache>
                <c:formatCode>General</c:formatCode>
                <c:ptCount val="2"/>
                <c:pt idx="0">
                  <c:v>0</c:v>
                </c:pt>
                <c:pt idx="1">
                  <c:v>591.46</c:v>
                </c:pt>
              </c:numCache>
            </c:numRef>
          </c:val>
        </c:ser>
        <c:ser>
          <c:idx val="2"/>
          <c:order val="2"/>
          <c:explosion val="0"/>
          <c:dPt>
            <c:idx val="0"/>
            <c:bubble3D val="false"/>
          </c:dPt>
          <c:dPt>
            <c:idx val="1"/>
            <c:bubble3D val="false"/>
          </c:dPt>
          <c:dLbls>
            <c:delete val="true"/>
          </c:dLbls>
          <c:cat>
            <c:strRef>
              <c:f>Sheet3!$B$20:$B$22</c:f>
              <c:strCache>
                <c:ptCount val="3"/>
                <c:pt idx="0">
                  <c:v>一般公共预算财政拨款</c:v>
                </c:pt>
                <c:pt idx="1">
                  <c:v>政府性基金预算财政拨款</c:v>
                </c:pt>
                <c:pt idx="2">
                  <c:v>其他收入</c:v>
                </c:pt>
              </c:strCache>
            </c:strRef>
          </c:cat>
          <c:val>
            <c:numRef>
              <c:f>Sheet3!$B$22:$C$22</c:f>
              <c:numCache>
                <c:formatCode>General</c:formatCode>
                <c:ptCount val="2"/>
                <c:pt idx="0">
                  <c:v>0</c:v>
                </c:pt>
                <c:pt idx="1">
                  <c:v>1.14</c:v>
                </c:pt>
              </c:numCache>
            </c:numRef>
          </c:val>
        </c:ser>
        <c:ser>
          <c:idx val="3"/>
          <c:order val="3"/>
          <c:tx>
            <c:strRef>
              <c:f>Sheet3!$C$20:$C$22</c:f>
              <c:strCache>
                <c:ptCount val="1"/>
                <c:pt idx="0">
                  <c:v>5690.12 591.46 1.14</c:v>
                </c:pt>
              </c:strCache>
            </c:strRef>
          </c:tx>
          <c:explosion val="0"/>
          <c:dPt>
            <c:idx val="0"/>
            <c:bubble3D val="false"/>
          </c:dPt>
          <c:dLbls>
            <c:delete val="true"/>
          </c:dLbls>
          <c:cat>
            <c:strRef>
              <c:f>Sheet3!$B$20:$B$22</c:f>
              <c:strCache>
                <c:ptCount val="3"/>
                <c:pt idx="0">
                  <c:v>一般公共预算财政拨款</c:v>
                </c:pt>
                <c:pt idx="1">
                  <c:v>政府性基金预算财政拨款</c:v>
                </c:pt>
                <c:pt idx="2">
                  <c:v>其他收入</c:v>
                </c:pt>
              </c:strCache>
            </c:strRef>
          </c:cat>
          <c:val>
            <c:numRef>
              <c:f>{1}</c:f>
              <c:numCache>
                <c:formatCode>General</c:formatCode>
                <c:ptCount val="1"/>
                <c:pt idx="0">
                  <c:v>1</c:v>
                </c:pt>
              </c:numCache>
            </c:numRef>
          </c:val>
        </c:ser>
        <c:dLbls>
          <c:showLegendKey val="false"/>
          <c:showVal val="false"/>
          <c:showCatName val="false"/>
          <c:showSerName val="false"/>
          <c:showPercent val="false"/>
          <c:showBubbleSize val="false"/>
          <c:showLeaderLines val="true"/>
        </c:dLbls>
        <c:firstSliceAng val="0"/>
      </c:pieChart>
      <c:spPr>
        <a:noFill/>
        <a:ln w="25400">
          <a:noFill/>
        </a:ln>
      </c:spPr>
    </c:plotArea>
    <c:legend>
      <c:legendPos val="r"/>
      <c:layout>
        <c:manualLayout>
          <c:xMode val="edge"/>
          <c:yMode val="edge"/>
          <c:x val="0.747070866141733"/>
          <c:y val="0.503590696996209"/>
          <c:w val="0.236262467191601"/>
          <c:h val="0.440966389617965"/>
        </c:manualLayout>
      </c:layout>
      <c:overlay val="true"/>
      <c:spPr>
        <a:ln>
          <a:solidFill>
            <a:schemeClr val="accent1"/>
          </a:solidFill>
        </a:ln>
      </c:spPr>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true"/>
  </c:chart>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true"/>
  <c:lang val="zh-CN"/>
  <c:roundedCorners val="tru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explosion val="0"/>
          <c:dPt>
            <c:idx val="0"/>
            <c:bubble3D val="false"/>
          </c:dPt>
          <c:dPt>
            <c:idx val="1"/>
            <c:bubble3D val="false"/>
          </c:dPt>
          <c:dLbls>
            <c:delete val="true"/>
          </c:dLbls>
          <c:cat>
            <c:strRef>
              <c:f>Sheet3!$B$41:$B$42</c:f>
              <c:strCache>
                <c:ptCount val="2"/>
                <c:pt idx="0">
                  <c:v>基本支出</c:v>
                </c:pt>
                <c:pt idx="1">
                  <c:v>项目支出</c:v>
                </c:pt>
              </c:strCache>
            </c:strRef>
          </c:cat>
          <c:val>
            <c:numRef>
              <c:f>Sheet3!$C$41:$C$42</c:f>
              <c:numCache>
                <c:formatCode>General</c:formatCode>
                <c:ptCount val="2"/>
                <c:pt idx="0">
                  <c:v>1447.14</c:v>
                </c:pt>
                <c:pt idx="1">
                  <c:v>4419.6</c:v>
                </c:pt>
              </c:numCache>
            </c:numRef>
          </c:val>
        </c:ser>
        <c:dLbls>
          <c:showLegendKey val="false"/>
          <c:showVal val="false"/>
          <c:showCatName val="false"/>
          <c:showSerName val="false"/>
          <c:showPercent val="false"/>
          <c:showBubbleSize val="false"/>
          <c:showLeaderLines val="true"/>
        </c:dLbls>
        <c:firstSliceAng val="0"/>
      </c:pieChart>
      <c:spPr>
        <a:noFill/>
        <a:ln w="25400">
          <a:noFill/>
        </a:ln>
      </c:spPr>
    </c:plotArea>
    <c:legend>
      <c:legendPos val="r"/>
      <c:layout/>
      <c:overlay val="tru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true"/>
  </c:chart>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true"/>
  <c:lang val="zh-CN"/>
  <c:roundedCorners val="tru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6175307408237"/>
          <c:y val="0.0836765992486234"/>
          <c:w val="0.83824692591763"/>
          <c:h val="0.68072924707941"/>
        </c:manualLayout>
      </c:layout>
      <c:barChart>
        <c:barDir val="col"/>
        <c:grouping val="clustered"/>
        <c:varyColors val="true"/>
        <c:ser>
          <c:idx val="0"/>
          <c:order val="0"/>
          <c:spPr>
            <a:solidFill>
              <a:srgbClr val="9999FF"/>
            </a:solidFill>
            <a:ln w="12700">
              <a:solidFill>
                <a:srgbClr val="000000">
                  <a:alpha val="100000"/>
                </a:srgbClr>
              </a:solidFill>
              <a:prstDash val="solid"/>
            </a:ln>
            <a:effectLst/>
          </c:spPr>
          <c:invertIfNegative val="true"/>
          <c:dPt>
            <c:idx val="0"/>
            <c:invertIfNegative val="true"/>
            <c:bubble3D val="false"/>
            <c:spPr>
              <a:solidFill>
                <a:srgbClr val="9999FF"/>
              </a:solidFill>
              <a:ln w="12700">
                <a:solidFill>
                  <a:srgbClr val="000000">
                    <a:alpha val="100000"/>
                  </a:srgbClr>
                </a:solidFill>
                <a:prstDash val="solid"/>
              </a:ln>
              <a:effectLst/>
            </c:spPr>
          </c:dPt>
          <c:dPt>
            <c:idx val="1"/>
            <c:invertIfNegative val="true"/>
            <c:bubble3D val="false"/>
            <c:spPr>
              <a:solidFill>
                <a:srgbClr val="9999FF"/>
              </a:solidFill>
              <a:ln w="12700">
                <a:solidFill>
                  <a:srgbClr val="000000">
                    <a:alpha val="100000"/>
                  </a:srgbClr>
                </a:solidFill>
                <a:prstDash val="solid"/>
              </a:ln>
              <a:effectLst/>
            </c:spPr>
          </c:dPt>
          <c:dLbls>
            <c:delete val="true"/>
          </c:dLbls>
          <c:cat>
            <c:strRef>
              <c:f>Sheet3!$B$58:$C$58</c:f>
              <c:strCache>
                <c:ptCount val="2"/>
                <c:pt idx="0">
                  <c:v>2019年</c:v>
                </c:pt>
                <c:pt idx="1">
                  <c:v>2020年</c:v>
                </c:pt>
              </c:strCache>
            </c:strRef>
          </c:cat>
          <c:val>
            <c:numRef>
              <c:f>Sheet3!$B$59:$C$59</c:f>
              <c:numCache>
                <c:formatCode>General</c:formatCode>
                <c:ptCount val="2"/>
                <c:pt idx="0">
                  <c:v>12219.09</c:v>
                </c:pt>
                <c:pt idx="1">
                  <c:v>9635.91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false"/>
          <c:showVal val="false"/>
          <c:showCatName val="false"/>
          <c:showSerName val="false"/>
          <c:showPercent val="false"/>
          <c:showBubbleSize val="false"/>
        </c:dLbls>
        <c:gapWidth val="150"/>
        <c:axId val="178179072"/>
        <c:axId val="178303744"/>
      </c:barChart>
      <c:catAx>
        <c:axId val="178179072"/>
        <c:scaling>
          <c:orientation val="minMax"/>
        </c:scaling>
        <c:delete val="true"/>
        <c:axPos val="b"/>
        <c:numFmt formatCode="General" sourceLinked="true"/>
        <c:majorTickMark val="in"/>
        <c:minorTickMark val="cross"/>
        <c:tickLblPos val="nextTo"/>
        <c:txPr>
          <a:bodyPr rot="-60000000" spcFirstLastPara="0" vertOverflow="ellipsis" vert="horz" wrap="square" anchor="ctr" anchorCtr="true"/>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78303744"/>
        <c:crosses val="autoZero"/>
        <c:auto val="true"/>
        <c:lblAlgn val="ctr"/>
        <c:lblOffset val="100"/>
        <c:noMultiLvlLbl val="true"/>
      </c:catAx>
      <c:valAx>
        <c:axId val="178303744"/>
        <c:scaling>
          <c:orientation val="minMax"/>
          <c:max val="15000"/>
          <c:min val="0"/>
        </c:scaling>
        <c:delete val="true"/>
        <c:axPos val="l"/>
        <c:majorGridlines>
          <c:spPr>
            <a:ln w="3175" cap="flat" cmpd="sng" algn="ctr">
              <a:solidFill>
                <a:srgbClr val="000000">
                  <a:alpha val="100000"/>
                </a:srgbClr>
              </a:solidFill>
              <a:prstDash val="solid"/>
              <a:round/>
            </a:ln>
            <a:effectLst/>
          </c:spPr>
        </c:majorGridlines>
        <c:numFmt formatCode="General" sourceLinked="true"/>
        <c:majorTickMark val="in"/>
        <c:minorTickMark val="cross"/>
        <c:tickLblPos val="nextTo"/>
        <c:txPr>
          <a:bodyPr rot="-60000000" spcFirstLastPara="0" vertOverflow="ellipsis" vert="horz" wrap="square" anchor="ctr" anchorCtr="true"/>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78179072"/>
        <c:crosses val="autoZero"/>
        <c:crossBetween val="between"/>
        <c:majorUnit val="5000"/>
      </c:valAx>
      <c:spPr>
        <a:solidFill>
          <a:srgbClr val="C0C0C0">
            <a:alpha val="100000"/>
          </a:srgbClr>
        </a:solidFill>
        <a:ln w="3175">
          <a:solidFill>
            <a:srgbClr val="808080">
              <a:alpha val="100000"/>
            </a:srgbClr>
          </a:solidFill>
          <a:prstDash val="solid"/>
        </a:ln>
        <a:effectLst/>
      </c:spPr>
    </c:plotArea>
    <c:plotVisOnly val="true"/>
    <c:dispBlanksAs val="gap"/>
    <c:showDLblsOverMax val="true"/>
  </c:chart>
  <c:spPr>
    <a:solidFill>
      <a:srgbClr val="FFFFFF"/>
    </a:solidFill>
    <a:ln w="3175" cap="flat" cmpd="sng" algn="ctr">
      <a:solidFill>
        <a:srgbClr val="000000">
          <a:alpha val="100000"/>
        </a:srgbClr>
      </a:solidFill>
      <a:prstDash val="solid"/>
      <a:round/>
    </a:ln>
    <a:effectLst/>
  </c:spPr>
  <c:txPr>
    <a:bodyPr/>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true"/>
  <c:lang val="zh-CN"/>
  <c:roundedCorners val="tru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6175307408237"/>
          <c:y val="0.0836765992486235"/>
          <c:w val="0.838246925917629"/>
          <c:h val="0.68072924707941"/>
        </c:manualLayout>
      </c:layout>
      <c:barChart>
        <c:barDir val="col"/>
        <c:grouping val="clustered"/>
        <c:varyColors val="true"/>
        <c:ser>
          <c:idx val="0"/>
          <c:order val="0"/>
          <c:spPr>
            <a:solidFill>
              <a:srgbClr val="9999FF"/>
            </a:solidFill>
            <a:ln w="12700">
              <a:solidFill>
                <a:srgbClr val="000000">
                  <a:alpha val="100000"/>
                </a:srgbClr>
              </a:solidFill>
              <a:prstDash val="solid"/>
            </a:ln>
            <a:effectLst/>
          </c:spPr>
          <c:invertIfNegative val="true"/>
          <c:dPt>
            <c:idx val="0"/>
            <c:invertIfNegative val="true"/>
            <c:bubble3D val="false"/>
            <c:spPr>
              <a:solidFill>
                <a:srgbClr val="9999FF"/>
              </a:solidFill>
              <a:ln w="12700">
                <a:solidFill>
                  <a:srgbClr val="000000">
                    <a:alpha val="100000"/>
                  </a:srgbClr>
                </a:solidFill>
                <a:prstDash val="solid"/>
              </a:ln>
              <a:effectLst/>
            </c:spPr>
          </c:dPt>
          <c:dPt>
            <c:idx val="1"/>
            <c:invertIfNegative val="true"/>
            <c:bubble3D val="false"/>
            <c:spPr>
              <a:solidFill>
                <a:srgbClr val="9999FF"/>
              </a:solidFill>
              <a:ln w="12700">
                <a:solidFill>
                  <a:srgbClr val="000000">
                    <a:alpha val="100000"/>
                  </a:srgbClr>
                </a:solidFill>
                <a:prstDash val="solid"/>
              </a:ln>
              <a:effectLst/>
            </c:spPr>
          </c:dPt>
          <c:dLbls>
            <c:delete val="true"/>
          </c:dLbls>
          <c:cat>
            <c:strRef>
              <c:f>Sheet3!$B$76:$C$76</c:f>
              <c:strCache>
                <c:ptCount val="2"/>
                <c:pt idx="0">
                  <c:v>2019年</c:v>
                </c:pt>
                <c:pt idx="1">
                  <c:v>2020年</c:v>
                </c:pt>
              </c:strCache>
            </c:strRef>
          </c:cat>
          <c:val>
            <c:numRef>
              <c:f>Sheet3!$B$77:$C$77</c:f>
              <c:numCache>
                <c:formatCode>General</c:formatCode>
                <c:ptCount val="2"/>
                <c:pt idx="0">
                  <c:v>2519.43</c:v>
                </c:pt>
                <c:pt idx="1">
                  <c:v>4222.96</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false"/>
          <c:showVal val="false"/>
          <c:showCatName val="false"/>
          <c:showSerName val="false"/>
          <c:showPercent val="false"/>
          <c:showBubbleSize val="false"/>
        </c:dLbls>
        <c:gapWidth val="150"/>
        <c:axId val="178178304"/>
        <c:axId val="178302976"/>
      </c:barChart>
      <c:catAx>
        <c:axId val="178178304"/>
        <c:scaling>
          <c:orientation val="minMax"/>
        </c:scaling>
        <c:delete val="true"/>
        <c:axPos val="b"/>
        <c:numFmt formatCode="General" sourceLinked="true"/>
        <c:majorTickMark val="in"/>
        <c:minorTickMark val="cross"/>
        <c:tickLblPos val="nextTo"/>
        <c:txPr>
          <a:bodyPr rot="-60000000" spcFirstLastPara="0" vertOverflow="ellipsis" vert="horz" wrap="square" anchor="ctr" anchorCtr="true"/>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78302976"/>
        <c:crosses val="autoZero"/>
        <c:auto val="true"/>
        <c:lblAlgn val="ctr"/>
        <c:lblOffset val="100"/>
        <c:noMultiLvlLbl val="true"/>
      </c:catAx>
      <c:valAx>
        <c:axId val="178302976"/>
        <c:scaling>
          <c:orientation val="minMax"/>
          <c:max val="5000"/>
          <c:min val="0"/>
        </c:scaling>
        <c:delete val="true"/>
        <c:axPos val="l"/>
        <c:majorGridlines>
          <c:spPr>
            <a:ln w="3175" cap="flat" cmpd="sng" algn="ctr">
              <a:solidFill>
                <a:srgbClr val="000000">
                  <a:alpha val="100000"/>
                </a:srgbClr>
              </a:solidFill>
              <a:prstDash val="solid"/>
              <a:round/>
            </a:ln>
            <a:effectLst/>
          </c:spPr>
        </c:majorGridlines>
        <c:numFmt formatCode="General" sourceLinked="true"/>
        <c:majorTickMark val="in"/>
        <c:minorTickMark val="cross"/>
        <c:tickLblPos val="nextTo"/>
        <c:txPr>
          <a:bodyPr rot="-60000000" spcFirstLastPara="0" vertOverflow="ellipsis" vert="horz" wrap="square" anchor="ctr" anchorCtr="true"/>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78178304"/>
        <c:crosses val="autoZero"/>
        <c:crossBetween val="between"/>
        <c:majorUnit val="1000"/>
      </c:valAx>
      <c:spPr>
        <a:solidFill>
          <a:srgbClr val="C0C0C0">
            <a:alpha val="100000"/>
          </a:srgbClr>
        </a:solidFill>
        <a:ln w="3175">
          <a:solidFill>
            <a:srgbClr val="808080">
              <a:alpha val="100000"/>
            </a:srgbClr>
          </a:solidFill>
          <a:prstDash val="solid"/>
        </a:ln>
        <a:effectLst/>
      </c:spPr>
    </c:plotArea>
    <c:plotVisOnly val="true"/>
    <c:dispBlanksAs val="gap"/>
    <c:showDLblsOverMax val="true"/>
  </c:chart>
  <c:spPr>
    <a:solidFill>
      <a:srgbClr val="FFFFFF"/>
    </a:solidFill>
    <a:ln w="3175" cap="flat" cmpd="sng" algn="ctr">
      <a:solidFill>
        <a:srgbClr val="000000">
          <a:alpha val="100000"/>
        </a:srgbClr>
      </a:solidFill>
      <a:prstDash val="solid"/>
      <a:round/>
    </a:ln>
    <a:effectLst/>
  </c:spPr>
  <c:txPr>
    <a:bodyPr/>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false"/>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54</Pages>
  <Words>21802</Words>
  <Characters>2342</Characters>
  <Lines>19</Lines>
  <Paragraphs>48</Paragraphs>
  <TotalTime>3</TotalTime>
  <ScaleCrop>false</ScaleCrop>
  <LinksUpToDate>false</LinksUpToDate>
  <CharactersWithSpaces>24096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2021-10-14T10:25:00Z</dcterms:created>
  <dc:creator>曹颖</dc:creator>
  <cp:lastModifiedBy>hht</cp:lastModifiedBy>
  <cp:lastPrinted>2021-07-29T11:56:00Z</cp:lastPrinted>
  <dcterms:modified xsi:type="dcterms:W3CDTF">2022-07-26T18:16:54Z</dcterms:modified>
  <dc:title>四川省***</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