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Times New Roman" w:hAnsi="Times New Roman" w:eastAsia="方正小标宋简体" w:cs="Times New Roman"/>
          <w:szCs w:val="21"/>
        </w:rPr>
      </w:pPr>
      <w:bookmarkStart w:id="0" w:name="_Toc15306267"/>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adjustRightInd w:val="0"/>
        <w:snapToGrid w:val="0"/>
        <w:spacing w:line="360" w:lineRule="auto"/>
        <w:jc w:val="center"/>
        <w:outlineLvl w:val="0"/>
        <w:rPr>
          <w:rFonts w:hint="default" w:ascii="Times New Roman" w:hAnsi="Times New Roman" w:eastAsia="方正小标宋_GBK" w:cs="Times New Roman"/>
          <w:sz w:val="72"/>
          <w:szCs w:val="72"/>
        </w:rPr>
      </w:pPr>
      <w:bookmarkStart w:id="1" w:name="_Toc15377425"/>
      <w:bookmarkStart w:id="2" w:name="_Toc15377193"/>
      <w:bookmarkStart w:id="3" w:name="_Toc15396475"/>
      <w:bookmarkStart w:id="4" w:name="_Toc15396597"/>
      <w:bookmarkStart w:id="5" w:name="_Toc15378441"/>
      <w:r>
        <w:rPr>
          <w:rFonts w:hint="default" w:ascii="Times New Roman" w:hAnsi="Times New Roman" w:eastAsia="方正小标宋_GBK" w:cs="Times New Roman"/>
          <w:sz w:val="72"/>
          <w:szCs w:val="72"/>
        </w:rPr>
        <w:t>2022年度</w:t>
      </w:r>
      <w:bookmarkEnd w:id="1"/>
      <w:bookmarkEnd w:id="2"/>
      <w:bookmarkEnd w:id="3"/>
      <w:bookmarkEnd w:id="4"/>
      <w:bookmarkEnd w:id="5"/>
    </w:p>
    <w:bookmarkEnd w:id="0"/>
    <w:p>
      <w:pPr>
        <w:adjustRightInd w:val="0"/>
        <w:snapToGrid w:val="0"/>
        <w:spacing w:line="360" w:lineRule="auto"/>
        <w:jc w:val="center"/>
        <w:outlineLvl w:val="0"/>
        <w:rPr>
          <w:rFonts w:hint="default" w:ascii="Times New Roman" w:hAnsi="Times New Roman" w:eastAsia="方正小标宋简体" w:cs="Times New Roman"/>
          <w:sz w:val="72"/>
          <w:szCs w:val="72"/>
        </w:rPr>
      </w:pPr>
      <w:bookmarkStart w:id="6" w:name="_Toc15306268"/>
      <w:bookmarkStart w:id="7" w:name="_Toc15378442"/>
      <w:bookmarkStart w:id="8" w:name="_Toc15377194"/>
      <w:bookmarkStart w:id="9" w:name="_Toc15396476"/>
      <w:bookmarkStart w:id="10" w:name="_Toc15377426"/>
      <w:bookmarkStart w:id="11" w:name="_Toc15396598"/>
      <w:r>
        <w:rPr>
          <w:rFonts w:hint="default" w:ascii="Times New Roman" w:hAnsi="Times New Roman" w:eastAsia="方正小标宋_GBK" w:cs="Times New Roman"/>
          <w:sz w:val="72"/>
          <w:szCs w:val="72"/>
          <w:lang w:eastAsia="zh-CN"/>
        </w:rPr>
        <w:t>攀枝花市西区生态环境监测站</w:t>
      </w:r>
      <w:r>
        <w:rPr>
          <w:rFonts w:hint="default" w:ascii="Times New Roman" w:hAnsi="Times New Roman" w:eastAsia="方正小标宋_GBK" w:cs="Times New Roman"/>
          <w:sz w:val="72"/>
          <w:szCs w:val="72"/>
        </w:rPr>
        <w:t>单位决算</w:t>
      </w:r>
      <w:bookmarkEnd w:id="6"/>
      <w:bookmarkEnd w:id="7"/>
      <w:bookmarkEnd w:id="8"/>
      <w:bookmarkEnd w:id="9"/>
      <w:bookmarkEnd w:id="10"/>
      <w:bookmarkEnd w:id="11"/>
    </w:p>
    <w:p>
      <w:pPr>
        <w:widowControl/>
        <w:jc w:val="center"/>
        <w:rPr>
          <w:rFonts w:hint="default" w:ascii="Times New Roman" w:hAnsi="Times New Roman" w:eastAsia="黑体" w:cs="Times New Roman"/>
          <w:sz w:val="48"/>
          <w:szCs w:val="48"/>
        </w:rPr>
        <w:sectPr>
          <w:headerReference r:id="rId3" w:type="default"/>
          <w:headerReference r:id="rId4" w:type="even"/>
          <w:footerReference r:id="rId5" w:type="even"/>
          <w:pgSz w:w="11906" w:h="16838"/>
          <w:pgMar w:top="1440" w:right="1800" w:bottom="1440" w:left="1800" w:header="851" w:footer="992" w:gutter="0"/>
          <w:pgNumType w:start="1"/>
          <w:cols w:space="425" w:num="1"/>
          <w:titlePg/>
          <w:docGrid w:type="lines" w:linePitch="312" w:charSpace="0"/>
        </w:sectPr>
      </w:pPr>
    </w:p>
    <w:p>
      <w:pPr>
        <w:widowControl/>
        <w:jc w:val="center"/>
        <w:rPr>
          <w:rFonts w:hint="default" w:ascii="Times New Roman" w:hAnsi="Times New Roman" w:eastAsia="黑体" w:cs="Times New Roman"/>
          <w:sz w:val="48"/>
          <w:szCs w:val="48"/>
        </w:rPr>
      </w:pPr>
      <w:r>
        <w:rPr>
          <w:rFonts w:hint="default" w:ascii="Times New Roman" w:hAnsi="Times New Roman" w:eastAsia="黑体" w:cs="Times New Roman"/>
          <w:sz w:val="48"/>
          <w:szCs w:val="48"/>
        </w:rPr>
        <w:t>目录</w:t>
      </w:r>
    </w:p>
    <w:p>
      <w:pPr>
        <w:widowControl/>
        <w:jc w:val="center"/>
        <w:rPr>
          <w:rFonts w:hint="default" w:ascii="Times New Roman" w:hAnsi="Times New Roman" w:eastAsia="黑体" w:cs="Times New Roman"/>
          <w:sz w:val="28"/>
          <w:szCs w:val="28"/>
        </w:rPr>
      </w:pPr>
    </w:p>
    <w:p>
      <w:pPr>
        <w:pStyle w:val="10"/>
        <w:rPr>
          <w:rFonts w:hint="default" w:ascii="Times New Roman" w:hAnsi="Times New Roman" w:eastAsia="仿宋" w:cs="Times New Roman"/>
          <w:lang w:val="en-US" w:eastAsia="zh-CN"/>
        </w:rPr>
      </w:pPr>
      <w:r>
        <w:rPr>
          <w:rFonts w:hint="default" w:ascii="Times New Roman" w:hAnsi="Times New Roman" w:cs="Times New Roman"/>
        </w:rPr>
        <w:t>公开时间：2023年9月12日</w:t>
      </w:r>
    </w:p>
    <w:p>
      <w:pPr>
        <w:rPr>
          <w:rFonts w:hint="default" w:ascii="Times New Roman" w:hAnsi="Times New Roman" w:cs="Times New Roman"/>
        </w:rPr>
      </w:pPr>
    </w:p>
    <w:p>
      <w:pPr>
        <w:pStyle w:val="10"/>
        <w:adjustRightInd w:val="0"/>
        <w:snapToGrid w:val="0"/>
        <w:spacing w:before="0" w:line="440" w:lineRule="exact"/>
        <w:jc w:val="left"/>
        <w:rPr>
          <w:rFonts w:hint="default" w:ascii="Times New Roman" w:hAnsi="Times New Roman" w:eastAsia="仿宋" w:cs="Times New Roman"/>
          <w:sz w:val="24"/>
          <w:szCs w:val="24"/>
          <w:lang w:val="en-US" w:eastAsia="zh-CN"/>
        </w:rPr>
      </w:pPr>
      <w:r>
        <w:rPr>
          <w:rFonts w:hint="default" w:ascii="Times New Roman" w:hAnsi="Times New Roman" w:cs="Times New Roman"/>
          <w:sz w:val="24"/>
        </w:rPr>
        <w:t>第一部分 单位概况</w:t>
      </w:r>
      <w:r>
        <w:rPr>
          <w:rFonts w:hint="default" w:ascii="Times New Roman" w:hAnsi="Times New Roman" w:cs="Times New Roman"/>
          <w:sz w:val="24"/>
          <w:szCs w:val="24"/>
        </w:rPr>
        <w:tab/>
      </w:r>
      <w:r>
        <w:rPr>
          <w:rFonts w:hint="default" w:ascii="Times New Roman" w:hAnsi="Times New Roman" w:cs="Times New Roman"/>
          <w:sz w:val="24"/>
          <w:szCs w:val="24"/>
          <w:lang w:val="en-US" w:eastAsia="zh-CN"/>
        </w:rPr>
        <w:t>1</w:t>
      </w:r>
    </w:p>
    <w:p>
      <w:pPr>
        <w:pStyle w:val="11"/>
        <w:adjustRightInd w:val="0"/>
        <w:snapToGrid w:val="0"/>
        <w:spacing w:line="440" w:lineRule="exact"/>
        <w:jc w:val="left"/>
        <w:rPr>
          <w:rFonts w:hint="default" w:ascii="Times New Roman" w:hAnsi="Times New Roman" w:eastAsia="宋体" w:cs="Times New Roman"/>
          <w:sz w:val="24"/>
          <w:lang w:val="en-US" w:eastAsia="zh-CN"/>
        </w:rPr>
      </w:pPr>
      <w:r>
        <w:rPr>
          <w:rFonts w:hint="default" w:ascii="Times New Roman" w:hAnsi="Times New Roman" w:cs="Times New Roman"/>
          <w:sz w:val="24"/>
        </w:rPr>
        <w:t>一、主要职责</w:t>
      </w:r>
      <w:r>
        <w:rPr>
          <w:rFonts w:hint="default" w:ascii="Times New Roman" w:hAnsi="Times New Roman" w:cs="Times New Roman"/>
          <w:sz w:val="24"/>
        </w:rPr>
        <w:tab/>
      </w:r>
      <w:r>
        <w:rPr>
          <w:rFonts w:hint="default" w:ascii="Times New Roman" w:hAnsi="Times New Roman" w:cs="Times New Roman"/>
          <w:sz w:val="24"/>
          <w:lang w:val="en-US" w:eastAsia="zh-CN"/>
        </w:rPr>
        <w:t>1</w:t>
      </w:r>
    </w:p>
    <w:p>
      <w:pPr>
        <w:pStyle w:val="11"/>
        <w:adjustRightInd w:val="0"/>
        <w:snapToGrid w:val="0"/>
        <w:spacing w:line="440" w:lineRule="exact"/>
        <w:jc w:val="left"/>
        <w:rPr>
          <w:rFonts w:hint="default" w:ascii="Times New Roman" w:hAnsi="Times New Roman" w:cs="Times New Roman"/>
        </w:rPr>
      </w:pPr>
      <w:r>
        <w:rPr>
          <w:rFonts w:hint="default" w:ascii="Times New Roman" w:hAnsi="Times New Roman" w:cs="Times New Roman"/>
          <w:sz w:val="24"/>
        </w:rPr>
        <w:t>二、机构设置</w:t>
      </w:r>
      <w:r>
        <w:rPr>
          <w:rFonts w:hint="default" w:ascii="Times New Roman" w:hAnsi="Times New Roman" w:cs="Times New Roman"/>
          <w:sz w:val="24"/>
        </w:rPr>
        <w:tab/>
      </w:r>
      <w:r>
        <w:rPr>
          <w:rFonts w:hint="default" w:ascii="Times New Roman" w:hAnsi="Times New Roman" w:cs="Times New Roman"/>
          <w:sz w:val="24"/>
          <w:lang w:val="en-US" w:eastAsia="zh-CN"/>
        </w:rPr>
        <w:t>1</w:t>
      </w:r>
    </w:p>
    <w:p>
      <w:pPr>
        <w:pStyle w:val="10"/>
        <w:adjustRightInd w:val="0"/>
        <w:snapToGrid w:val="0"/>
        <w:spacing w:before="0" w:line="440" w:lineRule="exact"/>
        <w:jc w:val="left"/>
        <w:rPr>
          <w:rFonts w:hint="default" w:ascii="Times New Roman" w:hAnsi="Times New Roman" w:cs="Times New Roman"/>
          <w:sz w:val="24"/>
          <w:szCs w:val="24"/>
        </w:rPr>
      </w:pPr>
      <w:r>
        <w:rPr>
          <w:rFonts w:hint="default" w:ascii="Times New Roman" w:hAnsi="Times New Roman" w:cs="Times New Roman"/>
          <w:sz w:val="24"/>
        </w:rPr>
        <w:t>第二部分 2022年度单位决算情况说明</w:t>
      </w:r>
      <w:r>
        <w:rPr>
          <w:rFonts w:hint="default" w:ascii="Times New Roman" w:hAnsi="Times New Roman" w:cs="Times New Roman"/>
          <w:sz w:val="24"/>
        </w:rPr>
        <w:tab/>
      </w:r>
      <w:r>
        <w:rPr>
          <w:rFonts w:hint="default" w:ascii="Times New Roman" w:hAnsi="Times New Roman" w:cs="Times New Roman"/>
          <w:sz w:val="24"/>
          <w:lang w:val="en-US" w:eastAsia="zh-CN"/>
        </w:rPr>
        <w:t>2</w:t>
      </w:r>
    </w:p>
    <w:p>
      <w:pPr>
        <w:pStyle w:val="11"/>
        <w:adjustRightInd w:val="0"/>
        <w:snapToGrid w:val="0"/>
        <w:spacing w:line="440" w:lineRule="exact"/>
        <w:jc w:val="left"/>
        <w:rPr>
          <w:rFonts w:hint="default" w:ascii="Times New Roman" w:hAnsi="Times New Roman" w:eastAsia="仿宋" w:cs="Times New Roman"/>
          <w:sz w:val="24"/>
        </w:rPr>
      </w:pPr>
      <w:r>
        <w:rPr>
          <w:rFonts w:hint="default" w:ascii="Times New Roman" w:hAnsi="Times New Roman" w:cs="Times New Roman"/>
          <w:sz w:val="24"/>
        </w:rPr>
        <w:t>一、收入支出决算总体情况说明</w:t>
      </w:r>
      <w:r>
        <w:rPr>
          <w:rFonts w:hint="default" w:ascii="Times New Roman" w:hAnsi="Times New Roman" w:cs="Times New Roman"/>
          <w:sz w:val="24"/>
        </w:rPr>
        <w:tab/>
      </w:r>
      <w:r>
        <w:rPr>
          <w:rFonts w:hint="default" w:ascii="Times New Roman" w:hAnsi="Times New Roman" w:cs="Times New Roman"/>
          <w:sz w:val="24"/>
          <w:lang w:val="en-US" w:eastAsia="zh-CN"/>
        </w:rPr>
        <w:t>2</w:t>
      </w:r>
    </w:p>
    <w:p>
      <w:pPr>
        <w:pStyle w:val="11"/>
        <w:adjustRightInd w:val="0"/>
        <w:snapToGrid w:val="0"/>
        <w:spacing w:line="440" w:lineRule="exact"/>
        <w:jc w:val="left"/>
        <w:rPr>
          <w:rFonts w:hint="default" w:ascii="Times New Roman" w:hAnsi="Times New Roman" w:eastAsia="仿宋" w:cs="Times New Roman"/>
          <w:sz w:val="24"/>
        </w:rPr>
      </w:pPr>
      <w:r>
        <w:rPr>
          <w:rFonts w:hint="default" w:ascii="Times New Roman" w:hAnsi="Times New Roman" w:cs="Times New Roman"/>
          <w:sz w:val="24"/>
        </w:rPr>
        <w:t>二、收入决算情况说明</w:t>
      </w:r>
      <w:r>
        <w:rPr>
          <w:rFonts w:hint="default" w:ascii="Times New Roman" w:hAnsi="Times New Roman" w:cs="Times New Roman"/>
          <w:sz w:val="24"/>
        </w:rPr>
        <w:tab/>
      </w:r>
      <w:r>
        <w:rPr>
          <w:rFonts w:hint="default" w:ascii="Times New Roman" w:hAnsi="Times New Roman" w:cs="Times New Roman"/>
          <w:sz w:val="24"/>
          <w:lang w:val="en-US" w:eastAsia="zh-CN"/>
        </w:rPr>
        <w:t>2</w:t>
      </w:r>
    </w:p>
    <w:p>
      <w:pPr>
        <w:pStyle w:val="11"/>
        <w:adjustRightInd w:val="0"/>
        <w:snapToGrid w:val="0"/>
        <w:spacing w:line="440" w:lineRule="exact"/>
        <w:jc w:val="left"/>
        <w:rPr>
          <w:rFonts w:hint="default" w:ascii="Times New Roman" w:hAnsi="Times New Roman" w:eastAsia="仿宋" w:cs="Times New Roman"/>
          <w:sz w:val="24"/>
        </w:rPr>
      </w:pPr>
      <w:r>
        <w:rPr>
          <w:rFonts w:hint="default" w:ascii="Times New Roman" w:hAnsi="Times New Roman" w:cs="Times New Roman"/>
          <w:sz w:val="24"/>
        </w:rPr>
        <w:t>三、支出决算情况说明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3</w:t>
      </w:r>
    </w:p>
    <w:p>
      <w:pPr>
        <w:pStyle w:val="11"/>
        <w:adjustRightInd w:val="0"/>
        <w:snapToGrid w:val="0"/>
        <w:spacing w:line="440" w:lineRule="exact"/>
        <w:jc w:val="left"/>
        <w:rPr>
          <w:rFonts w:hint="default" w:ascii="Times New Roman" w:hAnsi="Times New Roman" w:eastAsia="仿宋" w:cs="Times New Roman"/>
          <w:sz w:val="24"/>
        </w:rPr>
      </w:pPr>
      <w:r>
        <w:rPr>
          <w:rFonts w:hint="default" w:ascii="Times New Roman" w:hAnsi="Times New Roman" w:cs="Times New Roman"/>
          <w:sz w:val="24"/>
        </w:rPr>
        <w:t>四、财政拨款收入支出决算总体情况说明</w:t>
      </w:r>
      <w:r>
        <w:rPr>
          <w:rFonts w:hint="default" w:ascii="Times New Roman" w:hAnsi="Times New Roman" w:cs="Times New Roman"/>
          <w:sz w:val="24"/>
        </w:rPr>
        <w:tab/>
      </w:r>
      <w:r>
        <w:rPr>
          <w:rFonts w:hint="default" w:ascii="Times New Roman" w:hAnsi="Times New Roman" w:cs="Times New Roman"/>
          <w:sz w:val="24"/>
          <w:lang w:val="en-US" w:eastAsia="zh-CN"/>
        </w:rPr>
        <w:t>4</w:t>
      </w:r>
    </w:p>
    <w:p>
      <w:pPr>
        <w:pStyle w:val="11"/>
        <w:adjustRightInd w:val="0"/>
        <w:snapToGrid w:val="0"/>
        <w:spacing w:line="440" w:lineRule="exact"/>
        <w:jc w:val="left"/>
        <w:rPr>
          <w:rFonts w:hint="default" w:ascii="Times New Roman" w:hAnsi="Times New Roman" w:eastAsia="仿宋" w:cs="Times New Roman"/>
          <w:sz w:val="24"/>
        </w:rPr>
      </w:pPr>
      <w:r>
        <w:rPr>
          <w:rFonts w:hint="default" w:ascii="Times New Roman" w:hAnsi="Times New Roman" w:cs="Times New Roman"/>
          <w:sz w:val="24"/>
        </w:rPr>
        <w:t>五、一般公共预算财政拨款支出决算情况说明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6</w:t>
      </w:r>
    </w:p>
    <w:p>
      <w:pPr>
        <w:pStyle w:val="11"/>
        <w:adjustRightInd w:val="0"/>
        <w:snapToGrid w:val="0"/>
        <w:spacing w:line="440" w:lineRule="exact"/>
        <w:jc w:val="left"/>
        <w:rPr>
          <w:rFonts w:hint="default" w:ascii="Times New Roman" w:hAnsi="Times New Roman" w:eastAsia="仿宋" w:cs="Times New Roman"/>
          <w:sz w:val="24"/>
        </w:rPr>
      </w:pPr>
      <w:r>
        <w:rPr>
          <w:rFonts w:hint="default" w:ascii="Times New Roman" w:hAnsi="Times New Roman" w:cs="Times New Roman"/>
          <w:sz w:val="24"/>
        </w:rPr>
        <w:t>六、一般公共预算财政拨款基本支出决算情况说明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6</w:t>
      </w:r>
    </w:p>
    <w:p>
      <w:pPr>
        <w:pStyle w:val="11"/>
        <w:adjustRightInd w:val="0"/>
        <w:snapToGrid w:val="0"/>
        <w:spacing w:line="440" w:lineRule="exact"/>
        <w:jc w:val="left"/>
        <w:rPr>
          <w:rFonts w:hint="default" w:ascii="Times New Roman" w:hAnsi="Times New Roman" w:eastAsia="仿宋" w:cs="Times New Roman"/>
          <w:sz w:val="24"/>
        </w:rPr>
      </w:pPr>
      <w:r>
        <w:rPr>
          <w:rFonts w:hint="default" w:ascii="Times New Roman" w:hAnsi="Times New Roman" w:cs="Times New Roman"/>
          <w:sz w:val="24"/>
        </w:rPr>
        <w:t>七、财政拨款“三公”经费支出决算情况说明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8</w:t>
      </w:r>
    </w:p>
    <w:p>
      <w:pPr>
        <w:pStyle w:val="11"/>
        <w:adjustRightInd w:val="0"/>
        <w:snapToGrid w:val="0"/>
        <w:spacing w:line="440" w:lineRule="exact"/>
        <w:jc w:val="left"/>
        <w:rPr>
          <w:rFonts w:hint="default" w:ascii="Times New Roman" w:hAnsi="Times New Roman" w:eastAsia="仿宋" w:cs="Times New Roman"/>
          <w:sz w:val="24"/>
        </w:rPr>
      </w:pPr>
      <w:r>
        <w:rPr>
          <w:rFonts w:hint="default" w:ascii="Times New Roman" w:hAnsi="Times New Roman" w:cs="Times New Roman"/>
          <w:sz w:val="24"/>
        </w:rPr>
        <w:t>八、政府性基金预算支出决算情况说明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8</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九、国有资本经营预算支出决算情况说明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8</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十、其他重要事项的情况说明</w:t>
      </w:r>
      <w:r>
        <w:rPr>
          <w:rFonts w:hint="default" w:ascii="Times New Roman" w:hAnsi="Times New Roman" w:cs="Times New Roman"/>
          <w:sz w:val="24"/>
        </w:rPr>
        <w:tab/>
      </w:r>
      <w:r>
        <w:rPr>
          <w:rFonts w:hint="default" w:ascii="Times New Roman" w:hAnsi="Times New Roman" w:cs="Times New Roman"/>
          <w:sz w:val="24"/>
          <w:lang w:val="en-US" w:eastAsia="zh-CN"/>
        </w:rPr>
        <w:t>8</w:t>
      </w:r>
    </w:p>
    <w:p>
      <w:pPr>
        <w:pStyle w:val="10"/>
        <w:adjustRightInd w:val="0"/>
        <w:snapToGrid w:val="0"/>
        <w:spacing w:before="0" w:line="440" w:lineRule="exact"/>
        <w:jc w:val="left"/>
        <w:rPr>
          <w:rFonts w:hint="default" w:ascii="Times New Roman" w:hAnsi="Times New Roman" w:cs="Times New Roman"/>
          <w:sz w:val="24"/>
          <w:szCs w:val="24"/>
          <w:lang w:val="en-US"/>
        </w:rPr>
      </w:pPr>
      <w:r>
        <w:rPr>
          <w:rFonts w:hint="default" w:ascii="Times New Roman" w:hAnsi="Times New Roman" w:cs="Times New Roman"/>
          <w:sz w:val="24"/>
        </w:rPr>
        <w:t>第三部分 名词解释</w:t>
      </w:r>
      <w:r>
        <w:rPr>
          <w:rFonts w:hint="default" w:ascii="Times New Roman" w:hAnsi="Times New Roman" w:cs="Times New Roman"/>
          <w:sz w:val="24"/>
        </w:rPr>
        <w:tab/>
      </w:r>
      <w:r>
        <w:rPr>
          <w:rFonts w:hint="default" w:ascii="Times New Roman" w:hAnsi="Times New Roman" w:cs="Times New Roman"/>
          <w:sz w:val="24"/>
          <w:lang w:val="en-US" w:eastAsia="zh-CN"/>
        </w:rPr>
        <w:t>10</w:t>
      </w:r>
    </w:p>
    <w:p>
      <w:pPr>
        <w:pStyle w:val="10"/>
        <w:adjustRightInd w:val="0"/>
        <w:snapToGrid w:val="0"/>
        <w:spacing w:before="0" w:line="440" w:lineRule="exact"/>
        <w:jc w:val="left"/>
        <w:rPr>
          <w:rFonts w:hint="default" w:ascii="Times New Roman" w:hAnsi="Times New Roman" w:cs="Times New Roman"/>
          <w:sz w:val="24"/>
          <w:szCs w:val="24"/>
          <w:lang w:val="en-US"/>
        </w:rPr>
      </w:pPr>
      <w:r>
        <w:rPr>
          <w:rFonts w:hint="default" w:ascii="Times New Roman" w:hAnsi="Times New Roman" w:cs="Times New Roman"/>
          <w:sz w:val="24"/>
        </w:rPr>
        <w:t>第四部分 附件</w:t>
      </w:r>
      <w:r>
        <w:rPr>
          <w:rFonts w:hint="default" w:ascii="Times New Roman" w:hAnsi="Times New Roman" w:cs="Times New Roman"/>
          <w:sz w:val="24"/>
        </w:rPr>
        <w:tab/>
      </w:r>
      <w:r>
        <w:rPr>
          <w:rFonts w:hint="default" w:ascii="Times New Roman" w:hAnsi="Times New Roman" w:cs="Times New Roman"/>
          <w:sz w:val="24"/>
          <w:lang w:val="en-US" w:eastAsia="zh-CN"/>
        </w:rPr>
        <w:t>12</w:t>
      </w:r>
    </w:p>
    <w:p>
      <w:pPr>
        <w:pStyle w:val="10"/>
        <w:adjustRightInd w:val="0"/>
        <w:snapToGrid w:val="0"/>
        <w:spacing w:before="0" w:line="440" w:lineRule="exact"/>
        <w:jc w:val="left"/>
        <w:rPr>
          <w:rFonts w:hint="default" w:ascii="Times New Roman" w:hAnsi="Times New Roman" w:cs="Times New Roman"/>
          <w:sz w:val="24"/>
          <w:szCs w:val="24"/>
          <w:lang w:val="en-US"/>
        </w:rPr>
      </w:pPr>
      <w:r>
        <w:rPr>
          <w:rFonts w:hint="default" w:ascii="Times New Roman" w:hAnsi="Times New Roman" w:cs="Times New Roman"/>
          <w:sz w:val="24"/>
        </w:rPr>
        <w:t>第五部分 附表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一、收入支出决算总表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二、收入决算表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三、支出决算表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四、财政拨款收入支出决算总表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五、财政拨款支出决算明细表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六、一般公共预算财政拨款支出决算表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七、一般公共预算财政拨款支出决算明细表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八、一般公共预算财政拨款基本支出决算明细表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九、一般公共预算财政拨款项目支出决算表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sectPr>
          <w:footerReference r:id="rId7" w:type="first"/>
          <w:footerReference r:id="rId6" w:type="default"/>
          <w:pgSz w:w="11906" w:h="16838"/>
          <w:pgMar w:top="1440" w:right="1800" w:bottom="1440" w:left="1800" w:header="851" w:footer="992" w:gutter="0"/>
          <w:pgNumType w:start="1"/>
          <w:cols w:space="425" w:num="1"/>
          <w:titlePg/>
          <w:docGrid w:type="lines" w:linePitch="312" w:charSpace="0"/>
        </w:sectPr>
      </w:pP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十、政府性基金预算财政拨款收入支出决算表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十一、国有资本经营预算财政拨款收入支出决算表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十二、国有资本经营预算财政拨款支出决算表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十三、财政拨款“三公”经费支出决算表</w:t>
      </w:r>
      <w:r>
        <w:rPr>
          <w:rFonts w:hint="default" w:ascii="Times New Roman" w:hAnsi="Times New Roman" w:cs="Times New Roman"/>
          <w:sz w:val="24"/>
        </w:rPr>
        <w:tab/>
      </w:r>
      <w:r>
        <w:rPr>
          <w:rFonts w:hint="default" w:ascii="Times New Roman" w:hAnsi="Times New Roman" w:cs="Times New Roman"/>
          <w:sz w:val="24"/>
          <w:lang w:val="en-US" w:eastAsia="zh-CN"/>
        </w:rPr>
        <w:t>13</w:t>
      </w:r>
    </w:p>
    <w:p>
      <w:pPr>
        <w:pStyle w:val="3"/>
        <w:jc w:val="center"/>
        <w:rPr>
          <w:rFonts w:hint="default" w:ascii="Times New Roman" w:hAnsi="Times New Roman" w:eastAsia="黑体" w:cs="Times New Roman"/>
          <w:b w:val="0"/>
        </w:rPr>
        <w:sectPr>
          <w:footerReference r:id="rId9" w:type="first"/>
          <w:footerReference r:id="rId8" w:type="default"/>
          <w:pgSz w:w="11906" w:h="16838"/>
          <w:pgMar w:top="1440" w:right="1800" w:bottom="1440" w:left="1800" w:header="851" w:footer="992" w:gutter="0"/>
          <w:pgNumType w:start="1"/>
          <w:cols w:space="425" w:num="1"/>
          <w:titlePg/>
          <w:docGrid w:type="lines" w:linePitch="312" w:charSpace="0"/>
        </w:sectPr>
      </w:pPr>
      <w:bookmarkStart w:id="12" w:name="_Toc15377196"/>
      <w:bookmarkStart w:id="13" w:name="_Toc15396599"/>
    </w:p>
    <w:p>
      <w:pPr>
        <w:pStyle w:val="3"/>
        <w:jc w:val="center"/>
        <w:rPr>
          <w:rStyle w:val="24"/>
          <w:rFonts w:hint="default" w:ascii="Times New Roman" w:hAnsi="Times New Roman" w:eastAsia="黑体" w:cs="Times New Roman"/>
          <w:b/>
          <w:bCs w:val="0"/>
        </w:rPr>
      </w:pPr>
      <w:r>
        <w:rPr>
          <w:rFonts w:hint="default" w:ascii="Times New Roman" w:hAnsi="Times New Roman" w:eastAsia="黑体" w:cs="Times New Roman"/>
          <w:b w:val="0"/>
        </w:rPr>
        <w:t>第一部分 单位</w:t>
      </w:r>
      <w:r>
        <w:rPr>
          <w:rStyle w:val="24"/>
          <w:rFonts w:hint="default" w:ascii="Times New Roman" w:hAnsi="Times New Roman" w:eastAsia="黑体" w:cs="Times New Roman"/>
          <w:b w:val="0"/>
          <w:bCs w:val="0"/>
        </w:rPr>
        <w:t>概况</w:t>
      </w:r>
      <w:bookmarkEnd w:id="12"/>
      <w:bookmarkEnd w:id="13"/>
    </w:p>
    <w:p>
      <w:pPr>
        <w:widowControl/>
        <w:jc w:val="left"/>
        <w:rPr>
          <w:rFonts w:hint="default" w:ascii="Times New Roman" w:hAnsi="Times New Roman" w:eastAsia="黑体" w:cs="Times New Roman"/>
          <w:sz w:val="32"/>
          <w:szCs w:val="32"/>
        </w:rPr>
      </w:pPr>
    </w:p>
    <w:p>
      <w:pPr>
        <w:pStyle w:val="4"/>
        <w:numPr>
          <w:ilvl w:val="0"/>
          <w:numId w:val="0"/>
        </w:numPr>
        <w:ind w:firstLine="640" w:firstLineChars="200"/>
        <w:rPr>
          <w:rStyle w:val="25"/>
          <w:rFonts w:hint="default" w:ascii="Times New Roman" w:hAnsi="Times New Roman" w:eastAsia="仿宋_GB2312" w:cs="Times New Roman"/>
          <w:b w:val="0"/>
          <w:bCs w:val="0"/>
        </w:rPr>
      </w:pPr>
      <w:bookmarkStart w:id="14" w:name="_Toc15396600"/>
      <w:bookmarkStart w:id="15" w:name="_Toc15377197"/>
      <w:r>
        <w:rPr>
          <w:rStyle w:val="25"/>
          <w:rFonts w:hint="default" w:ascii="Times New Roman" w:hAnsi="Times New Roman" w:eastAsia="黑体" w:cs="Times New Roman"/>
          <w:b w:val="0"/>
          <w:bCs w:val="0"/>
          <w:lang w:eastAsia="zh-CN"/>
        </w:rPr>
        <w:t>一、</w:t>
      </w:r>
      <w:r>
        <w:rPr>
          <w:rStyle w:val="25"/>
          <w:rFonts w:hint="default" w:ascii="Times New Roman" w:hAnsi="Times New Roman" w:eastAsia="黑体" w:cs="Times New Roman"/>
          <w:b w:val="0"/>
          <w:bCs w:val="0"/>
        </w:rPr>
        <w:t>主要职责</w:t>
      </w:r>
    </w:p>
    <w:p>
      <w:pPr>
        <w:spacing w:line="600" w:lineRule="exact"/>
        <w:ind w:firstLine="640" w:firstLineChars="200"/>
        <w:outlineLvl w:val="1"/>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负责辖区范围内的执法监测、监督性监测和突发生态环境事件应急监测等工作。</w:t>
      </w:r>
    </w:p>
    <w:p>
      <w:pPr>
        <w:pStyle w:val="4"/>
        <w:ind w:firstLine="640" w:firstLineChars="200"/>
        <w:rPr>
          <w:rFonts w:hint="default" w:ascii="Times New Roman" w:hAnsi="Times New Roman" w:eastAsia="仿宋_GB2312" w:cs="Times New Roman"/>
          <w:b w:val="0"/>
        </w:rPr>
      </w:pPr>
      <w:r>
        <w:rPr>
          <w:rFonts w:hint="default" w:ascii="Times New Roman" w:hAnsi="Times New Roman" w:eastAsia="黑体" w:cs="Times New Roman"/>
          <w:b w:val="0"/>
          <w:lang w:eastAsia="zh-CN"/>
        </w:rPr>
        <w:t>二、</w:t>
      </w:r>
      <w:r>
        <w:rPr>
          <w:rFonts w:hint="default" w:ascii="Times New Roman" w:hAnsi="Times New Roman" w:eastAsia="黑体" w:cs="Times New Roman"/>
          <w:b w:val="0"/>
        </w:rPr>
        <w:t>机构设置</w:t>
      </w:r>
    </w:p>
    <w:bookmarkEnd w:id="14"/>
    <w:bookmarkEnd w:id="15"/>
    <w:p>
      <w:pPr>
        <w:spacing w:line="600" w:lineRule="exact"/>
        <w:ind w:firstLine="640" w:firstLineChars="200"/>
        <w:outlineLvl w:val="1"/>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攀枝花市西区环境监测站是2008年经西区编制委员会批准成立，为西区环境保护局所属的副科级事业单位。根据</w:t>
      </w:r>
      <w:r>
        <w:rPr>
          <w:rFonts w:hint="default" w:ascii="Times New Roman" w:hAnsi="Times New Roman" w:eastAsia="仿宋_GB2312" w:cs="Times New Roman"/>
          <w:color w:val="auto"/>
          <w:sz w:val="32"/>
          <w:szCs w:val="32"/>
          <w:lang w:val="en-US" w:eastAsia="zh-CN"/>
        </w:rPr>
        <w:t>2019年12月21日</w:t>
      </w:r>
      <w:r>
        <w:rPr>
          <w:rFonts w:hint="default" w:ascii="Times New Roman" w:hAnsi="Times New Roman" w:eastAsia="仿宋_GB2312" w:cs="Times New Roman"/>
          <w:color w:val="auto"/>
          <w:sz w:val="32"/>
          <w:szCs w:val="32"/>
          <w:lang w:eastAsia="zh-CN"/>
        </w:rPr>
        <w:t>中共攀枝花市委机构编制委员会下达《</w:t>
      </w:r>
      <w:r>
        <w:rPr>
          <w:rFonts w:hint="default" w:ascii="Times New Roman" w:hAnsi="Times New Roman" w:eastAsia="仿宋_GB2312" w:cs="Times New Roman"/>
          <w:color w:val="auto"/>
          <w:sz w:val="32"/>
          <w:szCs w:val="32"/>
          <w:lang w:val="en-US" w:eastAsia="zh-CN"/>
        </w:rPr>
        <w:t>关于调整生态环境监测监察执法机构有关机构编制事项的批复</w:t>
      </w:r>
      <w:r>
        <w:rPr>
          <w:rFonts w:hint="default" w:ascii="Times New Roman" w:hAnsi="Times New Roman" w:eastAsia="仿宋_GB2312" w:cs="Times New Roman"/>
          <w:color w:val="auto"/>
          <w:sz w:val="32"/>
          <w:szCs w:val="32"/>
          <w:lang w:eastAsia="zh-CN"/>
        </w:rPr>
        <w:t>》文件，西区生态环境监测站整体划转为攀枝花市生态环境局所属公益一类事业单位，核定事业编制</w:t>
      </w:r>
      <w:r>
        <w:rPr>
          <w:rFonts w:hint="default"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lang w:eastAsia="zh-CN"/>
        </w:rPr>
        <w:t>名，党政领导职数</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名（正职按正科级干部管理）。</w:t>
      </w:r>
    </w:p>
    <w:p>
      <w:pPr>
        <w:pStyle w:val="2"/>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pStyle w:val="3"/>
        <w:ind w:right="440"/>
        <w:jc w:val="center"/>
        <w:rPr>
          <w:rStyle w:val="24"/>
          <w:rFonts w:hint="default" w:ascii="Times New Roman" w:hAnsi="Times New Roman" w:eastAsia="黑体" w:cs="Times New Roman"/>
          <w:b w:val="0"/>
          <w:bCs/>
        </w:rPr>
      </w:pPr>
      <w:bookmarkStart w:id="16" w:name="_Toc15377204"/>
      <w:bookmarkStart w:id="17" w:name="_Toc15396602"/>
      <w:r>
        <w:rPr>
          <w:rFonts w:hint="default" w:ascii="Times New Roman" w:hAnsi="Times New Roman" w:eastAsia="黑体" w:cs="Times New Roman"/>
          <w:b w:val="0"/>
        </w:rPr>
        <w:t>第二部分 2022年度</w:t>
      </w:r>
      <w:r>
        <w:rPr>
          <w:rStyle w:val="24"/>
          <w:rFonts w:hint="default" w:ascii="Times New Roman" w:hAnsi="Times New Roman" w:eastAsia="黑体" w:cs="Times New Roman"/>
          <w:b w:val="0"/>
          <w:bCs/>
        </w:rPr>
        <w:t>单位决算情况说明</w:t>
      </w:r>
      <w:bookmarkEnd w:id="16"/>
      <w:bookmarkEnd w:id="17"/>
    </w:p>
    <w:p>
      <w:pPr>
        <w:rPr>
          <w:rFonts w:hint="default" w:ascii="Times New Roman" w:hAnsi="Times New Roman" w:cs="Times New Roman"/>
        </w:rPr>
      </w:pPr>
    </w:p>
    <w:p>
      <w:pPr>
        <w:pStyle w:val="23"/>
        <w:numPr>
          <w:ilvl w:val="0"/>
          <w:numId w:val="0"/>
        </w:numPr>
        <w:spacing w:line="600" w:lineRule="exact"/>
        <w:ind w:left="640" w:leftChars="0"/>
        <w:outlineLvl w:val="1"/>
        <w:rPr>
          <w:rStyle w:val="25"/>
          <w:rFonts w:hint="default" w:ascii="Times New Roman" w:hAnsi="Times New Roman" w:eastAsia="黑体" w:cs="Times New Roman"/>
          <w:b w:val="0"/>
        </w:rPr>
      </w:pPr>
      <w:bookmarkStart w:id="18" w:name="_Toc15396603"/>
      <w:bookmarkStart w:id="19" w:name="_Toc15377205"/>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收</w:t>
      </w:r>
      <w:r>
        <w:rPr>
          <w:rStyle w:val="25"/>
          <w:rFonts w:hint="default" w:ascii="Times New Roman" w:hAnsi="Times New Roman" w:eastAsia="黑体" w:cs="Times New Roman"/>
          <w:b w:val="0"/>
        </w:rPr>
        <w:t>入支出决算总体情况说明</w:t>
      </w:r>
      <w:bookmarkEnd w:id="18"/>
      <w:bookmarkEnd w:id="19"/>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2022年度收、支总计</w:t>
      </w:r>
      <w:r>
        <w:rPr>
          <w:rFonts w:hint="default" w:ascii="Times New Roman" w:hAnsi="Times New Roman" w:eastAsia="仿宋_GB2312" w:cs="Times New Roman"/>
          <w:sz w:val="32"/>
          <w:szCs w:val="32"/>
          <w:lang w:val="en-US" w:eastAsia="zh-CN"/>
        </w:rPr>
        <w:t>228.59</w:t>
      </w:r>
      <w:r>
        <w:rPr>
          <w:rFonts w:hint="default" w:ascii="Times New Roman" w:hAnsi="Times New Roman" w:eastAsia="仿宋_GB2312" w:cs="Times New Roman"/>
          <w:sz w:val="32"/>
          <w:szCs w:val="32"/>
        </w:rPr>
        <w:t>元。与2021年相比，收、支总计增加</w:t>
      </w:r>
      <w:r>
        <w:rPr>
          <w:rFonts w:hint="default" w:ascii="Times New Roman" w:hAnsi="Times New Roman" w:eastAsia="仿宋_GB2312" w:cs="Times New Roman"/>
          <w:sz w:val="32"/>
          <w:szCs w:val="32"/>
          <w:lang w:val="en-US" w:eastAsia="zh-CN"/>
        </w:rPr>
        <w:t>0.43</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人员经费增加</w:t>
      </w:r>
      <w:r>
        <w:rPr>
          <w:rFonts w:hint="default" w:ascii="Times New Roman" w:hAnsi="Times New Roman" w:eastAsia="仿宋_GB2312" w:cs="Times New Roman"/>
          <w:sz w:val="32"/>
          <w:szCs w:val="32"/>
        </w:rPr>
        <w:t>。</w:t>
      </w:r>
    </w:p>
    <w:p>
      <w:pPr>
        <w:pStyle w:val="2"/>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eastAsia="zh-CN"/>
        </w:rPr>
        <w:drawing>
          <wp:inline distT="0" distB="0" distL="114300" distR="114300">
            <wp:extent cx="4851400" cy="2724785"/>
            <wp:effectExtent l="4445" t="4445" r="20955" b="1397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 w:cs="Times New Roman"/>
          <w:sz w:val="32"/>
          <w:szCs w:val="32"/>
        </w:rPr>
        <w:t>（图1：收、支决算总计变动情况图</w:t>
      </w:r>
      <w:r>
        <w:rPr>
          <w:rFonts w:hint="default" w:ascii="Times New Roman" w:hAnsi="Times New Roman" w:eastAsia="仿宋" w:cs="Times New Roman"/>
          <w:sz w:val="32"/>
          <w:szCs w:val="32"/>
          <w:lang w:val="en-US" w:eastAsia="zh-CN"/>
        </w:rPr>
        <w:t xml:space="preserve">  单位：万元</w:t>
      </w:r>
      <w:r>
        <w:rPr>
          <w:rFonts w:hint="default" w:ascii="Times New Roman" w:hAnsi="Times New Roman" w:eastAsia="仿宋" w:cs="Times New Roman"/>
          <w:sz w:val="32"/>
          <w:szCs w:val="32"/>
        </w:rPr>
        <w:t>）</w:t>
      </w:r>
    </w:p>
    <w:p>
      <w:pPr>
        <w:pStyle w:val="23"/>
        <w:numPr>
          <w:ilvl w:val="0"/>
          <w:numId w:val="0"/>
        </w:numPr>
        <w:spacing w:line="600" w:lineRule="exact"/>
        <w:ind w:left="640" w:leftChars="0"/>
        <w:outlineLvl w:val="1"/>
        <w:rPr>
          <w:rStyle w:val="25"/>
          <w:rFonts w:hint="default" w:ascii="Times New Roman" w:hAnsi="Times New Roman" w:eastAsia="黑体" w:cs="Times New Roman"/>
          <w:b w:val="0"/>
        </w:rPr>
      </w:pPr>
      <w:bookmarkStart w:id="20" w:name="_Toc15396604"/>
      <w:bookmarkStart w:id="21" w:name="_Toc15377206"/>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收</w:t>
      </w:r>
      <w:r>
        <w:rPr>
          <w:rStyle w:val="25"/>
          <w:rFonts w:hint="default" w:ascii="Times New Roman" w:hAnsi="Times New Roman" w:eastAsia="黑体" w:cs="Times New Roman"/>
          <w:b w:val="0"/>
        </w:rPr>
        <w:t>入决算情况说明</w:t>
      </w:r>
      <w:bookmarkEnd w:id="20"/>
      <w:bookmarkEnd w:id="21"/>
    </w:p>
    <w:p>
      <w:pPr>
        <w:spacing w:line="600" w:lineRule="exact"/>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2022年本年收入合计</w:t>
      </w:r>
      <w:r>
        <w:rPr>
          <w:rFonts w:hint="default" w:ascii="Times New Roman" w:hAnsi="Times New Roman" w:eastAsia="仿宋_GB2312" w:cs="Times New Roman"/>
          <w:sz w:val="32"/>
          <w:szCs w:val="32"/>
          <w:lang w:val="en-US" w:eastAsia="zh-CN"/>
        </w:rPr>
        <w:t>224.00</w:t>
      </w:r>
      <w:r>
        <w:rPr>
          <w:rFonts w:hint="default" w:ascii="Times New Roman" w:hAnsi="Times New Roman" w:eastAsia="仿宋_GB2312" w:cs="Times New Roman"/>
          <w:sz w:val="32"/>
          <w:szCs w:val="32"/>
        </w:rPr>
        <w:t>万元，其中：一般公共预算财政拨款收入</w:t>
      </w:r>
      <w:r>
        <w:rPr>
          <w:rFonts w:hint="default" w:ascii="Times New Roman" w:hAnsi="Times New Roman" w:eastAsia="仿宋_GB2312" w:cs="Times New Roman"/>
          <w:sz w:val="32"/>
          <w:szCs w:val="32"/>
          <w:lang w:val="en-US" w:eastAsia="zh-CN"/>
        </w:rPr>
        <w:t>174.11</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77.73</w:t>
      </w:r>
      <w:r>
        <w:rPr>
          <w:rFonts w:hint="default" w:ascii="Times New Roman" w:hAnsi="Times New Roman" w:eastAsia="仿宋_GB2312" w:cs="Times New Roman"/>
          <w:sz w:val="32"/>
          <w:szCs w:val="32"/>
        </w:rPr>
        <w:t>%；政府性基金预算财政拨款收入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%；国有资本经营预算财政拨款收入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%；上级补助收入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%；事业收入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%；经营收入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%；附属单位上缴收入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%；其他收入</w:t>
      </w:r>
      <w:r>
        <w:rPr>
          <w:rFonts w:hint="default" w:ascii="Times New Roman" w:hAnsi="Times New Roman" w:eastAsia="仿宋_GB2312" w:cs="Times New Roman"/>
          <w:sz w:val="32"/>
          <w:szCs w:val="32"/>
          <w:lang w:val="en-US" w:eastAsia="zh-CN"/>
        </w:rPr>
        <w:t>49.90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22.27</w:t>
      </w:r>
      <w:r>
        <w:rPr>
          <w:rFonts w:hint="default" w:ascii="Times New Roman" w:hAnsi="Times New Roman" w:eastAsia="仿宋_GB2312" w:cs="Times New Roman"/>
          <w:sz w:val="32"/>
          <w:szCs w:val="32"/>
        </w:rPr>
        <w:t>%。</w:t>
      </w:r>
    </w:p>
    <w:p>
      <w:pPr>
        <w:pStyle w:val="2"/>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eastAsia="zh-CN"/>
        </w:rPr>
        <w:drawing>
          <wp:inline distT="0" distB="0" distL="114300" distR="114300">
            <wp:extent cx="4556125" cy="2534285"/>
            <wp:effectExtent l="4445" t="4445" r="11430" b="1397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（图2：收入决算结构图</w:t>
      </w:r>
      <w:r>
        <w:rPr>
          <w:rFonts w:hint="default" w:ascii="Times New Roman" w:hAnsi="Times New Roman" w:eastAsia="仿宋" w:cs="Times New Roman"/>
          <w:sz w:val="32"/>
          <w:szCs w:val="32"/>
          <w:lang w:val="en-US" w:eastAsia="zh-CN"/>
        </w:rPr>
        <w:t xml:space="preserve">  单位：万元</w:t>
      </w:r>
      <w:r>
        <w:rPr>
          <w:rFonts w:hint="default" w:ascii="Times New Roman" w:hAnsi="Times New Roman" w:eastAsia="仿宋" w:cs="Times New Roman"/>
          <w:sz w:val="32"/>
          <w:szCs w:val="32"/>
        </w:rPr>
        <w:t>）</w:t>
      </w:r>
    </w:p>
    <w:p>
      <w:pPr>
        <w:pStyle w:val="23"/>
        <w:numPr>
          <w:ilvl w:val="0"/>
          <w:numId w:val="0"/>
        </w:numPr>
        <w:spacing w:line="600" w:lineRule="exact"/>
        <w:ind w:firstLine="640" w:firstLineChars="200"/>
        <w:outlineLvl w:val="1"/>
        <w:rPr>
          <w:rStyle w:val="25"/>
          <w:rFonts w:hint="default" w:ascii="Times New Roman" w:hAnsi="Times New Roman" w:eastAsia="黑体" w:cs="Times New Roman"/>
          <w:b w:val="0"/>
        </w:rPr>
      </w:pPr>
      <w:bookmarkStart w:id="22" w:name="_Toc15396605"/>
      <w:bookmarkStart w:id="23" w:name="_Toc15377207"/>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支</w:t>
      </w:r>
      <w:r>
        <w:rPr>
          <w:rStyle w:val="25"/>
          <w:rFonts w:hint="default" w:ascii="Times New Roman" w:hAnsi="Times New Roman" w:eastAsia="黑体" w:cs="Times New Roman"/>
          <w:b w:val="0"/>
        </w:rPr>
        <w:t>出决算情况说明</w:t>
      </w:r>
      <w:bookmarkEnd w:id="22"/>
      <w:bookmarkEnd w:id="23"/>
    </w:p>
    <w:p>
      <w:pPr>
        <w:spacing w:line="60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2022年本年支出合计</w:t>
      </w:r>
      <w:r>
        <w:rPr>
          <w:rFonts w:hint="default" w:ascii="Times New Roman" w:hAnsi="Times New Roman" w:eastAsia="仿宋_GB2312" w:cs="Times New Roman"/>
          <w:sz w:val="32"/>
          <w:szCs w:val="32"/>
          <w:lang w:val="en-US" w:eastAsia="zh-CN"/>
        </w:rPr>
        <w:t>228.59</w:t>
      </w:r>
      <w:r>
        <w:rPr>
          <w:rFonts w:hint="default"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lang w:val="en-US" w:eastAsia="zh-CN"/>
        </w:rPr>
        <w:t>210.59</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92.13</w:t>
      </w:r>
      <w:r>
        <w:rPr>
          <w:rFonts w:hint="default" w:ascii="Times New Roman" w:hAnsi="Times New Roman" w:eastAsia="仿宋_GB2312" w:cs="Times New Roman"/>
          <w:sz w:val="32"/>
          <w:szCs w:val="32"/>
        </w:rPr>
        <w:t>%；项目支出</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7.87</w:t>
      </w:r>
      <w:r>
        <w:rPr>
          <w:rFonts w:hint="default" w:ascii="Times New Roman" w:hAnsi="Times New Roman" w:eastAsia="仿宋_GB2312" w:cs="Times New Roman"/>
          <w:sz w:val="32"/>
          <w:szCs w:val="32"/>
        </w:rPr>
        <w:t>%；上缴上级支出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%；经营支出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%；对附属单位补助支出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spacing w:line="600" w:lineRule="exact"/>
        <w:ind w:firstLine="640"/>
        <w:rPr>
          <w:rFonts w:hint="default" w:ascii="Times New Roman" w:hAnsi="Times New Roman" w:eastAsia="仿宋" w:cs="Times New Roman"/>
          <w:sz w:val="32"/>
          <w:szCs w:val="32"/>
          <w:shd w:val="pct10" w:color="auto" w:fill="FFFFFF"/>
        </w:rPr>
      </w:pPr>
      <w:r>
        <w:rPr>
          <w:rFonts w:hint="default" w:ascii="Times New Roman" w:hAnsi="Times New Roman" w:eastAsia="仿宋_GB2312" w:cs="Times New Roman"/>
          <w:sz w:val="32"/>
          <w:szCs w:val="32"/>
          <w:lang w:eastAsia="zh-CN"/>
        </w:rPr>
        <w:drawing>
          <wp:anchor distT="0" distB="0" distL="114300" distR="114300" simplePos="0" relativeHeight="251658240" behindDoc="0" locked="0" layoutInCell="1" allowOverlap="1">
            <wp:simplePos x="0" y="0"/>
            <wp:positionH relativeFrom="column">
              <wp:posOffset>394970</wp:posOffset>
            </wp:positionH>
            <wp:positionV relativeFrom="paragraph">
              <wp:posOffset>15875</wp:posOffset>
            </wp:positionV>
            <wp:extent cx="4594860" cy="2562860"/>
            <wp:effectExtent l="4445" t="4445" r="10795" b="2349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pStyle w:val="2"/>
        <w:rPr>
          <w:rFonts w:hint="default" w:ascii="Times New Roman" w:hAnsi="Times New Roman" w:eastAsia="仿宋" w:cs="Times New Roman"/>
          <w:sz w:val="32"/>
          <w:szCs w:val="32"/>
          <w:shd w:val="pct10" w:color="auto" w:fill="FFFFFF"/>
        </w:rPr>
      </w:pPr>
    </w:p>
    <w:p>
      <w:pPr>
        <w:pStyle w:val="2"/>
        <w:rPr>
          <w:rFonts w:hint="default" w:ascii="Times New Roman" w:hAnsi="Times New Roman" w:eastAsia="仿宋" w:cs="Times New Roman"/>
          <w:sz w:val="32"/>
          <w:szCs w:val="32"/>
          <w:shd w:val="pct10" w:color="auto" w:fill="FFFFFF"/>
        </w:rPr>
      </w:pPr>
    </w:p>
    <w:p>
      <w:pPr>
        <w:pStyle w:val="2"/>
        <w:rPr>
          <w:rFonts w:hint="default" w:ascii="Times New Roman" w:hAnsi="Times New Roman" w:eastAsia="仿宋" w:cs="Times New Roman"/>
          <w:sz w:val="32"/>
          <w:szCs w:val="32"/>
          <w:shd w:val="pct10" w:color="auto" w:fill="FFFFFF"/>
        </w:rPr>
      </w:pPr>
    </w:p>
    <w:p>
      <w:pPr>
        <w:pStyle w:val="2"/>
        <w:rPr>
          <w:rFonts w:hint="default" w:ascii="Times New Roman" w:hAnsi="Times New Roman" w:eastAsia="仿宋" w:cs="Times New Roman"/>
          <w:sz w:val="32"/>
          <w:szCs w:val="32"/>
          <w:shd w:val="pct10" w:color="auto" w:fill="FFFFFF"/>
        </w:rPr>
      </w:pPr>
    </w:p>
    <w:p>
      <w:pPr>
        <w:pStyle w:val="2"/>
        <w:rPr>
          <w:rFonts w:hint="default" w:ascii="Times New Roman" w:hAnsi="Times New Roman" w:eastAsia="仿宋" w:cs="Times New Roman"/>
          <w:sz w:val="32"/>
          <w:szCs w:val="32"/>
          <w:shd w:val="pct10" w:color="auto" w:fill="FFFFFF"/>
        </w:rPr>
      </w:pPr>
    </w:p>
    <w:p>
      <w:pPr>
        <w:spacing w:line="600" w:lineRule="exact"/>
        <w:ind w:firstLine="1280" w:firstLineChars="400"/>
        <w:rPr>
          <w:rFonts w:hint="default" w:ascii="Times New Roman" w:hAnsi="Times New Roman" w:eastAsia="仿宋_GB2312" w:cs="Times New Roman"/>
          <w:sz w:val="32"/>
          <w:szCs w:val="32"/>
          <w:lang w:eastAsia="zh-CN"/>
        </w:rPr>
      </w:pPr>
      <w:r>
        <w:rPr>
          <w:rFonts w:hint="default" w:ascii="Times New Roman" w:hAnsi="Times New Roman" w:eastAsia="仿宋" w:cs="Times New Roman"/>
          <w:sz w:val="32"/>
          <w:szCs w:val="32"/>
        </w:rPr>
        <w:t>（图3：支出决算结构图</w:t>
      </w:r>
      <w:r>
        <w:rPr>
          <w:rFonts w:hint="default" w:ascii="Times New Roman" w:hAnsi="Times New Roman" w:eastAsia="仿宋" w:cs="Times New Roman"/>
          <w:sz w:val="32"/>
          <w:szCs w:val="32"/>
          <w:lang w:val="en-US" w:eastAsia="zh-CN"/>
        </w:rPr>
        <w:t xml:space="preserve">  单位：万元</w:t>
      </w:r>
      <w:r>
        <w:rPr>
          <w:rFonts w:hint="default" w:ascii="Times New Roman" w:hAnsi="Times New Roman" w:eastAsia="仿宋" w:cs="Times New Roman"/>
          <w:sz w:val="32"/>
          <w:szCs w:val="32"/>
        </w:rPr>
        <w:t>）</w:t>
      </w:r>
    </w:p>
    <w:p>
      <w:pPr>
        <w:spacing w:line="600" w:lineRule="exact"/>
        <w:ind w:firstLine="640" w:firstLineChars="200"/>
        <w:outlineLvl w:val="1"/>
        <w:rPr>
          <w:rStyle w:val="25"/>
          <w:rFonts w:hint="default" w:ascii="Times New Roman" w:hAnsi="Times New Roman" w:eastAsia="黑体" w:cs="Times New Roman"/>
          <w:b w:val="0"/>
        </w:rPr>
      </w:pPr>
      <w:bookmarkStart w:id="24" w:name="_Toc15396606"/>
      <w:bookmarkStart w:id="25" w:name="_Toc15377208"/>
      <w:r>
        <w:rPr>
          <w:rFonts w:hint="default" w:ascii="Times New Roman" w:hAnsi="Times New Roman" w:eastAsia="黑体" w:cs="Times New Roman"/>
          <w:sz w:val="32"/>
          <w:szCs w:val="32"/>
        </w:rPr>
        <w:t>四、财</w:t>
      </w:r>
      <w:r>
        <w:rPr>
          <w:rStyle w:val="25"/>
          <w:rFonts w:hint="default" w:ascii="Times New Roman" w:hAnsi="Times New Roman" w:eastAsia="黑体" w:cs="Times New Roman"/>
          <w:b w:val="0"/>
        </w:rPr>
        <w:t>政拨款收入支出决算总体情况说明</w:t>
      </w:r>
      <w:bookmarkEnd w:id="24"/>
      <w:bookmarkEnd w:id="25"/>
    </w:p>
    <w:p>
      <w:pPr>
        <w:spacing w:line="600" w:lineRule="exact"/>
        <w:ind w:firstLine="640"/>
        <w:rPr>
          <w:rFonts w:hint="default" w:ascii="Times New Roman" w:hAnsi="Times New Roman" w:eastAsia="仿宋" w:cs="Times New Roman"/>
          <w:sz w:val="32"/>
          <w:szCs w:val="32"/>
          <w:lang w:eastAsia="zh-CN"/>
        </w:rPr>
      </w:pPr>
      <w:r>
        <w:rPr>
          <w:rFonts w:hint="default" w:ascii="Times New Roman" w:hAnsi="Times New Roman" w:eastAsia="仿宋_GB2312" w:cs="Times New Roman"/>
          <w:sz w:val="32"/>
          <w:szCs w:val="32"/>
        </w:rPr>
        <w:t>2022年财政拨款</w:t>
      </w:r>
      <w:r>
        <w:rPr>
          <w:rFonts w:hint="default" w:ascii="Times New Roman" w:hAnsi="Times New Roman" w:eastAsia="仿宋_GB2312" w:cs="Times New Roman"/>
          <w:sz w:val="32"/>
          <w:szCs w:val="32"/>
          <w:lang w:eastAsia="zh-CN"/>
        </w:rPr>
        <w:t>收入总计</w:t>
      </w:r>
      <w:r>
        <w:rPr>
          <w:rFonts w:hint="default" w:ascii="Times New Roman" w:hAnsi="Times New Roman" w:eastAsia="仿宋_GB2312" w:cs="Times New Roman"/>
          <w:sz w:val="32"/>
          <w:szCs w:val="32"/>
          <w:lang w:val="en-US" w:eastAsia="zh-CN"/>
        </w:rPr>
        <w:t>178.70万元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rPr>
        <w:t>总计</w:t>
      </w:r>
      <w:r>
        <w:rPr>
          <w:rFonts w:hint="default" w:ascii="Times New Roman" w:hAnsi="Times New Roman" w:eastAsia="仿宋_GB2312" w:cs="Times New Roman"/>
          <w:sz w:val="32"/>
          <w:szCs w:val="32"/>
          <w:lang w:val="en-US" w:eastAsia="zh-CN"/>
        </w:rPr>
        <w:t>178.70</w:t>
      </w:r>
      <w:r>
        <w:rPr>
          <w:rFonts w:hint="default" w:ascii="Times New Roman" w:hAnsi="Times New Roman" w:eastAsia="仿宋_GB2312" w:cs="Times New Roman"/>
          <w:sz w:val="32"/>
          <w:szCs w:val="32"/>
        </w:rPr>
        <w:t>万元。与2021年相比，财政拨款</w:t>
      </w:r>
      <w:r>
        <w:rPr>
          <w:rFonts w:hint="default" w:ascii="Times New Roman" w:hAnsi="Times New Roman" w:eastAsia="仿宋_GB2312" w:cs="Times New Roman"/>
          <w:sz w:val="32"/>
          <w:szCs w:val="32"/>
          <w:lang w:eastAsia="zh-CN"/>
        </w:rPr>
        <w:t>收入增加</w:t>
      </w:r>
      <w:r>
        <w:rPr>
          <w:rFonts w:hint="default" w:ascii="Times New Roman" w:hAnsi="Times New Roman" w:eastAsia="仿宋_GB2312" w:cs="Times New Roman"/>
          <w:sz w:val="32"/>
          <w:szCs w:val="32"/>
          <w:lang w:val="en-US" w:eastAsia="zh-CN"/>
        </w:rPr>
        <w:t>44.99万</w:t>
      </w:r>
      <w:r>
        <w:rPr>
          <w:rFonts w:hint="default" w:ascii="Times New Roman" w:hAnsi="Times New Roman" w:eastAsia="仿宋_GB2312" w:cs="Times New Roman"/>
          <w:sz w:val="32"/>
          <w:szCs w:val="32"/>
          <w:lang w:val="en-US" w:eastAsia="zh-CN"/>
        </w:rPr>
        <w:t>元，</w:t>
      </w:r>
      <w:r>
        <w:rPr>
          <w:rFonts w:hint="default" w:ascii="Times New Roman" w:hAnsi="Times New Roman" w:eastAsia="仿宋_GB2312" w:cs="Times New Roman"/>
          <w:sz w:val="32"/>
          <w:szCs w:val="32"/>
          <w:lang w:val="en-US" w:eastAsia="zh-CN"/>
        </w:rPr>
        <w:t>增长33.65%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w:t>
      </w:r>
      <w:r>
        <w:rPr>
          <w:rFonts w:hint="default" w:ascii="Times New Roman" w:hAnsi="Times New Roman" w:eastAsia="仿宋_GB2312" w:cs="Times New Roman"/>
          <w:sz w:val="32"/>
          <w:szCs w:val="32"/>
          <w:lang w:eastAsia="zh-CN"/>
        </w:rPr>
        <w:t>出</w:t>
      </w:r>
      <w:r>
        <w:rPr>
          <w:rFonts w:hint="default" w:ascii="Times New Roman" w:hAnsi="Times New Roman" w:eastAsia="仿宋_GB2312" w:cs="Times New Roman"/>
          <w:sz w:val="32"/>
          <w:szCs w:val="32"/>
        </w:rPr>
        <w:t>增加</w:t>
      </w:r>
      <w:r>
        <w:rPr>
          <w:rFonts w:hint="default" w:ascii="Times New Roman" w:hAnsi="Times New Roman" w:eastAsia="仿宋_GB2312" w:cs="Times New Roman"/>
          <w:sz w:val="32"/>
          <w:szCs w:val="32"/>
          <w:lang w:val="en-US" w:eastAsia="zh-CN"/>
        </w:rPr>
        <w:t>44.99</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33.65</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人员新增。</w:t>
      </w: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b/>
          <w:sz w:val="32"/>
          <w:szCs w:val="32"/>
          <w:lang w:eastAsia="zh-CN"/>
        </w:rPr>
        <w:drawing>
          <wp:anchor distT="0" distB="0" distL="114300" distR="114300" simplePos="0" relativeHeight="251659264" behindDoc="0" locked="0" layoutInCell="1" allowOverlap="1">
            <wp:simplePos x="0" y="0"/>
            <wp:positionH relativeFrom="column">
              <wp:posOffset>509270</wp:posOffset>
            </wp:positionH>
            <wp:positionV relativeFrom="paragraph">
              <wp:posOffset>50165</wp:posOffset>
            </wp:positionV>
            <wp:extent cx="4441825" cy="2533650"/>
            <wp:effectExtent l="4445" t="4445" r="11430" b="1460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pStyle w:val="2"/>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（图4：财政拨款收、支决算总计变动情况</w:t>
      </w:r>
      <w:r>
        <w:rPr>
          <w:rFonts w:hint="default" w:ascii="Times New Roman" w:hAnsi="Times New Roman" w:eastAsia="仿宋" w:cs="Times New Roman"/>
          <w:sz w:val="32"/>
          <w:szCs w:val="32"/>
          <w:lang w:val="en-US" w:eastAsia="zh-CN"/>
        </w:rPr>
        <w:t xml:space="preserve">  单位：万元</w:t>
      </w:r>
      <w:r>
        <w:rPr>
          <w:rFonts w:hint="default" w:ascii="Times New Roman" w:hAnsi="Times New Roman" w:eastAsia="仿宋" w:cs="Times New Roman"/>
          <w:sz w:val="32"/>
          <w:szCs w:val="32"/>
        </w:rPr>
        <w:t>）</w:t>
      </w:r>
    </w:p>
    <w:p>
      <w:pPr>
        <w:spacing w:line="600" w:lineRule="exact"/>
        <w:ind w:firstLine="640" w:firstLineChars="200"/>
        <w:outlineLvl w:val="1"/>
        <w:rPr>
          <w:rStyle w:val="25"/>
          <w:rFonts w:hint="default" w:ascii="Times New Roman" w:hAnsi="Times New Roman" w:eastAsia="黑体" w:cs="Times New Roman"/>
          <w:b w:val="0"/>
        </w:rPr>
      </w:pPr>
      <w:bookmarkStart w:id="26" w:name="_Toc15396607"/>
      <w:bookmarkStart w:id="27" w:name="_Toc15377209"/>
      <w:r>
        <w:rPr>
          <w:rFonts w:hint="default" w:ascii="Times New Roman" w:hAnsi="Times New Roman" w:eastAsia="黑体" w:cs="Times New Roman"/>
          <w:sz w:val="32"/>
          <w:szCs w:val="32"/>
        </w:rPr>
        <w:t>五、</w:t>
      </w:r>
      <w:r>
        <w:rPr>
          <w:rFonts w:hint="default" w:ascii="Times New Roman" w:hAnsi="Times New Roman" w:eastAsia="黑体" w:cs="Times New Roman"/>
          <w:b/>
          <w:sz w:val="32"/>
          <w:szCs w:val="32"/>
        </w:rPr>
        <w:t>一</w:t>
      </w:r>
      <w:r>
        <w:rPr>
          <w:rStyle w:val="25"/>
          <w:rFonts w:hint="default" w:ascii="Times New Roman" w:hAnsi="Times New Roman" w:eastAsia="黑体" w:cs="Times New Roman"/>
          <w:b w:val="0"/>
        </w:rPr>
        <w:t>般公共预算财政拨款支出决算情况说明</w:t>
      </w:r>
      <w:bookmarkEnd w:id="26"/>
      <w:bookmarkEnd w:id="27"/>
    </w:p>
    <w:p>
      <w:pPr>
        <w:spacing w:line="600" w:lineRule="exact"/>
        <w:ind w:firstLine="643" w:firstLineChars="200"/>
        <w:outlineLvl w:val="2"/>
        <w:rPr>
          <w:rFonts w:hint="default" w:ascii="Times New Roman" w:hAnsi="Times New Roman" w:eastAsia="仿宋_GB2312" w:cs="Times New Roman"/>
          <w:b/>
          <w:sz w:val="32"/>
          <w:szCs w:val="32"/>
        </w:rPr>
      </w:pPr>
      <w:bookmarkStart w:id="28" w:name="_Toc15377210"/>
      <w:r>
        <w:rPr>
          <w:rFonts w:hint="default" w:ascii="Times New Roman" w:hAnsi="Times New Roman" w:eastAsia="仿宋_GB2312" w:cs="Times New Roman"/>
          <w:b/>
          <w:sz w:val="32"/>
          <w:szCs w:val="32"/>
        </w:rPr>
        <w:t>（一）一般公共预算财政拨款支出决算总体情况</w:t>
      </w:r>
      <w:bookmarkEnd w:id="28"/>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2022年一般公共预算财政拨款支出</w:t>
      </w:r>
      <w:r>
        <w:rPr>
          <w:rFonts w:hint="default" w:ascii="Times New Roman" w:hAnsi="Times New Roman" w:eastAsia="仿宋_GB2312" w:cs="Times New Roman"/>
          <w:sz w:val="32"/>
          <w:szCs w:val="32"/>
          <w:lang w:val="en-US" w:eastAsia="zh-CN"/>
        </w:rPr>
        <w:t>178.70</w:t>
      </w:r>
      <w:r>
        <w:rPr>
          <w:rFonts w:hint="default" w:ascii="Times New Roman" w:hAnsi="Times New Roman" w:eastAsia="仿宋_GB2312" w:cs="Times New Roman"/>
          <w:sz w:val="32"/>
          <w:szCs w:val="32"/>
        </w:rPr>
        <w:t>万元，占本年支出合计的</w:t>
      </w:r>
      <w:r>
        <w:rPr>
          <w:rFonts w:hint="default" w:ascii="Times New Roman" w:hAnsi="Times New Roman" w:eastAsia="仿宋_GB2312" w:cs="Times New Roman"/>
          <w:sz w:val="32"/>
          <w:szCs w:val="32"/>
          <w:lang w:val="en-US" w:eastAsia="zh-CN"/>
        </w:rPr>
        <w:t>78.18</w:t>
      </w:r>
      <w:r>
        <w:rPr>
          <w:rFonts w:hint="default" w:ascii="Times New Roman" w:hAnsi="Times New Roman" w:eastAsia="仿宋_GB2312" w:cs="Times New Roman"/>
          <w:sz w:val="32"/>
          <w:szCs w:val="32"/>
        </w:rPr>
        <w:t>%。与2021年相比，一般公共预算财政拨款支出增加</w:t>
      </w:r>
      <w:r>
        <w:rPr>
          <w:rFonts w:hint="default" w:ascii="Times New Roman" w:hAnsi="Times New Roman" w:eastAsia="仿宋_GB2312" w:cs="Times New Roman"/>
          <w:sz w:val="32"/>
          <w:szCs w:val="32"/>
          <w:lang w:val="en-US" w:eastAsia="zh-CN"/>
        </w:rPr>
        <w:t>44.99</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33.65</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人员新增。</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drawing>
          <wp:anchor distT="0" distB="0" distL="114300" distR="114300" simplePos="0" relativeHeight="251660288" behindDoc="0" locked="0" layoutInCell="1" allowOverlap="1">
            <wp:simplePos x="0" y="0"/>
            <wp:positionH relativeFrom="column">
              <wp:posOffset>252095</wp:posOffset>
            </wp:positionH>
            <wp:positionV relativeFrom="paragraph">
              <wp:posOffset>57150</wp:posOffset>
            </wp:positionV>
            <wp:extent cx="4851400" cy="2381250"/>
            <wp:effectExtent l="4445" t="4445" r="20955" b="1460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（图5：一般公共预算财政拨款支出决算变动情况</w:t>
      </w:r>
      <w:r>
        <w:rPr>
          <w:rFonts w:hint="default" w:ascii="Times New Roman" w:hAnsi="Times New Roman" w:eastAsia="仿宋" w:cs="Times New Roman"/>
          <w:sz w:val="32"/>
          <w:szCs w:val="32"/>
          <w:lang w:val="en-US" w:eastAsia="zh-CN"/>
        </w:rPr>
        <w:t xml:space="preserve">  单位：万元</w:t>
      </w:r>
      <w:r>
        <w:rPr>
          <w:rFonts w:hint="default" w:ascii="Times New Roman" w:hAnsi="Times New Roman" w:eastAsia="仿宋" w:cs="Times New Roman"/>
          <w:sz w:val="32"/>
          <w:szCs w:val="32"/>
        </w:rPr>
        <w:t>）</w:t>
      </w:r>
      <w:bookmarkStart w:id="29" w:name="_Toc15377211"/>
    </w:p>
    <w:p>
      <w:pPr>
        <w:spacing w:line="600" w:lineRule="exact"/>
        <w:ind w:firstLine="643"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（二）一般公共预算财政拨款支出决算结构情况</w:t>
      </w:r>
      <w:bookmarkEnd w:id="29"/>
    </w:p>
    <w:p>
      <w:pPr>
        <w:spacing w:line="60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2022年一般公共预算财政拨款支出</w:t>
      </w:r>
      <w:r>
        <w:rPr>
          <w:rFonts w:hint="default" w:ascii="Times New Roman" w:hAnsi="Times New Roman" w:eastAsia="仿宋_GB2312" w:cs="Times New Roman"/>
          <w:sz w:val="32"/>
          <w:szCs w:val="32"/>
          <w:lang w:val="en-US" w:eastAsia="zh-CN"/>
        </w:rPr>
        <w:t>178.70</w:t>
      </w:r>
      <w:r>
        <w:rPr>
          <w:rFonts w:hint="default" w:ascii="Times New Roman" w:hAnsi="Times New Roman" w:eastAsia="仿宋_GB2312" w:cs="Times New Roman"/>
          <w:sz w:val="32"/>
          <w:szCs w:val="32"/>
        </w:rPr>
        <w:t>万元，主要用于以下方面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sz w:val="32"/>
          <w:szCs w:val="32"/>
        </w:rPr>
        <w:t>社会保障和就业</w:t>
      </w:r>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lang w:val="en-US" w:eastAsia="zh-CN"/>
        </w:rPr>
        <w:t>13.07</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7.32</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eastAsia="zh-CN"/>
        </w:rPr>
        <w:t>节能环保</w:t>
      </w:r>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lang w:val="en-US" w:eastAsia="zh-CN"/>
        </w:rPr>
        <w:t>150.34</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84.12</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住房保障支出</w:t>
      </w:r>
      <w:r>
        <w:rPr>
          <w:rFonts w:hint="default" w:ascii="Times New Roman" w:hAnsi="Times New Roman" w:eastAsia="仿宋_GB2312" w:cs="Times New Roman"/>
          <w:sz w:val="32"/>
          <w:szCs w:val="32"/>
          <w:lang w:val="en-US" w:eastAsia="zh-CN"/>
        </w:rPr>
        <w:t>15.29</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8.56</w:t>
      </w:r>
      <w:r>
        <w:rPr>
          <w:rFonts w:hint="default" w:ascii="Times New Roman" w:hAnsi="Times New Roman" w:eastAsia="仿宋_GB2312" w:cs="Times New Roman"/>
          <w:sz w:val="32"/>
          <w:szCs w:val="32"/>
        </w:rPr>
        <w:t>%。</w:t>
      </w: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drawing>
          <wp:anchor distT="0" distB="0" distL="114300" distR="114300" simplePos="0" relativeHeight="251661312" behindDoc="0" locked="0" layoutInCell="1" allowOverlap="1">
            <wp:simplePos x="0" y="0"/>
            <wp:positionH relativeFrom="column">
              <wp:posOffset>367030</wp:posOffset>
            </wp:positionH>
            <wp:positionV relativeFrom="paragraph">
              <wp:posOffset>40640</wp:posOffset>
            </wp:positionV>
            <wp:extent cx="4471035" cy="2229485"/>
            <wp:effectExtent l="5080" t="4445" r="19685" b="1397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（图6：一般公共预算财政拨款支出决算结构</w:t>
      </w:r>
      <w:r>
        <w:rPr>
          <w:rFonts w:hint="default" w:ascii="Times New Roman" w:hAnsi="Times New Roman" w:eastAsia="仿宋" w:cs="Times New Roman"/>
          <w:sz w:val="32"/>
          <w:szCs w:val="32"/>
          <w:lang w:val="en-US" w:eastAsia="zh-CN"/>
        </w:rPr>
        <w:t xml:space="preserve">  单位：万元</w:t>
      </w:r>
      <w:r>
        <w:rPr>
          <w:rFonts w:hint="default" w:ascii="Times New Roman" w:hAnsi="Times New Roman" w:eastAsia="仿宋" w:cs="Times New Roman"/>
          <w:sz w:val="32"/>
          <w:szCs w:val="32"/>
        </w:rPr>
        <w:t>）</w:t>
      </w:r>
    </w:p>
    <w:p>
      <w:pPr>
        <w:spacing w:line="600" w:lineRule="exact"/>
        <w:ind w:firstLine="643" w:firstLineChars="200"/>
        <w:outlineLvl w:val="2"/>
        <w:rPr>
          <w:rFonts w:hint="default" w:ascii="Times New Roman" w:hAnsi="Times New Roman" w:eastAsia="仿宋" w:cs="Times New Roman"/>
          <w:b/>
          <w:sz w:val="32"/>
          <w:szCs w:val="32"/>
        </w:rPr>
      </w:pPr>
      <w:bookmarkStart w:id="30" w:name="_Toc15377212"/>
      <w:r>
        <w:rPr>
          <w:rFonts w:hint="default" w:ascii="Times New Roman" w:hAnsi="Times New Roman" w:eastAsia="仿宋" w:cs="Times New Roman"/>
          <w:b/>
          <w:sz w:val="32"/>
          <w:szCs w:val="32"/>
        </w:rPr>
        <w:t>（三）一般公共预算财政拨款支出决算具体情况</w:t>
      </w:r>
      <w:bookmarkEnd w:id="30"/>
    </w:p>
    <w:p>
      <w:pPr>
        <w:spacing w:line="600" w:lineRule="exact"/>
        <w:ind w:firstLine="643" w:firstLineChars="200"/>
        <w:outlineLvl w:val="2"/>
        <w:rPr>
          <w:rFonts w:hint="default" w:ascii="Times New Roman" w:hAnsi="Times New Roman" w:eastAsia="仿宋_GB2312" w:cs="Times New Roman"/>
          <w:sz w:val="32"/>
          <w:szCs w:val="32"/>
        </w:rPr>
      </w:pPr>
      <w:bookmarkStart w:id="31" w:name="_Toc15377213"/>
      <w:bookmarkStart w:id="32" w:name="_Toc15378460"/>
      <w:bookmarkStart w:id="33" w:name="_Toc15377444"/>
      <w:r>
        <w:rPr>
          <w:rFonts w:hint="default" w:ascii="Times New Roman" w:hAnsi="Times New Roman" w:eastAsia="仿宋_GB2312" w:cs="Times New Roman"/>
          <w:b/>
          <w:sz w:val="32"/>
          <w:szCs w:val="32"/>
        </w:rPr>
        <w:t>2022年一般公共预算支出决算数为</w:t>
      </w:r>
      <w:r>
        <w:rPr>
          <w:rFonts w:hint="default" w:ascii="Times New Roman" w:hAnsi="Times New Roman" w:eastAsia="仿宋_GB2312" w:cs="Times New Roman"/>
          <w:b/>
          <w:sz w:val="32"/>
          <w:szCs w:val="32"/>
          <w:lang w:val="en-US" w:eastAsia="zh-CN"/>
        </w:rPr>
        <w:t>178.70万元</w:t>
      </w:r>
      <w:r>
        <w:rPr>
          <w:rFonts w:hint="default" w:ascii="Times New Roman" w:hAnsi="Times New Roman" w:eastAsia="仿宋_GB2312" w:cs="Times New Roman"/>
          <w:sz w:val="32"/>
          <w:szCs w:val="32"/>
        </w:rPr>
        <w:t>，</w:t>
      </w:r>
      <w:r>
        <w:rPr>
          <w:rStyle w:val="14"/>
          <w:rFonts w:hint="default" w:ascii="Times New Roman" w:hAnsi="Times New Roman" w:eastAsia="仿宋_GB2312" w:cs="Times New Roman"/>
          <w:bCs/>
          <w:sz w:val="32"/>
          <w:szCs w:val="32"/>
        </w:rPr>
        <w:t>完成预算</w:t>
      </w:r>
      <w:r>
        <w:rPr>
          <w:rStyle w:val="14"/>
          <w:rFonts w:hint="default" w:ascii="Times New Roman" w:hAnsi="Times New Roman" w:eastAsia="仿宋_GB2312" w:cs="Times New Roman"/>
          <w:bCs/>
          <w:sz w:val="32"/>
          <w:szCs w:val="32"/>
          <w:lang w:val="en-US" w:eastAsia="zh-CN"/>
        </w:rPr>
        <w:t>100</w:t>
      </w:r>
      <w:r>
        <w:rPr>
          <w:rStyle w:val="14"/>
          <w:rFonts w:hint="default" w:ascii="Times New Roman" w:hAnsi="Times New Roman" w:eastAsia="仿宋_GB2312" w:cs="Times New Roman"/>
          <w:bCs/>
          <w:sz w:val="32"/>
          <w:szCs w:val="32"/>
        </w:rPr>
        <w:t>%。其中：</w:t>
      </w:r>
      <w:bookmarkEnd w:id="31"/>
      <w:bookmarkEnd w:id="32"/>
      <w:bookmarkEnd w:id="33"/>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1.机关事业单位基本养老保险缴费支出208（类）05（款）05（项）: 支出决算为13.</w:t>
      </w:r>
      <w:r>
        <w:rPr>
          <w:rFonts w:hint="default" w:ascii="Times New Roman" w:hAnsi="Times New Roman" w:eastAsia="仿宋_GB2312" w:cs="Times New Roman"/>
          <w:sz w:val="32"/>
          <w:szCs w:val="32"/>
          <w:lang w:val="en-US" w:eastAsia="zh-CN"/>
        </w:rPr>
        <w:t>07</w:t>
      </w:r>
      <w:r>
        <w:rPr>
          <w:rFonts w:hint="default" w:ascii="Times New Roman" w:hAnsi="Times New Roman" w:eastAsia="仿宋_GB2312" w:cs="Times New Roman"/>
          <w:sz w:val="32"/>
          <w:szCs w:val="32"/>
        </w:rPr>
        <w:t>万元，完成预算100%。</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2.其他环境保护管理事务支出211（类）01（款）99（项）: 支出决算为</w:t>
      </w:r>
      <w:r>
        <w:rPr>
          <w:rFonts w:hint="default" w:ascii="Times New Roman" w:hAnsi="Times New Roman" w:eastAsia="仿宋_GB2312" w:cs="Times New Roman"/>
          <w:sz w:val="32"/>
          <w:szCs w:val="32"/>
          <w:lang w:val="en-US" w:eastAsia="zh-CN"/>
        </w:rPr>
        <w:t>132.34</w:t>
      </w:r>
      <w:r>
        <w:rPr>
          <w:rFonts w:hint="default" w:ascii="Times New Roman" w:hAnsi="Times New Roman" w:eastAsia="仿宋_GB2312" w:cs="Times New Roman"/>
          <w:sz w:val="32"/>
          <w:szCs w:val="32"/>
        </w:rPr>
        <w:t>万元，完成预算100%。</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3.其他污染防治支出211（类）03（款）99（项）: 支出决算为</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万元，完成预算100%。</w:t>
      </w: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4.住房公积金221（类）02（款）01（项）: 支出决算为</w:t>
      </w:r>
      <w:r>
        <w:rPr>
          <w:rFonts w:hint="default" w:ascii="Times New Roman" w:hAnsi="Times New Roman" w:eastAsia="仿宋_GB2312" w:cs="Times New Roman"/>
          <w:sz w:val="32"/>
          <w:szCs w:val="32"/>
          <w:lang w:val="en-US" w:eastAsia="zh-CN"/>
        </w:rPr>
        <w:t>15.29</w:t>
      </w:r>
      <w:r>
        <w:rPr>
          <w:rFonts w:hint="default" w:ascii="Times New Roman" w:hAnsi="Times New Roman" w:eastAsia="仿宋_GB2312" w:cs="Times New Roman"/>
          <w:sz w:val="32"/>
          <w:szCs w:val="32"/>
        </w:rPr>
        <w:t>万元，完成预算100%。</w:t>
      </w:r>
    </w:p>
    <w:p>
      <w:pPr>
        <w:tabs>
          <w:tab w:val="right" w:pos="8306"/>
        </w:tabs>
        <w:spacing w:line="600" w:lineRule="exact"/>
        <w:ind w:firstLine="640"/>
        <w:outlineLvl w:val="1"/>
        <w:rPr>
          <w:rStyle w:val="25"/>
          <w:rFonts w:hint="default" w:ascii="Times New Roman" w:hAnsi="Times New Roman" w:cs="Times New Roman"/>
        </w:rPr>
      </w:pPr>
      <w:bookmarkStart w:id="34" w:name="_Toc15377214"/>
      <w:bookmarkStart w:id="35" w:name="_Toc15396608"/>
      <w:r>
        <w:rPr>
          <w:rFonts w:hint="default" w:ascii="Times New Roman" w:hAnsi="Times New Roman" w:eastAsia="黑体" w:cs="Times New Roman"/>
          <w:sz w:val="32"/>
          <w:szCs w:val="32"/>
        </w:rPr>
        <w:t>六</w:t>
      </w:r>
      <w:r>
        <w:rPr>
          <w:rFonts w:hint="default" w:ascii="Times New Roman" w:hAnsi="Times New Roman" w:eastAsia="黑体" w:cs="Times New Roman"/>
          <w:b/>
          <w:sz w:val="32"/>
          <w:szCs w:val="32"/>
        </w:rPr>
        <w:t>、一</w:t>
      </w:r>
      <w:r>
        <w:rPr>
          <w:rStyle w:val="25"/>
          <w:rFonts w:hint="default" w:ascii="Times New Roman" w:hAnsi="Times New Roman" w:eastAsia="黑体" w:cs="Times New Roman"/>
          <w:b w:val="0"/>
        </w:rPr>
        <w:t>般公共预算财政拨款基本支出决算情况说明</w:t>
      </w:r>
      <w:bookmarkEnd w:id="34"/>
      <w:bookmarkEnd w:id="35"/>
      <w:r>
        <w:rPr>
          <w:rStyle w:val="25"/>
          <w:rFonts w:hint="default" w:ascii="Times New Roman" w:hAnsi="Times New Roman" w:eastAsia="黑体" w:cs="Times New Roman"/>
          <w:b w:val="0"/>
        </w:rPr>
        <w:tab/>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2022年一般公共预算财政拨款基本支出</w:t>
      </w:r>
      <w:r>
        <w:rPr>
          <w:rFonts w:hint="default" w:ascii="Times New Roman" w:hAnsi="Times New Roman" w:eastAsia="仿宋_GB2312" w:cs="Times New Roman"/>
          <w:sz w:val="32"/>
          <w:szCs w:val="32"/>
          <w:lang w:val="en-US" w:eastAsia="zh-CN"/>
        </w:rPr>
        <w:t>160.70</w:t>
      </w:r>
      <w:r>
        <w:rPr>
          <w:rFonts w:hint="default" w:ascii="Times New Roman" w:hAnsi="Times New Roman" w:eastAsia="仿宋_GB2312" w:cs="Times New Roman"/>
          <w:sz w:val="32"/>
          <w:szCs w:val="32"/>
        </w:rPr>
        <w:t>万元，其中：</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人员经费</w:t>
      </w:r>
      <w:r>
        <w:rPr>
          <w:rFonts w:hint="default" w:ascii="Times New Roman" w:hAnsi="Times New Roman" w:eastAsia="仿宋_GB2312" w:cs="Times New Roman"/>
          <w:sz w:val="32"/>
          <w:szCs w:val="32"/>
          <w:lang w:val="en-US" w:eastAsia="zh-CN"/>
        </w:rPr>
        <w:t>149.19</w:t>
      </w:r>
      <w:r>
        <w:rPr>
          <w:rFonts w:hint="default" w:ascii="Times New Roman" w:hAnsi="Times New Roman" w:eastAsia="仿宋_GB2312" w:cs="Times New Roman"/>
          <w:sz w:val="32"/>
          <w:szCs w:val="32"/>
        </w:rPr>
        <w:t>万元，主要包括：基本工资、津贴补贴、奖金、绩效工资、机关事业单位基本养老保险缴费、其他社会保障缴费、其他工资福利支出、住房公积金等。</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公用经费</w:t>
      </w:r>
      <w:r>
        <w:rPr>
          <w:rFonts w:hint="default" w:ascii="Times New Roman" w:hAnsi="Times New Roman" w:eastAsia="仿宋_GB2312" w:cs="Times New Roman"/>
          <w:sz w:val="32"/>
          <w:szCs w:val="32"/>
          <w:lang w:val="en-US" w:eastAsia="zh-CN"/>
        </w:rPr>
        <w:t>11.51</w:t>
      </w:r>
      <w:r>
        <w:rPr>
          <w:rFonts w:hint="default" w:ascii="Times New Roman" w:hAnsi="Times New Roman" w:eastAsia="仿宋_GB2312" w:cs="Times New Roman"/>
          <w:sz w:val="32"/>
          <w:szCs w:val="32"/>
        </w:rPr>
        <w:t>万元，主要包括：办公费、水费、电费、邮电费、差旅费、公务接待费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工会经费、福利费、公务用车运行维护费等。</w:t>
      </w:r>
    </w:p>
    <w:p>
      <w:pPr>
        <w:spacing w:line="600" w:lineRule="exact"/>
        <w:ind w:firstLine="640"/>
        <w:outlineLvl w:val="1"/>
        <w:rPr>
          <w:rStyle w:val="25"/>
          <w:rFonts w:hint="default" w:ascii="Times New Roman" w:hAnsi="Times New Roman" w:eastAsia="黑体" w:cs="Times New Roman"/>
          <w:b w:val="0"/>
        </w:rPr>
      </w:pPr>
      <w:bookmarkStart w:id="36" w:name="_Toc15377215"/>
      <w:bookmarkStart w:id="37" w:name="_Toc15396609"/>
      <w:r>
        <w:rPr>
          <w:rFonts w:hint="default" w:ascii="Times New Roman" w:hAnsi="Times New Roman" w:eastAsia="黑体" w:cs="Times New Roman"/>
          <w:sz w:val="32"/>
          <w:szCs w:val="32"/>
        </w:rPr>
        <w:t>七、</w:t>
      </w:r>
      <w:r>
        <w:rPr>
          <w:rStyle w:val="25"/>
          <w:rFonts w:hint="default" w:ascii="Times New Roman" w:hAnsi="Times New Roman" w:eastAsia="黑体" w:cs="Times New Roman"/>
          <w:b w:val="0"/>
        </w:rPr>
        <w:t>财政拨款</w:t>
      </w:r>
      <w:r>
        <w:rPr>
          <w:rStyle w:val="25"/>
          <w:rFonts w:hint="default" w:ascii="Times New Roman" w:hAnsi="Times New Roman" w:eastAsia="黑体" w:cs="Times New Roman"/>
        </w:rPr>
        <w:t>“</w:t>
      </w:r>
      <w:r>
        <w:rPr>
          <w:rStyle w:val="25"/>
          <w:rFonts w:hint="default" w:ascii="Times New Roman" w:hAnsi="Times New Roman" w:eastAsia="黑体" w:cs="Times New Roman"/>
          <w:b w:val="0"/>
        </w:rPr>
        <w:t>三公”经费支出决算情况说明</w:t>
      </w:r>
      <w:bookmarkEnd w:id="36"/>
      <w:bookmarkEnd w:id="37"/>
    </w:p>
    <w:p>
      <w:pPr>
        <w:spacing w:line="600" w:lineRule="exact"/>
        <w:ind w:firstLine="640"/>
        <w:rPr>
          <w:rFonts w:hint="default" w:ascii="Times New Roman" w:hAnsi="Times New Roman" w:eastAsia="仿宋_GB2312" w:cs="Times New Roman"/>
          <w:sz w:val="32"/>
          <w:szCs w:val="32"/>
        </w:rPr>
      </w:pPr>
      <w:bookmarkStart w:id="38" w:name="_Toc15377216"/>
      <w:r>
        <w:rPr>
          <w:rFonts w:hint="default" w:ascii="Times New Roman" w:hAnsi="Times New Roman" w:eastAsia="仿宋_GB2312" w:cs="Times New Roman"/>
          <w:sz w:val="32"/>
          <w:szCs w:val="32"/>
        </w:rPr>
        <w:t>（一）“三公”经费财政拨款支出决算总体情况说明</w:t>
      </w:r>
      <w:bookmarkEnd w:id="38"/>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2022年“三公”经费财政拨款支出决算为</w:t>
      </w:r>
      <w:r>
        <w:rPr>
          <w:rFonts w:hint="default" w:ascii="Times New Roman" w:hAnsi="Times New Roman" w:eastAsia="仿宋_GB2312" w:cs="Times New Roman"/>
          <w:sz w:val="32"/>
          <w:szCs w:val="32"/>
          <w:lang w:val="en-US" w:eastAsia="zh-CN"/>
        </w:rPr>
        <w:t>1.98</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%，较上年减少</w:t>
      </w:r>
      <w:r>
        <w:rPr>
          <w:rFonts w:hint="default" w:ascii="Times New Roman" w:hAnsi="Times New Roman" w:eastAsia="仿宋_GB2312" w:cs="Times New Roman"/>
          <w:sz w:val="32"/>
          <w:szCs w:val="32"/>
          <w:lang w:val="en-US" w:eastAsia="zh-CN"/>
        </w:rPr>
        <w:t>2.41</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54.90</w:t>
      </w:r>
      <w:r>
        <w:rPr>
          <w:rFonts w:hint="default" w:ascii="Times New Roman" w:hAnsi="Times New Roman" w:eastAsia="仿宋_GB2312" w:cs="Times New Roman"/>
          <w:sz w:val="32"/>
          <w:szCs w:val="32"/>
        </w:rPr>
        <w:t>%。决算数</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预算数持平。</w:t>
      </w:r>
    </w:p>
    <w:p>
      <w:pPr>
        <w:spacing w:line="600" w:lineRule="exact"/>
        <w:ind w:firstLine="640"/>
        <w:rPr>
          <w:rFonts w:hint="default" w:ascii="Times New Roman" w:hAnsi="Times New Roman" w:eastAsia="仿宋_GB2312" w:cs="Times New Roman"/>
          <w:sz w:val="32"/>
          <w:szCs w:val="32"/>
        </w:rPr>
      </w:pPr>
      <w:bookmarkStart w:id="39" w:name="_Toc15377217"/>
      <w:r>
        <w:rPr>
          <w:rFonts w:hint="default" w:ascii="Times New Roman" w:hAnsi="Times New Roman" w:eastAsia="仿宋_GB2312" w:cs="Times New Roman"/>
          <w:sz w:val="32"/>
          <w:szCs w:val="32"/>
        </w:rPr>
        <w:t>（二）“三公”经费财政拨款支出决算具体情况说明</w:t>
      </w:r>
      <w:bookmarkEnd w:id="39"/>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2022年“三公”经费财政拨款支出决算中，因公出国（境）费支出决算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%；公务用车购置及运行维护费支出决算</w:t>
      </w:r>
      <w:r>
        <w:rPr>
          <w:rFonts w:hint="default" w:ascii="Times New Roman" w:hAnsi="Times New Roman" w:eastAsia="仿宋_GB2312" w:cs="Times New Roman"/>
          <w:sz w:val="32"/>
          <w:szCs w:val="32"/>
          <w:lang w:val="en-US" w:eastAsia="zh-CN"/>
        </w:rPr>
        <w:t>1.79</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90.40</w:t>
      </w:r>
      <w:r>
        <w:rPr>
          <w:rFonts w:hint="default" w:ascii="Times New Roman" w:hAnsi="Times New Roman" w:eastAsia="仿宋_GB2312" w:cs="Times New Roman"/>
          <w:sz w:val="32"/>
          <w:szCs w:val="32"/>
        </w:rPr>
        <w:t>%；公务接待费支出决算</w:t>
      </w:r>
      <w:r>
        <w:rPr>
          <w:rFonts w:hint="default" w:ascii="Times New Roman" w:hAnsi="Times New Roman" w:eastAsia="仿宋_GB2312" w:cs="Times New Roman"/>
          <w:sz w:val="32"/>
          <w:szCs w:val="32"/>
          <w:lang w:val="en-US" w:eastAsia="zh-CN"/>
        </w:rPr>
        <w:t>0.19</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9.60</w:t>
      </w:r>
      <w:r>
        <w:rPr>
          <w:rFonts w:hint="default" w:ascii="Times New Roman" w:hAnsi="Times New Roman" w:eastAsia="仿宋_GB2312" w:cs="Times New Roman"/>
          <w:sz w:val="32"/>
          <w:szCs w:val="32"/>
        </w:rPr>
        <w:t>%。具体情况如下：</w:t>
      </w: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lang w:eastAsia="zh-CN"/>
        </w:rPr>
        <w:drawing>
          <wp:anchor distT="0" distB="0" distL="114300" distR="114300" simplePos="0" relativeHeight="251662336" behindDoc="0" locked="0" layoutInCell="1" allowOverlap="1">
            <wp:simplePos x="0" y="0"/>
            <wp:positionH relativeFrom="column">
              <wp:posOffset>175895</wp:posOffset>
            </wp:positionH>
            <wp:positionV relativeFrom="paragraph">
              <wp:posOffset>189230</wp:posOffset>
            </wp:positionV>
            <wp:extent cx="4660265" cy="2438400"/>
            <wp:effectExtent l="4445" t="5080" r="21590" b="1397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（图7：“三公”经费财政拨款支出结构</w:t>
      </w:r>
      <w:r>
        <w:rPr>
          <w:rFonts w:hint="default" w:ascii="Times New Roman" w:hAnsi="Times New Roman" w:eastAsia="仿宋_GB2312" w:cs="Times New Roman"/>
          <w:sz w:val="32"/>
          <w:szCs w:val="32"/>
          <w:lang w:val="en-US" w:eastAsia="zh-CN"/>
        </w:rPr>
        <w:t xml:space="preserve">  单位：万元</w:t>
      </w:r>
      <w:r>
        <w:rPr>
          <w:rFonts w:hint="default" w:ascii="Times New Roman" w:hAnsi="Times New Roman" w:eastAsia="仿宋_GB2312" w:cs="Times New Roman"/>
          <w:sz w:val="32"/>
          <w:szCs w:val="32"/>
        </w:rPr>
        <w:t>）</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1.因公出国（境）经费支出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%。全年安排因公出国（境）团组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次，出国（境）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人。因公出国（境）支出决算比2021年</w:t>
      </w:r>
      <w:r>
        <w:rPr>
          <w:rFonts w:hint="default" w:ascii="Times New Roman" w:hAnsi="Times New Roman" w:eastAsia="仿宋_GB2312" w:cs="Times New Roman"/>
          <w:sz w:val="32"/>
          <w:szCs w:val="32"/>
          <w:lang w:eastAsia="zh-CN"/>
        </w:rPr>
        <w:t>持平</w:t>
      </w:r>
      <w:r>
        <w:rPr>
          <w:rFonts w:hint="default" w:ascii="Times New Roman" w:hAnsi="Times New Roman" w:eastAsia="仿宋_GB2312" w:cs="Times New Roman"/>
          <w:sz w:val="32"/>
          <w:szCs w:val="32"/>
        </w:rPr>
        <w:t>。</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2.公务用车购置及运行维护费支出</w:t>
      </w:r>
      <w:r>
        <w:rPr>
          <w:rFonts w:hint="default" w:ascii="Times New Roman" w:hAnsi="Times New Roman" w:eastAsia="仿宋_GB2312" w:cs="Times New Roman"/>
          <w:sz w:val="32"/>
          <w:szCs w:val="32"/>
          <w:lang w:val="en-US" w:eastAsia="zh-CN"/>
        </w:rPr>
        <w:t>1.79</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%。公务用车购置及运行维护费支出决算比2021年</w:t>
      </w:r>
      <w:r>
        <w:rPr>
          <w:rFonts w:hint="default"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lang w:val="en-US" w:eastAsia="zh-CN"/>
        </w:rPr>
        <w:t>2.55</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58.76</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eastAsia="zh-CN"/>
        </w:rPr>
        <w:t>减少车辆使用</w:t>
      </w:r>
      <w:r>
        <w:rPr>
          <w:rFonts w:hint="default" w:ascii="Times New Roman" w:hAnsi="Times New Roman" w:eastAsia="仿宋_GB2312" w:cs="Times New Roman"/>
          <w:sz w:val="32"/>
          <w:szCs w:val="32"/>
        </w:rPr>
        <w:t>。</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其中：公务用车购置支出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万元。全年按规定更新购置公务用车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辆，其中：轿车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万元，越野车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万元，载客汽车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万元。截至2022年12月底，单位共有其他用车</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辆，其中：轿车</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辆、越野车</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辆、载客汽车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公务用车运行维护费支出</w:t>
      </w:r>
      <w:r>
        <w:rPr>
          <w:rFonts w:hint="default" w:ascii="Times New Roman" w:hAnsi="Times New Roman" w:eastAsia="仿宋_GB2312" w:cs="Times New Roman"/>
          <w:sz w:val="32"/>
          <w:szCs w:val="32"/>
          <w:lang w:val="en-US" w:eastAsia="zh-CN"/>
        </w:rPr>
        <w:t>1.79</w:t>
      </w:r>
      <w:r>
        <w:rPr>
          <w:rFonts w:hint="default" w:ascii="Times New Roman" w:hAnsi="Times New Roman" w:eastAsia="仿宋_GB2312" w:cs="Times New Roman"/>
          <w:sz w:val="32"/>
          <w:szCs w:val="32"/>
        </w:rPr>
        <w:t>万元。主要用于</w:t>
      </w:r>
      <w:r>
        <w:rPr>
          <w:rFonts w:hint="default" w:ascii="Times New Roman" w:hAnsi="Times New Roman" w:eastAsia="仿宋_GB2312" w:cs="Times New Roman"/>
          <w:sz w:val="32"/>
          <w:szCs w:val="32"/>
          <w:lang w:eastAsia="zh-CN"/>
        </w:rPr>
        <w:t>现场监测、取样</w:t>
      </w:r>
      <w:r>
        <w:rPr>
          <w:rFonts w:hint="default" w:ascii="Times New Roman" w:hAnsi="Times New Roman" w:eastAsia="仿宋_GB2312" w:cs="Times New Roman"/>
          <w:sz w:val="32"/>
          <w:szCs w:val="32"/>
        </w:rPr>
        <w:t>等所需的公务用车燃料费、维修费、过路过桥费、保险费等支出。</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3.公务接待费支出</w:t>
      </w:r>
      <w:r>
        <w:rPr>
          <w:rFonts w:hint="default" w:ascii="Times New Roman" w:hAnsi="Times New Roman" w:eastAsia="仿宋_GB2312" w:cs="Times New Roman"/>
          <w:sz w:val="32"/>
          <w:szCs w:val="32"/>
          <w:lang w:val="en-US" w:eastAsia="zh-CN"/>
        </w:rPr>
        <w:t>0.19</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%。公务接待费支出决算比2021年增加</w:t>
      </w:r>
      <w:r>
        <w:rPr>
          <w:rFonts w:hint="default" w:ascii="Times New Roman" w:hAnsi="Times New Roman" w:eastAsia="仿宋_GB2312" w:cs="Times New Roman"/>
          <w:sz w:val="32"/>
          <w:szCs w:val="32"/>
          <w:lang w:val="en-US" w:eastAsia="zh-CN"/>
        </w:rPr>
        <w:t>0.14</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280</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eastAsia="zh-CN"/>
        </w:rPr>
        <w:t>接待次数增加</w:t>
      </w:r>
      <w:r>
        <w:rPr>
          <w:rFonts w:hint="default" w:ascii="Times New Roman" w:hAnsi="Times New Roman" w:eastAsia="仿宋_GB2312" w:cs="Times New Roman"/>
          <w:sz w:val="32"/>
          <w:szCs w:val="32"/>
        </w:rPr>
        <w:t>。其中：</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国内公务接待支出</w:t>
      </w:r>
      <w:r>
        <w:rPr>
          <w:rFonts w:hint="default" w:ascii="Times New Roman" w:hAnsi="Times New Roman" w:eastAsia="仿宋_GB2312" w:cs="Times New Roman"/>
          <w:sz w:val="32"/>
          <w:szCs w:val="32"/>
          <w:lang w:val="en-US" w:eastAsia="zh-CN"/>
        </w:rPr>
        <w:t>0.19</w:t>
      </w:r>
      <w:r>
        <w:rPr>
          <w:rFonts w:hint="default" w:ascii="Times New Roman" w:hAnsi="Times New Roman" w:eastAsia="仿宋_GB2312" w:cs="Times New Roman"/>
          <w:sz w:val="32"/>
          <w:szCs w:val="32"/>
        </w:rPr>
        <w:t>万元，主要用于开展业务活动开支用餐费。国内公务接待</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人次（不包括陪同人员），共计支出</w:t>
      </w:r>
      <w:r>
        <w:rPr>
          <w:rFonts w:hint="default" w:ascii="Times New Roman" w:hAnsi="Times New Roman" w:eastAsia="仿宋_GB2312" w:cs="Times New Roman"/>
          <w:sz w:val="32"/>
          <w:szCs w:val="32"/>
          <w:lang w:val="en-US" w:eastAsia="zh-CN"/>
        </w:rPr>
        <w:t>0.19</w:t>
      </w:r>
      <w:r>
        <w:rPr>
          <w:rFonts w:hint="default" w:ascii="Times New Roman" w:hAnsi="Times New Roman" w:eastAsia="仿宋_GB2312" w:cs="Times New Roman"/>
          <w:sz w:val="32"/>
          <w:szCs w:val="32"/>
        </w:rPr>
        <w:t>万元，具体内容包括：</w:t>
      </w:r>
      <w:r>
        <w:rPr>
          <w:rFonts w:hint="default" w:ascii="Times New Roman" w:hAnsi="Times New Roman" w:eastAsia="仿宋_GB2312" w:cs="Times New Roman"/>
          <w:sz w:val="32"/>
          <w:szCs w:val="32"/>
          <w:lang w:eastAsia="zh-CN"/>
        </w:rPr>
        <w:t>公务接待</w:t>
      </w:r>
      <w:r>
        <w:rPr>
          <w:rFonts w:hint="default" w:ascii="Times New Roman" w:hAnsi="Times New Roman" w:eastAsia="仿宋_GB2312" w:cs="Times New Roman"/>
          <w:sz w:val="32"/>
          <w:szCs w:val="32"/>
          <w:lang w:val="en-US" w:eastAsia="zh-CN"/>
        </w:rPr>
        <w:t>3次</w:t>
      </w:r>
      <w:r>
        <w:rPr>
          <w:rFonts w:hint="default" w:ascii="Times New Roman" w:hAnsi="Times New Roman" w:eastAsia="仿宋_GB2312" w:cs="Times New Roman"/>
          <w:sz w:val="32"/>
          <w:szCs w:val="32"/>
          <w:lang w:eastAsia="zh-CN"/>
        </w:rPr>
        <w:t>餐费支出</w:t>
      </w:r>
      <w:r>
        <w:rPr>
          <w:rFonts w:hint="default" w:ascii="Times New Roman" w:hAnsi="Times New Roman" w:eastAsia="仿宋_GB2312" w:cs="Times New Roman"/>
          <w:sz w:val="32"/>
          <w:szCs w:val="32"/>
          <w:lang w:val="en-US" w:eastAsia="zh-CN"/>
        </w:rPr>
        <w:t>0.19万元</w:t>
      </w:r>
      <w:r>
        <w:rPr>
          <w:rFonts w:hint="default" w:ascii="Times New Roman" w:hAnsi="Times New Roman" w:eastAsia="仿宋_GB2312" w:cs="Times New Roman"/>
          <w:sz w:val="32"/>
          <w:szCs w:val="32"/>
        </w:rPr>
        <w:t>。</w:t>
      </w: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外事接待支出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万元，外事接待</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人次（不包括陪同人员），共计支出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bookmarkStart w:id="40" w:name="_Toc15377218"/>
      <w:bookmarkStart w:id="41" w:name="_Toc15396610"/>
    </w:p>
    <w:p>
      <w:pPr>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八、政府性基金预算支出决算情况说明</w:t>
      </w:r>
      <w:bookmarkEnd w:id="40"/>
      <w:bookmarkEnd w:id="41"/>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2022年政府性基金预算财政拨款支出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numPr>
          <w:ilvl w:val="0"/>
          <w:numId w:val="0"/>
        </w:numPr>
        <w:spacing w:line="600" w:lineRule="exact"/>
        <w:ind w:firstLine="640" w:firstLineChars="200"/>
        <w:outlineLvl w:val="1"/>
        <w:rPr>
          <w:rStyle w:val="25"/>
          <w:rFonts w:hint="default" w:ascii="Times New Roman" w:hAnsi="Times New Roman" w:eastAsia="黑体" w:cs="Times New Roman"/>
          <w:b w:val="0"/>
          <w:color w:val="auto"/>
        </w:rPr>
      </w:pPr>
      <w:bookmarkStart w:id="42" w:name="_Toc15377219"/>
      <w:bookmarkStart w:id="43" w:name="_Toc15396611"/>
      <w:r>
        <w:rPr>
          <w:rStyle w:val="25"/>
          <w:rFonts w:hint="default" w:ascii="Times New Roman" w:hAnsi="Times New Roman" w:eastAsia="黑体" w:cs="Times New Roman"/>
          <w:b w:val="0"/>
          <w:color w:val="auto"/>
          <w:lang w:eastAsia="zh-CN"/>
        </w:rPr>
        <w:t>九、</w:t>
      </w:r>
      <w:r>
        <w:rPr>
          <w:rStyle w:val="25"/>
          <w:rFonts w:hint="default" w:ascii="Times New Roman" w:hAnsi="Times New Roman" w:eastAsia="黑体" w:cs="Times New Roman"/>
          <w:b w:val="0"/>
          <w:color w:val="auto"/>
        </w:rPr>
        <w:t>国有资本经营预算支出决算情况说明</w:t>
      </w:r>
      <w:bookmarkEnd w:id="42"/>
      <w:bookmarkEnd w:id="43"/>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2022年国有资本经营预算财政拨款支出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numPr>
          <w:ilvl w:val="0"/>
          <w:numId w:val="0"/>
        </w:numPr>
        <w:spacing w:line="600" w:lineRule="exact"/>
        <w:ind w:firstLine="640" w:firstLineChars="200"/>
        <w:outlineLvl w:val="1"/>
        <w:rPr>
          <w:rStyle w:val="25"/>
          <w:rFonts w:hint="default" w:ascii="Times New Roman" w:hAnsi="Times New Roman" w:eastAsia="黑体" w:cs="Times New Roman"/>
          <w:b w:val="0"/>
        </w:rPr>
      </w:pPr>
      <w:bookmarkStart w:id="44" w:name="_Toc15396612"/>
      <w:bookmarkStart w:id="45" w:name="_Toc15377221"/>
      <w:r>
        <w:rPr>
          <w:rStyle w:val="25"/>
          <w:rFonts w:hint="default" w:ascii="Times New Roman" w:hAnsi="Times New Roman" w:eastAsia="黑体" w:cs="Times New Roman"/>
          <w:b w:val="0"/>
          <w:lang w:eastAsia="zh-CN"/>
        </w:rPr>
        <w:t>十、</w:t>
      </w:r>
      <w:r>
        <w:rPr>
          <w:rStyle w:val="25"/>
          <w:rFonts w:hint="default" w:ascii="Times New Roman" w:hAnsi="Times New Roman" w:eastAsia="黑体" w:cs="Times New Roman"/>
          <w:b w:val="0"/>
        </w:rPr>
        <w:t>其他重要事项的情况说明</w:t>
      </w:r>
      <w:bookmarkEnd w:id="44"/>
      <w:bookmarkEnd w:id="45"/>
    </w:p>
    <w:p>
      <w:pPr>
        <w:spacing w:line="600" w:lineRule="exact"/>
        <w:ind w:firstLine="640"/>
        <w:rPr>
          <w:rFonts w:hint="default" w:ascii="Times New Roman" w:hAnsi="Times New Roman" w:eastAsia="楷体_GB2312" w:cs="Times New Roman"/>
          <w:b/>
          <w:bCs w:val="0"/>
          <w:sz w:val="32"/>
          <w:szCs w:val="32"/>
        </w:rPr>
      </w:pPr>
      <w:bookmarkStart w:id="46" w:name="_Toc15377222"/>
      <w:r>
        <w:rPr>
          <w:rFonts w:hint="default" w:ascii="Times New Roman" w:hAnsi="Times New Roman" w:eastAsia="楷体_GB2312" w:cs="Times New Roman"/>
          <w:b/>
          <w:bCs w:val="0"/>
          <w:sz w:val="32"/>
          <w:szCs w:val="32"/>
        </w:rPr>
        <w:t>（一）机关运行经费支出情况</w:t>
      </w:r>
      <w:bookmarkEnd w:id="46"/>
    </w:p>
    <w:p>
      <w:pPr>
        <w:spacing w:line="600" w:lineRule="exact"/>
        <w:ind w:firstLine="640"/>
        <w:rPr>
          <w:rFonts w:hint="default" w:ascii="Times New Roman" w:hAnsi="Times New Roman" w:eastAsia="仿宋_GB2312" w:cs="Times New Roman"/>
          <w:color w:val="4BACC6" w:themeColor="accent5"/>
          <w:sz w:val="32"/>
          <w:szCs w:val="32"/>
          <w:lang w:eastAsia="zh-CN"/>
          <w14:textFill>
            <w14:solidFill>
              <w14:schemeClr w14:val="accent5"/>
            </w14:solidFill>
          </w14:textFill>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西区生态环境监测站</w:t>
      </w:r>
      <w:r>
        <w:rPr>
          <w:rFonts w:hint="default" w:ascii="Times New Roman" w:hAnsi="Times New Roman" w:eastAsia="仿宋_GB2312" w:cs="Times New Roman"/>
          <w:sz w:val="32"/>
          <w:szCs w:val="32"/>
        </w:rPr>
        <w:t>机关运行经费支出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lang w:val="en-US" w:eastAsia="zh-CN"/>
        </w:rPr>
        <w:t>2021年决算数持平</w:t>
      </w:r>
      <w:r>
        <w:rPr>
          <w:rFonts w:hint="default" w:ascii="Times New Roman" w:hAnsi="Times New Roman" w:eastAsia="仿宋_GB2312" w:cs="Times New Roman"/>
          <w:sz w:val="32"/>
          <w:szCs w:val="32"/>
          <w:lang w:eastAsia="zh-CN"/>
        </w:rPr>
        <w:t>。</w:t>
      </w:r>
    </w:p>
    <w:p>
      <w:pPr>
        <w:autoSpaceDE w:val="0"/>
        <w:autoSpaceDN w:val="0"/>
        <w:adjustRightInd w:val="0"/>
        <w:spacing w:line="600" w:lineRule="exact"/>
        <w:ind w:firstLine="643" w:firstLineChars="200"/>
        <w:jc w:val="left"/>
        <w:outlineLvl w:val="2"/>
        <w:rPr>
          <w:rFonts w:hint="default" w:ascii="Times New Roman" w:hAnsi="Times New Roman" w:eastAsia="仿宋_GB2312" w:cs="Times New Roman"/>
          <w:b/>
          <w:bCs w:val="0"/>
          <w:sz w:val="32"/>
          <w:szCs w:val="32"/>
        </w:rPr>
      </w:pPr>
      <w:bookmarkStart w:id="47" w:name="_Toc15377223"/>
      <w:r>
        <w:rPr>
          <w:rFonts w:hint="default" w:ascii="Times New Roman" w:hAnsi="Times New Roman" w:eastAsia="仿宋_GB2312" w:cs="Times New Roman"/>
          <w:b/>
          <w:bCs w:val="0"/>
          <w:sz w:val="32"/>
          <w:szCs w:val="32"/>
        </w:rPr>
        <w:t>（二）政府采购支出情况</w:t>
      </w:r>
      <w:bookmarkEnd w:id="47"/>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西区生态环境监测站</w:t>
      </w:r>
      <w:r>
        <w:rPr>
          <w:rFonts w:hint="default" w:ascii="Times New Roman" w:hAnsi="Times New Roman" w:eastAsia="仿宋_GB2312" w:cs="Times New Roman"/>
          <w:sz w:val="32"/>
          <w:szCs w:val="32"/>
        </w:rPr>
        <w:t>政府采购支出总额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万元，其中：政府采购货物支出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万元、政府采购工程支出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万元、政府采购服务支出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万元。授予中小企业合同金额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万元，占政府采购支出总额的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%，其中：授予小微企业合同金额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万元，占政府采购支出总额的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autoSpaceDE w:val="0"/>
        <w:autoSpaceDN w:val="0"/>
        <w:adjustRightInd w:val="0"/>
        <w:spacing w:line="600" w:lineRule="exact"/>
        <w:ind w:firstLine="643" w:firstLineChars="200"/>
        <w:jc w:val="left"/>
        <w:outlineLvl w:val="2"/>
        <w:rPr>
          <w:rFonts w:hint="default" w:ascii="Times New Roman" w:hAnsi="Times New Roman" w:eastAsia="仿宋_GB2312" w:cs="Times New Roman"/>
          <w:b/>
          <w:sz w:val="32"/>
          <w:szCs w:val="32"/>
        </w:rPr>
      </w:pPr>
      <w:bookmarkStart w:id="48" w:name="_Toc15377224"/>
      <w:r>
        <w:rPr>
          <w:rFonts w:hint="default" w:ascii="Times New Roman" w:hAnsi="Times New Roman" w:eastAsia="仿宋_GB2312" w:cs="Times New Roman"/>
          <w:b/>
          <w:sz w:val="32"/>
          <w:szCs w:val="32"/>
        </w:rPr>
        <w:t>（三）国有资产占有使用情况</w:t>
      </w:r>
      <w:bookmarkEnd w:id="48"/>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截至2022年12月31日，</w:t>
      </w:r>
      <w:r>
        <w:rPr>
          <w:rFonts w:hint="default" w:ascii="Times New Roman" w:hAnsi="Times New Roman" w:eastAsia="仿宋_GB2312" w:cs="Times New Roman"/>
          <w:sz w:val="32"/>
          <w:szCs w:val="32"/>
          <w:lang w:eastAsia="zh-CN"/>
        </w:rPr>
        <w:t>西区生态环境局</w:t>
      </w:r>
      <w:r>
        <w:rPr>
          <w:rFonts w:hint="default" w:ascii="Times New Roman" w:hAnsi="Times New Roman" w:eastAsia="仿宋_GB2312" w:cs="Times New Roman"/>
          <w:sz w:val="32"/>
          <w:szCs w:val="32"/>
        </w:rPr>
        <w:t>共有车辆</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辆，其中：主要领导干部用车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辆、机要通信用车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辆、应急保障用车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辆、其他用车</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辆，其他用车主要是用于环境监测工作。单价100万元以上专用设备</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台（套）。</w:t>
      </w:r>
    </w:p>
    <w:p>
      <w:pPr>
        <w:autoSpaceDE w:val="0"/>
        <w:autoSpaceDN w:val="0"/>
        <w:adjustRightInd w:val="0"/>
        <w:spacing w:line="600" w:lineRule="exact"/>
        <w:ind w:firstLine="643" w:firstLineChars="200"/>
        <w:jc w:val="left"/>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（四）预算绩效管理情况</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根据预算绩效管理要求，本单位在2022年度预算编制阶段，组织对监测运行经费项目</w:t>
      </w:r>
      <w:r>
        <w:rPr>
          <w:rFonts w:hint="default" w:ascii="Times New Roman" w:hAnsi="Times New Roman" w:eastAsia="仿宋_GB2312" w:cs="Times New Roman"/>
          <w:sz w:val="32"/>
          <w:szCs w:val="32"/>
          <w:lang w:val="en-US" w:eastAsia="zh-CN"/>
        </w:rPr>
        <w:t>1个项目</w:t>
      </w:r>
      <w:r>
        <w:rPr>
          <w:rFonts w:hint="default" w:ascii="Times New Roman" w:hAnsi="Times New Roman" w:eastAsia="仿宋_GB2312" w:cs="Times New Roman"/>
          <w:sz w:val="32"/>
          <w:szCs w:val="32"/>
        </w:rPr>
        <w:t>开展了预算事前绩效评估，对</w:t>
      </w:r>
      <w:r>
        <w:rPr>
          <w:rFonts w:hint="default" w:ascii="Times New Roman" w:hAnsi="Times New Roman" w:eastAsia="仿宋_GB2312" w:cs="Times New Roman"/>
          <w:sz w:val="32"/>
          <w:szCs w:val="32"/>
          <w:lang w:val="en-US" w:eastAsia="zh-CN"/>
        </w:rPr>
        <w:t>此</w:t>
      </w:r>
      <w:r>
        <w:rPr>
          <w:rFonts w:hint="default" w:ascii="Times New Roman" w:hAnsi="Times New Roman" w:eastAsia="仿宋_GB2312" w:cs="Times New Roman"/>
          <w:sz w:val="32"/>
          <w:szCs w:val="32"/>
        </w:rPr>
        <w:t>项目编制了绩效目标，预算执行过程中，选取</w:t>
      </w:r>
      <w:r>
        <w:rPr>
          <w:rFonts w:hint="default" w:ascii="Times New Roman" w:hAnsi="Times New Roman" w:eastAsia="仿宋_GB2312" w:cs="Times New Roman"/>
          <w:sz w:val="32"/>
          <w:szCs w:val="32"/>
          <w:lang w:val="en-US" w:eastAsia="zh-CN"/>
        </w:rPr>
        <w:t>此</w:t>
      </w:r>
      <w:r>
        <w:rPr>
          <w:rFonts w:hint="default" w:ascii="Times New Roman" w:hAnsi="Times New Roman" w:eastAsia="仿宋_GB2312" w:cs="Times New Roman"/>
          <w:sz w:val="32"/>
          <w:szCs w:val="32"/>
        </w:rPr>
        <w:t>项目开展绩效监控，组织对</w:t>
      </w:r>
      <w:r>
        <w:rPr>
          <w:rFonts w:hint="default" w:ascii="Times New Roman" w:hAnsi="Times New Roman" w:eastAsia="仿宋_GB2312" w:cs="Times New Roman"/>
          <w:sz w:val="32"/>
          <w:szCs w:val="32"/>
          <w:lang w:val="en-US" w:eastAsia="zh-CN"/>
        </w:rPr>
        <w:t>此</w:t>
      </w:r>
      <w:r>
        <w:rPr>
          <w:rFonts w:hint="default" w:ascii="Times New Roman" w:hAnsi="Times New Roman" w:eastAsia="仿宋_GB2312" w:cs="Times New Roman"/>
          <w:sz w:val="32"/>
          <w:szCs w:val="32"/>
        </w:rPr>
        <w:t>项目开展绩效自评，绩效自评表详见第四部分附件。</w:t>
      </w:r>
    </w:p>
    <w:p>
      <w:pPr>
        <w:widowControl/>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br w:type="page"/>
      </w:r>
    </w:p>
    <w:p>
      <w:pPr>
        <w:numPr>
          <w:ilvl w:val="0"/>
          <w:numId w:val="1"/>
        </w:numPr>
        <w:spacing w:line="600" w:lineRule="exact"/>
        <w:ind w:firstLine="660" w:firstLineChars="150"/>
        <w:jc w:val="center"/>
        <w:outlineLvl w:val="0"/>
        <w:rPr>
          <w:rStyle w:val="24"/>
          <w:rFonts w:hint="default" w:ascii="Times New Roman" w:hAnsi="Times New Roman" w:eastAsia="黑体" w:cs="Times New Roman"/>
          <w:b w:val="0"/>
        </w:rPr>
      </w:pPr>
      <w:bookmarkStart w:id="49" w:name="_Toc15396613"/>
      <w:bookmarkStart w:id="50" w:name="_Toc15377225"/>
      <w:r>
        <w:rPr>
          <w:rFonts w:hint="default" w:ascii="Times New Roman" w:hAnsi="Times New Roman" w:eastAsia="黑体" w:cs="Times New Roman"/>
          <w:sz w:val="44"/>
          <w:szCs w:val="44"/>
        </w:rPr>
        <w:t>名</w:t>
      </w:r>
      <w:r>
        <w:rPr>
          <w:rStyle w:val="24"/>
          <w:rFonts w:hint="default" w:ascii="Times New Roman" w:hAnsi="Times New Roman" w:eastAsia="黑体" w:cs="Times New Roman"/>
          <w:b w:val="0"/>
        </w:rPr>
        <w:t>词解释</w:t>
      </w:r>
      <w:bookmarkEnd w:id="49"/>
      <w:bookmarkEnd w:id="50"/>
    </w:p>
    <w:p>
      <w:pPr>
        <w:spacing w:line="600" w:lineRule="exact"/>
        <w:jc w:val="left"/>
        <w:rPr>
          <w:rFonts w:hint="default" w:ascii="Times New Roman" w:hAnsi="Times New Roman" w:cs="Times New Roman"/>
          <w:b/>
          <w:sz w:val="44"/>
          <w:szCs w:val="44"/>
        </w:rPr>
      </w:pP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1.财政拨款收入：指单位从同级财政部门取得的财政预算资金。</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.其他收入：指单位取得的除上述收入以外的各项收入。主要是</w:t>
      </w:r>
      <w:r>
        <w:rPr>
          <w:rFonts w:hint="default" w:ascii="Times New Roman" w:hAnsi="Times New Roman" w:eastAsia="仿宋_GB2312" w:cs="Times New Roman"/>
          <w:color w:val="auto"/>
          <w:sz w:val="32"/>
          <w:szCs w:val="32"/>
          <w:lang w:eastAsia="zh-CN"/>
        </w:rPr>
        <w:t>区级财政拨款</w:t>
      </w:r>
      <w:r>
        <w:rPr>
          <w:rFonts w:hint="default" w:ascii="Times New Roman" w:hAnsi="Times New Roman" w:eastAsia="仿宋_GB2312" w:cs="Times New Roman"/>
          <w:color w:val="auto"/>
          <w:sz w:val="32"/>
          <w:szCs w:val="32"/>
        </w:rPr>
        <w:t xml:space="preserve">等。 </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 xml:space="preserve">.使用非财政拨款结余：指事业单位使用以前年度积累的非财政拨款结余弥补当年收支差额的金额。 </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 xml:space="preserve">.年初结转和结余：指以前年度尚未完成、结转到本年按有关规定继续使用的资金。 </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.年末结转和结余：指单位按有关规定结转到下年或以后年度继续使用的资金。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.其他环境保护管理事务支出（2110199）：反映节能环保支出中其他用于环境保护管理事务方面的支出。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.机关事业单位基本养老保险缴费支出（2080505）：反映机关事业单位实施养老保险制度有单位缴纳的基本养老保险费支出。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.住房公积金（2210201）：反映现在事业单位按人力资源和社会保障部、财政部规定的基本工资和津贴补贴以及规定比例为职工缴纳的住房公积金。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.公务员医疗补助(2101103):反映财政部门集中安排的公务员医疗补助经费。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.事业单位医疗（2101102）：反映财政部门集中安排的事业单位基本医疗保险缴费经费。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w:t>
      </w:r>
      <w:r>
        <w:rPr>
          <w:rFonts w:hint="default" w:ascii="Times New Roman" w:hAnsi="Times New Roman" w:cs="Times New Roman"/>
        </w:rPr>
        <w:t xml:space="preserve"> </w:t>
      </w:r>
      <w:r>
        <w:rPr>
          <w:rFonts w:hint="default" w:ascii="Times New Roman" w:hAnsi="Times New Roman" w:eastAsia="仿宋_GB2312" w:cs="Times New Roman"/>
          <w:sz w:val="32"/>
          <w:szCs w:val="32"/>
        </w:rPr>
        <w:t>其他污染防治支出（2110399）：反映其他用于污染防治方面的支出。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.基本支出：指为保障机构正常运转、完成日常工作任务而发生的人员支出和公用支出。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 xml:space="preserve">.项目支出：指在基本支出之外为完成特定行政任务和事业发展目标所发生的支出。 </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hint="default" w:ascii="Times New Roman" w:hAnsi="Times New Roman" w:eastAsia="黑体" w:cs="Times New Roman"/>
          <w:b w:val="0"/>
        </w:rPr>
      </w:pPr>
      <w:bookmarkStart w:id="51" w:name="_Toc15377226"/>
      <w:r>
        <w:rPr>
          <w:rFonts w:hint="default" w:ascii="Times New Roman" w:hAnsi="Times New Roman" w:cs="Times New Roman"/>
          <w:b/>
          <w:sz w:val="44"/>
          <w:szCs w:val="44"/>
        </w:rPr>
        <w:br w:type="page"/>
      </w:r>
      <w:bookmarkStart w:id="52" w:name="_Toc15396614"/>
      <w:r>
        <w:rPr>
          <w:rFonts w:hint="default" w:ascii="Times New Roman" w:hAnsi="Times New Roman" w:eastAsia="黑体" w:cs="Times New Roman"/>
          <w:sz w:val="44"/>
          <w:szCs w:val="44"/>
        </w:rPr>
        <w:t>第</w:t>
      </w:r>
      <w:r>
        <w:rPr>
          <w:rStyle w:val="24"/>
          <w:rFonts w:hint="default" w:ascii="Times New Roman" w:hAnsi="Times New Roman" w:eastAsia="黑体" w:cs="Times New Roman"/>
          <w:b w:val="0"/>
        </w:rPr>
        <w:t>四部分 附件</w:t>
      </w:r>
      <w:bookmarkEnd w:id="52"/>
    </w:p>
    <w:p>
      <w:pPr>
        <w:spacing w:line="572" w:lineRule="exact"/>
        <w:jc w:val="left"/>
        <w:outlineLvl w:val="0"/>
        <w:rPr>
          <w:rFonts w:hint="default" w:ascii="Times New Roman" w:hAnsi="Times New Roman" w:eastAsia="仿宋_GB2312" w:cs="Times New Roman"/>
          <w:sz w:val="32"/>
          <w:szCs w:val="32"/>
        </w:rPr>
      </w:pPr>
    </w:p>
    <w:p>
      <w:pPr>
        <w:spacing w:line="600" w:lineRule="exact"/>
        <w:jc w:val="center"/>
        <w:outlineLvl w:val="0"/>
        <w:rPr>
          <w:rFonts w:hint="default" w:ascii="Times New Roman" w:hAnsi="Times New Roman" w:eastAsia="仿宋_GB2312" w:cs="Times New Roman"/>
          <w:kern w:val="0"/>
          <w:sz w:val="32"/>
          <w:szCs w:val="32"/>
        </w:rPr>
      </w:pPr>
      <w:bookmarkStart w:id="53" w:name="_Toc15396618"/>
      <w:r>
        <w:rPr>
          <w:rFonts w:hint="default" w:ascii="Times New Roman" w:hAnsi="Times New Roman" w:eastAsia="仿宋_GB2312" w:cs="Times New Roman"/>
          <w:kern w:val="0"/>
          <w:sz w:val="32"/>
          <w:szCs w:val="32"/>
        </w:rPr>
        <w:t>部门预算项目支出绩效自评表（2022年度）见附件</w:t>
      </w:r>
      <w:bookmarkStart w:id="67" w:name="_GoBack"/>
      <w:bookmarkEnd w:id="67"/>
    </w:p>
    <w:p>
      <w:pPr>
        <w:spacing w:line="600" w:lineRule="exact"/>
        <w:jc w:val="left"/>
        <w:outlineLvl w:val="0"/>
        <w:rPr>
          <w:rFonts w:hint="default" w:ascii="Times New Roman" w:hAnsi="Times New Roman" w:eastAsia="仿宋_GB2312" w:cs="Times New Roman"/>
          <w:kern w:val="0"/>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仿宋" w:cs="Times New Roman"/>
        </w:rPr>
      </w:pPr>
      <w:r>
        <w:rPr>
          <w:rFonts w:hint="default" w:ascii="Times New Roman" w:hAnsi="Times New Roman" w:eastAsia="黑体" w:cs="Times New Roman"/>
          <w:sz w:val="44"/>
          <w:szCs w:val="44"/>
        </w:rPr>
        <w:t>第</w:t>
      </w:r>
      <w:r>
        <w:rPr>
          <w:rStyle w:val="24"/>
          <w:rFonts w:hint="default" w:ascii="Times New Roman" w:hAnsi="Times New Roman" w:eastAsia="黑体" w:cs="Times New Roman"/>
          <w:b w:val="0"/>
        </w:rPr>
        <w:t>五部分 附表</w:t>
      </w:r>
      <w:bookmarkEnd w:id="51"/>
      <w:bookmarkEnd w:id="53"/>
      <w:bookmarkStart w:id="54" w:name="_Toc15396619"/>
    </w:p>
    <w:p>
      <w:pPr>
        <w:pStyle w:val="4"/>
        <w:rPr>
          <w:rFonts w:hint="default" w:ascii="Times New Roman" w:hAnsi="Times New Roman" w:eastAsia="仿宋" w:cs="Times New Roman"/>
        </w:rPr>
      </w:pPr>
      <w:r>
        <w:rPr>
          <w:rFonts w:hint="default" w:ascii="Times New Roman" w:hAnsi="Times New Roman" w:eastAsia="仿宋" w:cs="Times New Roman"/>
          <w:b w:val="0"/>
        </w:rPr>
        <w:t>一、收</w:t>
      </w:r>
      <w:r>
        <w:rPr>
          <w:rStyle w:val="25"/>
          <w:rFonts w:hint="default" w:ascii="Times New Roman" w:hAnsi="Times New Roman" w:eastAsia="仿宋" w:cs="Times New Roman"/>
          <w:b w:val="0"/>
          <w:bCs w:val="0"/>
        </w:rPr>
        <w:t>入支出决算总表</w:t>
      </w:r>
      <w:bookmarkEnd w:id="54"/>
    </w:p>
    <w:p>
      <w:pPr>
        <w:pStyle w:val="4"/>
        <w:rPr>
          <w:rFonts w:hint="default" w:ascii="Times New Roman" w:hAnsi="Times New Roman" w:eastAsia="仿宋" w:cs="Times New Roman"/>
        </w:rPr>
      </w:pPr>
      <w:bookmarkStart w:id="55" w:name="_Toc15396620"/>
      <w:r>
        <w:rPr>
          <w:rFonts w:hint="default" w:ascii="Times New Roman" w:hAnsi="Times New Roman" w:eastAsia="仿宋" w:cs="Times New Roman"/>
          <w:b w:val="0"/>
        </w:rPr>
        <w:t>二、收</w:t>
      </w:r>
      <w:r>
        <w:rPr>
          <w:rStyle w:val="25"/>
          <w:rFonts w:hint="default" w:ascii="Times New Roman" w:hAnsi="Times New Roman" w:eastAsia="仿宋" w:cs="Times New Roman"/>
          <w:b w:val="0"/>
          <w:bCs w:val="0"/>
        </w:rPr>
        <w:t>入决算表</w:t>
      </w:r>
      <w:bookmarkEnd w:id="55"/>
    </w:p>
    <w:p>
      <w:pPr>
        <w:pStyle w:val="4"/>
        <w:rPr>
          <w:rFonts w:hint="default" w:ascii="Times New Roman" w:hAnsi="Times New Roman" w:eastAsia="仿宋" w:cs="Times New Roman"/>
        </w:rPr>
      </w:pPr>
      <w:bookmarkStart w:id="56" w:name="_Toc15396621"/>
      <w:r>
        <w:rPr>
          <w:rStyle w:val="25"/>
          <w:rFonts w:hint="default" w:ascii="Times New Roman" w:hAnsi="Times New Roman" w:eastAsia="仿宋" w:cs="Times New Roman"/>
          <w:b w:val="0"/>
          <w:bCs w:val="0"/>
        </w:rPr>
        <w:t>三、</w:t>
      </w:r>
      <w:r>
        <w:rPr>
          <w:rFonts w:hint="default" w:ascii="Times New Roman" w:hAnsi="Times New Roman" w:eastAsia="仿宋" w:cs="Times New Roman"/>
          <w:b w:val="0"/>
        </w:rPr>
        <w:t>支</w:t>
      </w:r>
      <w:r>
        <w:rPr>
          <w:rStyle w:val="25"/>
          <w:rFonts w:hint="default" w:ascii="Times New Roman" w:hAnsi="Times New Roman" w:eastAsia="仿宋" w:cs="Times New Roman"/>
          <w:b w:val="0"/>
          <w:bCs w:val="0"/>
        </w:rPr>
        <w:t>出决算表</w:t>
      </w:r>
      <w:bookmarkEnd w:id="56"/>
    </w:p>
    <w:p>
      <w:pPr>
        <w:pStyle w:val="4"/>
        <w:rPr>
          <w:rFonts w:hint="default" w:ascii="Times New Roman" w:hAnsi="Times New Roman" w:eastAsia="仿宋" w:cs="Times New Roman"/>
          <w:b w:val="0"/>
        </w:rPr>
      </w:pPr>
      <w:bookmarkStart w:id="57" w:name="_Toc15396622"/>
      <w:r>
        <w:rPr>
          <w:rStyle w:val="25"/>
          <w:rFonts w:hint="default" w:ascii="Times New Roman" w:hAnsi="Times New Roman" w:eastAsia="仿宋" w:cs="Times New Roman"/>
          <w:b w:val="0"/>
          <w:bCs w:val="0"/>
        </w:rPr>
        <w:t>四、</w:t>
      </w:r>
      <w:r>
        <w:rPr>
          <w:rFonts w:hint="default" w:ascii="Times New Roman" w:hAnsi="Times New Roman" w:eastAsia="仿宋" w:cs="Times New Roman"/>
          <w:b w:val="0"/>
        </w:rPr>
        <w:t>财</w:t>
      </w:r>
      <w:r>
        <w:rPr>
          <w:rStyle w:val="25"/>
          <w:rFonts w:hint="default" w:ascii="Times New Roman" w:hAnsi="Times New Roman" w:eastAsia="仿宋" w:cs="Times New Roman"/>
          <w:b w:val="0"/>
          <w:bCs w:val="0"/>
        </w:rPr>
        <w:t>政拨款收入支出决算总表</w:t>
      </w:r>
      <w:bookmarkEnd w:id="57"/>
    </w:p>
    <w:p>
      <w:pPr>
        <w:pStyle w:val="4"/>
        <w:rPr>
          <w:rStyle w:val="25"/>
          <w:rFonts w:hint="default" w:ascii="Times New Roman" w:hAnsi="Times New Roman" w:eastAsia="仿宋" w:cs="Times New Roman"/>
          <w:b w:val="0"/>
          <w:bCs w:val="0"/>
        </w:rPr>
      </w:pPr>
      <w:bookmarkStart w:id="58" w:name="_Toc15396623"/>
      <w:r>
        <w:rPr>
          <w:rStyle w:val="25"/>
          <w:rFonts w:hint="default" w:ascii="Times New Roman" w:hAnsi="Times New Roman" w:eastAsia="仿宋" w:cs="Times New Roman"/>
          <w:b w:val="0"/>
          <w:bCs w:val="0"/>
        </w:rPr>
        <w:t>五、</w:t>
      </w:r>
      <w:r>
        <w:rPr>
          <w:rFonts w:hint="default" w:ascii="Times New Roman" w:hAnsi="Times New Roman" w:eastAsia="仿宋" w:cs="Times New Roman"/>
          <w:b w:val="0"/>
        </w:rPr>
        <w:t>财</w:t>
      </w:r>
      <w:r>
        <w:rPr>
          <w:rStyle w:val="25"/>
          <w:rFonts w:hint="default" w:ascii="Times New Roman" w:hAnsi="Times New Roman" w:eastAsia="仿宋" w:cs="Times New Roman"/>
          <w:b w:val="0"/>
          <w:bCs w:val="0"/>
        </w:rPr>
        <w:t>政拨款支出决算明细表</w:t>
      </w:r>
      <w:bookmarkEnd w:id="58"/>
      <w:bookmarkStart w:id="59" w:name="_Toc15396624"/>
    </w:p>
    <w:p>
      <w:pPr>
        <w:pStyle w:val="4"/>
        <w:rPr>
          <w:rFonts w:hint="default" w:ascii="Times New Roman" w:hAnsi="Times New Roman" w:eastAsia="仿宋" w:cs="Times New Roman"/>
        </w:rPr>
      </w:pPr>
      <w:r>
        <w:rPr>
          <w:rStyle w:val="25"/>
          <w:rFonts w:hint="default" w:ascii="Times New Roman" w:hAnsi="Times New Roman" w:eastAsia="仿宋" w:cs="Times New Roman"/>
          <w:b w:val="0"/>
          <w:bCs w:val="0"/>
        </w:rPr>
        <w:t>六、</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般公共预算财政拨款支出决算表</w:t>
      </w:r>
      <w:bookmarkEnd w:id="59"/>
    </w:p>
    <w:p>
      <w:pPr>
        <w:pStyle w:val="4"/>
        <w:rPr>
          <w:rFonts w:hint="default" w:ascii="Times New Roman" w:hAnsi="Times New Roman" w:eastAsia="仿宋" w:cs="Times New Roman"/>
        </w:rPr>
      </w:pPr>
      <w:bookmarkStart w:id="60" w:name="_Toc15396625"/>
      <w:r>
        <w:rPr>
          <w:rStyle w:val="25"/>
          <w:rFonts w:hint="default" w:ascii="Times New Roman" w:hAnsi="Times New Roman" w:eastAsia="仿宋" w:cs="Times New Roman"/>
          <w:b w:val="0"/>
          <w:bCs w:val="0"/>
        </w:rPr>
        <w:t>七、</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般公共预算财政拨款支出决算明细表</w:t>
      </w:r>
      <w:bookmarkEnd w:id="60"/>
    </w:p>
    <w:p>
      <w:pPr>
        <w:pStyle w:val="4"/>
        <w:rPr>
          <w:rFonts w:hint="default" w:ascii="Times New Roman" w:hAnsi="Times New Roman" w:eastAsia="仿宋" w:cs="Times New Roman"/>
        </w:rPr>
      </w:pPr>
      <w:bookmarkStart w:id="61" w:name="_Toc15396626"/>
      <w:r>
        <w:rPr>
          <w:rStyle w:val="25"/>
          <w:rFonts w:hint="default" w:ascii="Times New Roman" w:hAnsi="Times New Roman" w:eastAsia="仿宋" w:cs="Times New Roman"/>
          <w:b w:val="0"/>
          <w:bCs w:val="0"/>
        </w:rPr>
        <w:t>八、</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般公共预算财政拨款基本支出决算表</w:t>
      </w:r>
      <w:bookmarkEnd w:id="61"/>
    </w:p>
    <w:p>
      <w:pPr>
        <w:pStyle w:val="4"/>
        <w:rPr>
          <w:rFonts w:hint="default" w:ascii="Times New Roman" w:hAnsi="Times New Roman" w:eastAsia="仿宋" w:cs="Times New Roman"/>
        </w:rPr>
      </w:pPr>
      <w:bookmarkStart w:id="62" w:name="_Toc15396627"/>
      <w:r>
        <w:rPr>
          <w:rStyle w:val="25"/>
          <w:rFonts w:hint="default" w:ascii="Times New Roman" w:hAnsi="Times New Roman" w:eastAsia="仿宋" w:cs="Times New Roman"/>
          <w:b w:val="0"/>
          <w:bCs w:val="0"/>
        </w:rPr>
        <w:t>九、</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般公共预算财政拨款项目支出决算表</w:t>
      </w:r>
      <w:bookmarkEnd w:id="62"/>
    </w:p>
    <w:p>
      <w:pPr>
        <w:pStyle w:val="4"/>
        <w:rPr>
          <w:rFonts w:hint="default" w:ascii="Times New Roman" w:hAnsi="Times New Roman" w:eastAsia="仿宋" w:cs="Times New Roman"/>
        </w:rPr>
      </w:pPr>
      <w:bookmarkStart w:id="63" w:name="_Toc15396628"/>
      <w:r>
        <w:rPr>
          <w:rStyle w:val="25"/>
          <w:rFonts w:hint="default" w:ascii="Times New Roman" w:hAnsi="Times New Roman" w:eastAsia="仿宋" w:cs="Times New Roman"/>
          <w:b w:val="0"/>
          <w:bCs w:val="0"/>
        </w:rPr>
        <w:t>十、</w:t>
      </w:r>
      <w:bookmarkEnd w:id="63"/>
      <w:r>
        <w:rPr>
          <w:rFonts w:hint="default" w:ascii="Times New Roman" w:hAnsi="Times New Roman" w:eastAsia="仿宋" w:cs="Times New Roman"/>
          <w:b w:val="0"/>
        </w:rPr>
        <w:t>政</w:t>
      </w:r>
      <w:r>
        <w:rPr>
          <w:rStyle w:val="25"/>
          <w:rFonts w:hint="default" w:ascii="Times New Roman" w:hAnsi="Times New Roman" w:eastAsia="仿宋" w:cs="Times New Roman"/>
          <w:b w:val="0"/>
          <w:bCs w:val="0"/>
        </w:rPr>
        <w:t>府性基金预算财政拨款收入支出决算表</w:t>
      </w:r>
    </w:p>
    <w:p>
      <w:pPr>
        <w:pStyle w:val="4"/>
        <w:rPr>
          <w:rFonts w:hint="default" w:ascii="Times New Roman" w:hAnsi="Times New Roman" w:eastAsia="仿宋" w:cs="Times New Roman"/>
        </w:rPr>
      </w:pPr>
      <w:bookmarkStart w:id="64" w:name="_Toc15396629"/>
      <w:r>
        <w:rPr>
          <w:rStyle w:val="25"/>
          <w:rFonts w:hint="default" w:ascii="Times New Roman" w:hAnsi="Times New Roman" w:eastAsia="仿宋" w:cs="Times New Roman"/>
          <w:b w:val="0"/>
          <w:bCs w:val="0"/>
        </w:rPr>
        <w:t>十一、</w:t>
      </w:r>
      <w:bookmarkEnd w:id="64"/>
      <w:r>
        <w:rPr>
          <w:rFonts w:hint="default" w:ascii="Times New Roman" w:hAnsi="Times New Roman" w:eastAsia="仿宋" w:cs="Times New Roman"/>
          <w:b w:val="0"/>
        </w:rPr>
        <w:t>国</w:t>
      </w:r>
      <w:r>
        <w:rPr>
          <w:rStyle w:val="25"/>
          <w:rFonts w:hint="default" w:ascii="Times New Roman" w:hAnsi="Times New Roman" w:eastAsia="仿宋" w:cs="Times New Roman"/>
          <w:b w:val="0"/>
          <w:bCs w:val="0"/>
        </w:rPr>
        <w:t>有资本经营预算财政拨款收入支出决算表</w:t>
      </w:r>
    </w:p>
    <w:p>
      <w:pPr>
        <w:pStyle w:val="4"/>
        <w:rPr>
          <w:rFonts w:hint="default" w:ascii="Times New Roman" w:hAnsi="Times New Roman" w:eastAsia="仿宋" w:cs="Times New Roman"/>
        </w:rPr>
      </w:pPr>
      <w:bookmarkStart w:id="65" w:name="_Toc15396630"/>
      <w:r>
        <w:rPr>
          <w:rStyle w:val="25"/>
          <w:rFonts w:hint="default" w:ascii="Times New Roman" w:hAnsi="Times New Roman" w:eastAsia="仿宋" w:cs="Times New Roman"/>
          <w:b w:val="0"/>
          <w:bCs w:val="0"/>
        </w:rPr>
        <w:t>十二、</w:t>
      </w:r>
      <w:bookmarkEnd w:id="65"/>
      <w:r>
        <w:rPr>
          <w:rStyle w:val="25"/>
          <w:rFonts w:hint="default" w:ascii="Times New Roman" w:hAnsi="Times New Roman" w:eastAsia="仿宋" w:cs="Times New Roman"/>
          <w:b w:val="0"/>
          <w:bCs w:val="0"/>
        </w:rPr>
        <w:t>国有资本经营预算财政拨款支出决算表</w:t>
      </w:r>
    </w:p>
    <w:p>
      <w:pPr>
        <w:pStyle w:val="4"/>
        <w:rPr>
          <w:rFonts w:hint="default" w:ascii="Times New Roman" w:hAnsi="Times New Roman" w:eastAsia="仿宋" w:cs="Times New Roman"/>
        </w:rPr>
      </w:pPr>
      <w:bookmarkStart w:id="66" w:name="_Toc15396631"/>
      <w:r>
        <w:rPr>
          <w:rStyle w:val="25"/>
          <w:rFonts w:hint="default" w:ascii="Times New Roman" w:hAnsi="Times New Roman" w:eastAsia="仿宋" w:cs="Times New Roman"/>
          <w:b w:val="0"/>
          <w:bCs w:val="0"/>
        </w:rPr>
        <w:t>十三、</w:t>
      </w:r>
      <w:bookmarkEnd w:id="66"/>
      <w:r>
        <w:rPr>
          <w:rStyle w:val="25"/>
          <w:rFonts w:hint="default" w:ascii="Times New Roman" w:hAnsi="Times New Roman" w:eastAsia="仿宋" w:cs="Times New Roman"/>
          <w:b w:val="0"/>
          <w:bCs w:val="0"/>
        </w:rPr>
        <w:t>财政拨款“三公”经费支出决算表</w:t>
      </w:r>
    </w:p>
    <w:sectPr>
      <w:footerReference r:id="rId11" w:type="first"/>
      <w:footerReference r:id="rId10"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posOffset>5098415</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1.45pt;margin-top:0pt;height:144pt;width:144pt;mso-position-horizontal-relative:margin;mso-wrap-style:none;z-index:251660288;mso-width-relative:page;mso-height-relative:page;" filled="f" stroked="f" coordsize="21600,21600" o:gfxdata="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sefFtQAAAAJAQAADwAAAAAAAAAB&#10;ACAAAAAiAAAAZHJzL2Rvd25yZXYueG1sUEsBAhQAFAAAAAgAh07iQF7QmRUUAgAAEwQAAA4AAAAA&#10;AAAAAQAgAAAAIwEAAGRycy9lMm9Eb2MueG1sUEsFBgAAAAAGAAYAWQEAAKk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wODE5MjM4MTZkNzZkNzRmODBmYWM5MDhjODc0M2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21C"/>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F0689F"/>
    <w:rsid w:val="053A62B5"/>
    <w:rsid w:val="06C87A64"/>
    <w:rsid w:val="083A66F4"/>
    <w:rsid w:val="09B53BE4"/>
    <w:rsid w:val="0A2032A3"/>
    <w:rsid w:val="0A502C6A"/>
    <w:rsid w:val="0B380900"/>
    <w:rsid w:val="0B8A37D8"/>
    <w:rsid w:val="0F830C96"/>
    <w:rsid w:val="0FF651B0"/>
    <w:rsid w:val="103756F7"/>
    <w:rsid w:val="10A97479"/>
    <w:rsid w:val="10C055FF"/>
    <w:rsid w:val="118107EC"/>
    <w:rsid w:val="11DD6519"/>
    <w:rsid w:val="15E136A6"/>
    <w:rsid w:val="16BB723D"/>
    <w:rsid w:val="16EA1FD1"/>
    <w:rsid w:val="17E77A88"/>
    <w:rsid w:val="18015F3F"/>
    <w:rsid w:val="190A0288"/>
    <w:rsid w:val="1ABA048D"/>
    <w:rsid w:val="1BE8440E"/>
    <w:rsid w:val="1D155CEE"/>
    <w:rsid w:val="1D60738B"/>
    <w:rsid w:val="1DC00442"/>
    <w:rsid w:val="1DD97A38"/>
    <w:rsid w:val="1E3012E6"/>
    <w:rsid w:val="1EFB22A2"/>
    <w:rsid w:val="1F1F3E5B"/>
    <w:rsid w:val="1F366B78"/>
    <w:rsid w:val="1F9FE583"/>
    <w:rsid w:val="20F57F95"/>
    <w:rsid w:val="21647B3B"/>
    <w:rsid w:val="221114FC"/>
    <w:rsid w:val="228E1A63"/>
    <w:rsid w:val="22CC7D87"/>
    <w:rsid w:val="236822E0"/>
    <w:rsid w:val="23934DC3"/>
    <w:rsid w:val="240371BF"/>
    <w:rsid w:val="25711CC6"/>
    <w:rsid w:val="25C741E6"/>
    <w:rsid w:val="25FAAD17"/>
    <w:rsid w:val="27842671"/>
    <w:rsid w:val="281731D8"/>
    <w:rsid w:val="281949CA"/>
    <w:rsid w:val="28E30BD9"/>
    <w:rsid w:val="298606BB"/>
    <w:rsid w:val="29FD04D3"/>
    <w:rsid w:val="2A0A560A"/>
    <w:rsid w:val="2ABE7A3E"/>
    <w:rsid w:val="2CA234A8"/>
    <w:rsid w:val="2D52094D"/>
    <w:rsid w:val="2E1E9AA1"/>
    <w:rsid w:val="2EFA178C"/>
    <w:rsid w:val="2F5AFDE1"/>
    <w:rsid w:val="30B46D73"/>
    <w:rsid w:val="319F7F4E"/>
    <w:rsid w:val="325F640C"/>
    <w:rsid w:val="33574E47"/>
    <w:rsid w:val="33FC1622"/>
    <w:rsid w:val="35FFABBD"/>
    <w:rsid w:val="3644392C"/>
    <w:rsid w:val="37F782DD"/>
    <w:rsid w:val="383D272C"/>
    <w:rsid w:val="38DAC74A"/>
    <w:rsid w:val="39AE70AB"/>
    <w:rsid w:val="3ACB66AA"/>
    <w:rsid w:val="3BC71511"/>
    <w:rsid w:val="3BCFD5FD"/>
    <w:rsid w:val="3C0C0783"/>
    <w:rsid w:val="3EF775F4"/>
    <w:rsid w:val="3F9F3A96"/>
    <w:rsid w:val="3FBEC7AB"/>
    <w:rsid w:val="3FBF6014"/>
    <w:rsid w:val="3FDE6B56"/>
    <w:rsid w:val="3FFCE97B"/>
    <w:rsid w:val="48BF60AB"/>
    <w:rsid w:val="493C27E9"/>
    <w:rsid w:val="496F39ED"/>
    <w:rsid w:val="49FF41D3"/>
    <w:rsid w:val="4AEE7EAD"/>
    <w:rsid w:val="4BE068DB"/>
    <w:rsid w:val="4BF6002B"/>
    <w:rsid w:val="4C6E15A6"/>
    <w:rsid w:val="4D7E6A4C"/>
    <w:rsid w:val="4ECE2238"/>
    <w:rsid w:val="4F121642"/>
    <w:rsid w:val="4F6BAF8E"/>
    <w:rsid w:val="4FF4F0D9"/>
    <w:rsid w:val="4FFB75F4"/>
    <w:rsid w:val="50A31DA5"/>
    <w:rsid w:val="515B0626"/>
    <w:rsid w:val="51DB4B86"/>
    <w:rsid w:val="53997607"/>
    <w:rsid w:val="55333C3E"/>
    <w:rsid w:val="56611306"/>
    <w:rsid w:val="58DFDB4A"/>
    <w:rsid w:val="59132147"/>
    <w:rsid w:val="5BFD3563"/>
    <w:rsid w:val="5C0B1F9F"/>
    <w:rsid w:val="5DB26FBC"/>
    <w:rsid w:val="5DE43029"/>
    <w:rsid w:val="5EFEB90A"/>
    <w:rsid w:val="6019081A"/>
    <w:rsid w:val="608A698D"/>
    <w:rsid w:val="60E76E93"/>
    <w:rsid w:val="61EA2789"/>
    <w:rsid w:val="62243957"/>
    <w:rsid w:val="6277E3D7"/>
    <w:rsid w:val="64CA39A1"/>
    <w:rsid w:val="67BECBFA"/>
    <w:rsid w:val="69630ADE"/>
    <w:rsid w:val="69B3CB25"/>
    <w:rsid w:val="6B4C0381"/>
    <w:rsid w:val="6C4A05C8"/>
    <w:rsid w:val="6D3B1A89"/>
    <w:rsid w:val="6DC0780C"/>
    <w:rsid w:val="6FAB6406"/>
    <w:rsid w:val="71A86D68"/>
    <w:rsid w:val="71BF4EC2"/>
    <w:rsid w:val="72734D90"/>
    <w:rsid w:val="72FE17CA"/>
    <w:rsid w:val="7412278C"/>
    <w:rsid w:val="76AD6279"/>
    <w:rsid w:val="76FF0110"/>
    <w:rsid w:val="77475FBE"/>
    <w:rsid w:val="778818BD"/>
    <w:rsid w:val="79CB0D97"/>
    <w:rsid w:val="79E7B28D"/>
    <w:rsid w:val="7AEDA703"/>
    <w:rsid w:val="7B7BC786"/>
    <w:rsid w:val="7B7FA5CD"/>
    <w:rsid w:val="7B9D3C98"/>
    <w:rsid w:val="7BCF21D5"/>
    <w:rsid w:val="7BD585B0"/>
    <w:rsid w:val="7DD809D3"/>
    <w:rsid w:val="7DF94CBC"/>
    <w:rsid w:val="7E7BB792"/>
    <w:rsid w:val="7E992CF7"/>
    <w:rsid w:val="7F9F20EE"/>
    <w:rsid w:val="7FBADE19"/>
    <w:rsid w:val="7FBF2701"/>
    <w:rsid w:val="7FEE7242"/>
    <w:rsid w:val="7FF9657C"/>
    <w:rsid w:val="7FFB5BF3"/>
    <w:rsid w:val="7FFCD3AE"/>
    <w:rsid w:val="87DF9543"/>
    <w:rsid w:val="9E3A10E2"/>
    <w:rsid w:val="AAF7DF0F"/>
    <w:rsid w:val="B57FFC94"/>
    <w:rsid w:val="BB672D6F"/>
    <w:rsid w:val="BDFDE385"/>
    <w:rsid w:val="BE3F8DAD"/>
    <w:rsid w:val="BEFFFB73"/>
    <w:rsid w:val="BF01A0F0"/>
    <w:rsid w:val="C7FF8FC5"/>
    <w:rsid w:val="CEF4A622"/>
    <w:rsid w:val="CFEF3DC9"/>
    <w:rsid w:val="CFFDDAEB"/>
    <w:rsid w:val="D95906C1"/>
    <w:rsid w:val="DBEFDE18"/>
    <w:rsid w:val="DCFE02A0"/>
    <w:rsid w:val="DF3369CA"/>
    <w:rsid w:val="DF3E343B"/>
    <w:rsid w:val="DF6A4DEB"/>
    <w:rsid w:val="DFDE33BE"/>
    <w:rsid w:val="DFF7F8BA"/>
    <w:rsid w:val="DFF96F17"/>
    <w:rsid w:val="DFF96F42"/>
    <w:rsid w:val="E3FB12F5"/>
    <w:rsid w:val="E47DB107"/>
    <w:rsid w:val="E7BBA40F"/>
    <w:rsid w:val="E7CBFADE"/>
    <w:rsid w:val="F2E1F9D4"/>
    <w:rsid w:val="F4FF20A3"/>
    <w:rsid w:val="F7880819"/>
    <w:rsid w:val="F9B73661"/>
    <w:rsid w:val="F9F76C11"/>
    <w:rsid w:val="FBED6156"/>
    <w:rsid w:val="FBED875C"/>
    <w:rsid w:val="FDFD4813"/>
    <w:rsid w:val="FF8F8D10"/>
    <w:rsid w:val="FFA356E2"/>
    <w:rsid w:val="FFBBFC80"/>
    <w:rsid w:val="FFBF6D6E"/>
    <w:rsid w:val="FFDE0C2E"/>
    <w:rsid w:val="FFEB513E"/>
    <w:rsid w:val="FFF14E14"/>
    <w:rsid w:val="FFF51804"/>
    <w:rsid w:val="FFFDB3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7.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189.59</c:v>
                </c:pt>
                <c:pt idx="1">
                  <c:v>224</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Sheet1!$C$2:$C$3</c:f>
              <c:numCache>
                <c:formatCode>General</c:formatCode>
                <c:ptCount val="2"/>
                <c:pt idx="0">
                  <c:v>228.16</c:v>
                </c:pt>
                <c:pt idx="1">
                  <c:v>228.58</c:v>
                </c:pt>
              </c:numCache>
            </c:numRef>
          </c:val>
        </c:ser>
        <c:dLbls>
          <c:showLegendKey val="0"/>
          <c:showVal val="1"/>
          <c:showCatName val="0"/>
          <c:showSerName val="0"/>
          <c:showPercent val="0"/>
          <c:showBubbleSize val="0"/>
        </c:dLbls>
        <c:gapWidth val="219"/>
        <c:overlap val="-27"/>
        <c:axId val="926695734"/>
        <c:axId val="646009841"/>
      </c:barChart>
      <c:catAx>
        <c:axId val="92669573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009841"/>
        <c:crosses val="autoZero"/>
        <c:auto val="1"/>
        <c:lblAlgn val="ctr"/>
        <c:lblOffset val="100"/>
        <c:noMultiLvlLbl val="0"/>
      </c:catAx>
      <c:valAx>
        <c:axId val="64600984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69573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0.00%</c:formatCode>
                <c:ptCount val="8"/>
                <c:pt idx="0">
                  <c:v>0.7772</c:v>
                </c:pt>
                <c:pt idx="1" c:formatCode="General">
                  <c:v>0</c:v>
                </c:pt>
                <c:pt idx="2" c:formatCode="General">
                  <c:v>0</c:v>
                </c:pt>
                <c:pt idx="3" c:formatCode="General">
                  <c:v>0</c:v>
                </c:pt>
                <c:pt idx="4" c:formatCode="General">
                  <c:v>0</c:v>
                </c:pt>
                <c:pt idx="5" c:formatCode="General">
                  <c:v>0</c:v>
                </c:pt>
                <c:pt idx="6" c:formatCode="General">
                  <c:v>0</c:v>
                </c:pt>
                <c:pt idx="7">
                  <c:v>0.2228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0.00%</c:formatCode>
                <c:ptCount val="5"/>
                <c:pt idx="0">
                  <c:v>0.9213</c:v>
                </c:pt>
                <c:pt idx="1">
                  <c:v>0.0787</c:v>
                </c:pt>
                <c:pt idx="2" c:formatCode="General">
                  <c:v>0</c:v>
                </c:pt>
                <c:pt idx="3" c:formatCode="General">
                  <c:v>0</c:v>
                </c:pt>
                <c:pt idx="4"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133.71</c:v>
                </c:pt>
                <c:pt idx="1">
                  <c:v>174.11</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Sheet1!$C$2:$C$3</c:f>
              <c:numCache>
                <c:formatCode>General</c:formatCode>
                <c:ptCount val="2"/>
                <c:pt idx="0">
                  <c:v>133.71</c:v>
                </c:pt>
                <c:pt idx="1">
                  <c:v>178.7</c:v>
                </c:pt>
              </c:numCache>
            </c:numRef>
          </c:val>
        </c:ser>
        <c:dLbls>
          <c:showLegendKey val="0"/>
          <c:showVal val="1"/>
          <c:showCatName val="0"/>
          <c:showSerName val="0"/>
          <c:showPercent val="0"/>
          <c:showBubbleSize val="0"/>
        </c:dLbls>
        <c:gapWidth val="219"/>
        <c:overlap val="-27"/>
        <c:axId val="12736052"/>
        <c:axId val="328279896"/>
      </c:barChart>
      <c:catAx>
        <c:axId val="127360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8279896"/>
        <c:crosses val="autoZero"/>
        <c:auto val="1"/>
        <c:lblAlgn val="ctr"/>
        <c:lblOffset val="100"/>
        <c:noMultiLvlLbl val="0"/>
      </c:catAx>
      <c:valAx>
        <c:axId val="328279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360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22774869109948"/>
          <c:y val="0.008"/>
          <c:w val="0.900706806282722"/>
          <c:h val="0.69104"/>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178.7</c:v>
                </c:pt>
                <c:pt idx="1">
                  <c:v>133.71</c:v>
                </c:pt>
              </c:numCache>
            </c:numRef>
          </c:val>
        </c:ser>
        <c:dLbls>
          <c:showLegendKey val="0"/>
          <c:showVal val="1"/>
          <c:showCatName val="0"/>
          <c:showSerName val="0"/>
          <c:showPercent val="0"/>
          <c:showBubbleSize val="0"/>
        </c:dLbls>
        <c:gapWidth val="219"/>
        <c:overlap val="-27"/>
        <c:axId val="693514784"/>
        <c:axId val="193667864"/>
      </c:barChart>
      <c:catAx>
        <c:axId val="6935147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3667864"/>
        <c:crosses val="autoZero"/>
        <c:auto val="1"/>
        <c:lblAlgn val="ctr"/>
        <c:lblOffset val="100"/>
        <c:noMultiLvlLbl val="0"/>
      </c:catAx>
      <c:valAx>
        <c:axId val="19366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5147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社会保障和就业支出</c:v>
                </c:pt>
                <c:pt idx="1">
                  <c:v>节能环保支出</c:v>
                </c:pt>
                <c:pt idx="2">
                  <c:v>住房保障支出</c:v>
                </c:pt>
              </c:strCache>
            </c:strRef>
          </c:cat>
          <c:val>
            <c:numRef>
              <c:f>Sheet1!$B$2:$B$4</c:f>
              <c:numCache>
                <c:formatCode>0.00%</c:formatCode>
                <c:ptCount val="3"/>
                <c:pt idx="0">
                  <c:v>0.0732</c:v>
                </c:pt>
                <c:pt idx="1">
                  <c:v>0.8412</c:v>
                </c:pt>
                <c:pt idx="2">
                  <c:v>0.0856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formatCode="0.00%">
                  <c:v>0.904</c:v>
                </c:pt>
                <c:pt idx="2" c:formatCode="0.00%">
                  <c:v>0.096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882</Words>
  <Characters>5030</Characters>
  <Lines>41</Lines>
  <Paragraphs>11</Paragraphs>
  <TotalTime>30</TotalTime>
  <ScaleCrop>false</ScaleCrop>
  <LinksUpToDate>false</LinksUpToDate>
  <CharactersWithSpaces>5901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王顺莉</cp:lastModifiedBy>
  <cp:lastPrinted>2023-08-01T10:35:00Z</cp:lastPrinted>
  <dcterms:modified xsi:type="dcterms:W3CDTF">2023-09-11T08:16:02Z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C70A74CAA37F4E07942B79BDEF64248F_12</vt:lpwstr>
  </property>
</Properties>
</file>