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hint="eastAsia" w:ascii="方正小标宋简体" w:hAnsi="方正小标宋简体" w:eastAsia="方正小标宋简体" w:cs="方正小标宋简体"/>
          <w:sz w:val="72"/>
          <w:szCs w:val="72"/>
        </w:rPr>
      </w:pPr>
      <w:bookmarkStart w:id="1" w:name="_Toc15396475"/>
      <w:bookmarkStart w:id="2" w:name="_Toc15378441"/>
      <w:bookmarkStart w:id="3" w:name="_Toc15377425"/>
      <w:bookmarkStart w:id="4" w:name="_Toc15396597"/>
      <w:bookmarkStart w:id="5" w:name="_Toc15377193"/>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p>
    <w:p>
      <w:pPr>
        <w:adjustRightInd w:val="0"/>
        <w:snapToGrid w:val="0"/>
        <w:spacing w:line="360" w:lineRule="auto"/>
        <w:jc w:val="center"/>
        <w:outlineLvl w:val="0"/>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2022年度</w:t>
      </w:r>
      <w:bookmarkEnd w:id="1"/>
      <w:bookmarkEnd w:id="2"/>
      <w:bookmarkEnd w:id="3"/>
      <w:bookmarkEnd w:id="4"/>
      <w:bookmarkEnd w:id="5"/>
    </w:p>
    <w:p>
      <w:pPr>
        <w:adjustRightInd w:val="0"/>
        <w:snapToGrid w:val="0"/>
        <w:spacing w:line="360" w:lineRule="auto"/>
        <w:jc w:val="center"/>
        <w:outlineLvl w:val="0"/>
        <w:rPr>
          <w:rFonts w:hint="eastAsia" w:ascii="方正小标宋_GBK" w:hAnsi="方正小标宋_GBK" w:eastAsia="方正小标宋_GBK" w:cs="方正小标宋_GBK"/>
          <w:sz w:val="72"/>
          <w:szCs w:val="72"/>
        </w:rPr>
      </w:pPr>
      <w:bookmarkStart w:id="6" w:name="_Toc15378442"/>
      <w:bookmarkStart w:id="7" w:name="_Toc15377194"/>
      <w:bookmarkStart w:id="8" w:name="_Toc15377426"/>
      <w:bookmarkStart w:id="9" w:name="_Toc15396476"/>
      <w:bookmarkStart w:id="10" w:name="_Toc15396598"/>
      <w:r>
        <w:rPr>
          <w:rFonts w:hint="eastAsia" w:ascii="方正小标宋_GBK" w:hAnsi="方正小标宋_GBK" w:eastAsia="方正小标宋_GBK" w:cs="方正小标宋_GBK"/>
          <w:sz w:val="72"/>
          <w:szCs w:val="72"/>
        </w:rPr>
        <w:t>攀枝花市</w:t>
      </w:r>
      <w:bookmarkEnd w:id="0"/>
      <w:bookmarkStart w:id="11" w:name="_Toc15306268"/>
      <w:r>
        <w:rPr>
          <w:rFonts w:hint="eastAsia" w:ascii="方正小标宋_GBK" w:hAnsi="方正小标宋_GBK" w:eastAsia="方正小标宋_GBK" w:cs="方正小标宋_GBK"/>
          <w:sz w:val="72"/>
          <w:szCs w:val="72"/>
          <w:lang w:eastAsia="zh-CN"/>
        </w:rPr>
        <w:t>盐边生态环境局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_GBK" w:hAnsi="方正小标宋_GBK" w:eastAsia="方正小标宋_GBK" w:cs="方正小标宋_GBK"/>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12</w:t>
      </w:r>
      <w:r>
        <w:rPr>
          <w:rFonts w:hint="eastAsia"/>
        </w:rPr>
        <w:t>日</w:t>
      </w:r>
    </w:p>
    <w:p/>
    <w:p>
      <w:pPr>
        <w:pStyle w:val="10"/>
        <w:adjustRightInd w:val="0"/>
        <w:snapToGrid w:val="0"/>
        <w:spacing w:before="0" w:line="44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第一部分 单位概况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p>
    <w:p>
      <w:pPr>
        <w:pStyle w:val="11"/>
        <w:adjustRightInd w:val="0"/>
        <w:snapToGrid w:val="0"/>
        <w:spacing w:line="44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一、主要职责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p>
    <w:p>
      <w:pPr>
        <w:pStyle w:val="11"/>
        <w:adjustRightInd w:val="0"/>
        <w:snapToGrid w:val="0"/>
        <w:spacing w:line="44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二、机构设置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p>
    <w:p>
      <w:pPr>
        <w:pStyle w:val="10"/>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第二部分 2022年度单位决算情况说明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10</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10</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10</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12</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14</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七、财政拨款“三公”经费支出决算情况说明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14</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16</w:t>
      </w:r>
    </w:p>
    <w:p>
      <w:pPr>
        <w:pStyle w:val="11"/>
        <w:adjustRightInd w:val="0"/>
        <w:snapToGrid w:val="0"/>
        <w:spacing w:line="44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九、国有资本经营预算支出决算情况说明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16</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16</w:t>
      </w:r>
    </w:p>
    <w:p>
      <w:pPr>
        <w:pStyle w:val="10"/>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第三部分 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18</w:t>
      </w:r>
    </w:p>
    <w:p>
      <w:pPr>
        <w:pStyle w:val="10"/>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第四部分 附件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20</w:t>
      </w:r>
    </w:p>
    <w:p>
      <w:pPr>
        <w:pStyle w:val="10"/>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第五部分 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二、收入决算表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四、财政拨款收入支出决算总表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六、一般公共预算财政拨款支出决算表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七、一般公共预算财政拨款支出决算明细表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八、一般公共预算财政拨款基本支出决算明细表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九、一般公共预算财政拨款项目支出决算表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十、政府性基金预算财政拨款收入支出决算表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十一、国有资本经营预算财政拨款收入支出决算表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十二、国有资本经营预算财政拨款支出决算表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十三、财政拨款“三公”经费支出决算表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21</w:t>
      </w:r>
      <w:bookmarkStart w:id="65" w:name="_GoBack"/>
      <w:bookmarkEnd w:id="65"/>
    </w:p>
    <w:p>
      <w:pPr>
        <w:widowControl/>
        <w:spacing w:line="440" w:lineRule="exact"/>
        <w:jc w:val="left"/>
        <w:rPr>
          <w:rFonts w:hint="eastAsia" w:ascii="仿宋_GB2312" w:hAnsi="仿宋_GB2312" w:eastAsia="仿宋_GB2312" w:cs="仿宋_GB2312"/>
          <w:bCs/>
          <w:kern w:val="44"/>
          <w:sz w:val="28"/>
          <w:szCs w:val="28"/>
        </w:rPr>
      </w:pPr>
      <w:bookmarkStart w:id="12" w:name="_Toc15377196"/>
      <w:bookmarkStart w:id="13" w:name="_Toc15396599"/>
      <w:r>
        <w:rPr>
          <w:rFonts w:hint="eastAsia" w:ascii="仿宋_GB2312" w:hAnsi="仿宋_GB2312" w:eastAsia="仿宋_GB2312" w:cs="仿宋_GB2312"/>
          <w:b/>
          <w:sz w:val="28"/>
          <w:szCs w:val="28"/>
        </w:rPr>
        <w:br w:type="page"/>
      </w:r>
    </w:p>
    <w:p>
      <w:pPr>
        <w:pStyle w:val="2"/>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pStyle w:val="3"/>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rPr>
      </w:pPr>
      <w:r>
        <w:rPr>
          <w:rStyle w:val="25"/>
          <w:rFonts w:hint="eastAsia" w:ascii="黑体" w:hAnsi="黑体" w:eastAsia="黑体"/>
          <w:b w:val="0"/>
          <w:bCs w:val="0"/>
          <w:lang w:eastAsia="zh-CN"/>
        </w:rPr>
        <w:t>一、</w:t>
      </w:r>
      <w:r>
        <w:rPr>
          <w:rStyle w:val="25"/>
          <w:rFonts w:hint="eastAsia" w:ascii="黑体" w:hAnsi="黑体" w:eastAsia="黑体"/>
          <w:b w:val="0"/>
          <w:bCs w:val="0"/>
        </w:rPr>
        <w:t>主要职责</w:t>
      </w:r>
      <w:bookmarkStart w:id="14" w:name="_Toc15377197"/>
      <w:bookmarkStart w:id="15" w:name="_Toc15396600"/>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仿宋_GB2312" w:cs="Times New Roman"/>
          <w:b w:val="0"/>
          <w:bCs w:val="0"/>
        </w:rPr>
      </w:pPr>
      <w:r>
        <w:rPr>
          <w:rFonts w:ascii="Times New Roman" w:hAnsi="Times New Roman" w:eastAsia="仿宋_GB2312" w:cs="Times New Roman"/>
          <w:b w:val="0"/>
          <w:bCs w:val="0"/>
        </w:rPr>
        <w:t>（</w:t>
      </w:r>
      <w:r>
        <w:rPr>
          <w:rFonts w:hint="eastAsia" w:ascii="Times New Roman" w:hAnsi="Times New Roman" w:eastAsia="仿宋_GB2312" w:cs="Times New Roman"/>
          <w:b w:val="0"/>
          <w:bCs w:val="0"/>
        </w:rPr>
        <w:t>一</w:t>
      </w:r>
      <w:r>
        <w:rPr>
          <w:rFonts w:ascii="Times New Roman" w:hAnsi="Times New Roman" w:eastAsia="仿宋_GB2312" w:cs="Times New Roman"/>
          <w:b w:val="0"/>
          <w:bCs w:val="0"/>
        </w:rPr>
        <w:t>）负责建立健全并执行各项生态环境基本制度。贯彻执行国家、省、市有关法律、法规、规章和政策，会同有关部门拟订并组织实施区域内生态环境政策、规划。组织编制环境功能区划，会同有关部门编制并监督实施重点区域、流域、饮用水水源地生态环境规划和水功能区划，参与制定与区域内生态环境相关的经济、技术、资源配置和产业政策。参与拟订并贯彻执行区域内主体功能区划。</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负责区域内较大及以下生态环境问题的统筹协调和监督管理。牵头协调区域内较大及以下突发生态环境事件和生态破坏事件的调查处理，指导协调区域内生态环境事件的应急、预警工作，参与实施生态环境损害赔偿制度，协调解决有关跨区域环境污染纠纷。统筹协调区域内生态环境保护工作。</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负责监督管理区域内减排目标的落实。组织实施区域内各类污染物排放总量控制和排污许可证制度，提出实施总量控制的污染物控制指标，督查、督办、核查污染物减排任务完成情况。实施生态环境目标责任制。</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）负责提出区域内生态环境领域财政专项资金安排的建议。参与指导推动区域内循环经济和生态环保产业发展。</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牵头生物物种（含遗传资源）工作，组织协调生物多样性保护工作，参与生态保护补偿工作。</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）负责区域内生态环境准入的监督管理。根据授权对建设项目环境影响评价文件进行审批，按规定审查开发建设区域、规划、项目环境影响评价文件。组织实施区域内生态环境准入清单。</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七</w:t>
      </w:r>
      <w:r>
        <w:rPr>
          <w:rFonts w:eastAsia="仿宋_GB2312"/>
          <w:sz w:val="32"/>
          <w:szCs w:val="32"/>
        </w:rPr>
        <w:t>）负责应对气候变化工作。组织实施国家、省应对气候变化及温室气体减排重大战略、规划和政策，组织实施区域内应对气候变化的规划和政策措施。</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八</w:t>
      </w:r>
      <w:r>
        <w:rPr>
          <w:rFonts w:eastAsia="仿宋_GB2312"/>
          <w:sz w:val="32"/>
          <w:szCs w:val="32"/>
        </w:rPr>
        <w:t>）组织开展中央、省环保督察反馈问题的整改。贯彻执行中央、省生态环境保护督察制度。督促协调产业园区、乡镇（街道）和区域内有关部门整改突出环境问题。</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九</w:t>
      </w:r>
      <w:r>
        <w:rPr>
          <w:rFonts w:eastAsia="仿宋_GB2312"/>
          <w:sz w:val="32"/>
          <w:szCs w:val="32"/>
        </w:rPr>
        <w:t>）负责区域内生态环境监督执法。组织开展区域内生态环境保护执法检查，根据授权查处生态环境违法问题。监督实施建设项目生态环境保护设施“三同时”制度。</w:t>
      </w:r>
    </w:p>
    <w:p>
      <w:pPr>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十</w:t>
      </w:r>
      <w:r>
        <w:rPr>
          <w:rFonts w:eastAsia="仿宋_GB2312"/>
          <w:sz w:val="32"/>
          <w:szCs w:val="32"/>
        </w:rPr>
        <w:t>）组织指导和协调区域内生态环境宣传教育工作。制定并组织实施区域内生态环境保护宣传教育有关规划和计划。推动社会组织和公众参与生态环境保护。会同有关部门依法对区域内保护和改善生态环境有显著成绩的单位和个人给予表扬和奖励。</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十一</w:t>
      </w:r>
      <w:r>
        <w:rPr>
          <w:rFonts w:eastAsia="仿宋_GB2312"/>
          <w:sz w:val="32"/>
          <w:szCs w:val="32"/>
        </w:rPr>
        <w:t>）开展生态环境科技工作。管理区域内生态环境保护科技成果并推广应用。组织开展生态环境重大科学研究和技术工程示范，推动生态环境技术管理体系建设。</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十二</w:t>
      </w:r>
      <w:r>
        <w:rPr>
          <w:rFonts w:eastAsia="仿宋_GB2312"/>
          <w:sz w:val="32"/>
          <w:szCs w:val="32"/>
        </w:rPr>
        <w:t>）负责职责范围内安全生产和职业健康等工作。</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十三</w:t>
      </w:r>
      <w:r>
        <w:rPr>
          <w:rFonts w:eastAsia="仿宋_GB2312"/>
          <w:sz w:val="32"/>
          <w:szCs w:val="32"/>
        </w:rPr>
        <w:t>）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b w:val="0"/>
          <w:sz w:val="32"/>
          <w:szCs w:val="32"/>
        </w:rPr>
      </w:pPr>
      <w:r>
        <w:rPr>
          <w:rFonts w:hint="eastAsia" w:ascii="黑体" w:hAnsi="黑体" w:eastAsia="黑体"/>
          <w:b w:val="0"/>
          <w:sz w:val="32"/>
          <w:szCs w:val="32"/>
        </w:rPr>
        <w:t>二、机构设置</w:t>
      </w:r>
      <w:bookmarkEnd w:id="14"/>
      <w:bookmarkEnd w:id="15"/>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攀枝花市盐边</w:t>
      </w:r>
      <w:r>
        <w:rPr>
          <w:rFonts w:hint="eastAsia" w:ascii="仿宋_GB2312" w:hAnsi="仿宋_GB2312" w:eastAsia="仿宋_GB2312" w:cs="仿宋_GB2312"/>
          <w:sz w:val="32"/>
          <w:szCs w:val="32"/>
        </w:rPr>
        <w:t>生态环境局属二级预算单位，内设机构为办公室、综合业务股、污染防治股</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b w:val="0"/>
          <w:bCs w:val="0"/>
          <w:kern w:val="2"/>
          <w:sz w:val="32"/>
          <w:szCs w:val="32"/>
          <w:lang w:val="en-US" w:eastAsia="zh-CN" w:bidi="ar-SA"/>
        </w:rPr>
        <w:t>盐边生态环境保护综合行政执法大队</w:t>
      </w:r>
      <w:r>
        <w:rPr>
          <w:rFonts w:hint="eastAsia" w:eastAsia="仿宋_GB2312" w:cs="Times New Roman"/>
          <w:b w:val="0"/>
          <w:bCs w:val="0"/>
          <w:kern w:val="2"/>
          <w:sz w:val="32"/>
          <w:szCs w:val="32"/>
          <w:lang w:val="en-US" w:eastAsia="zh-CN" w:bidi="ar-SA"/>
        </w:rPr>
        <w:t>。</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生态环境局办公室：负责文电、档案、机要、保密、目标管理、会议会务、爱国卫生、安全保卫等工作。负责机关基本建设和行政后勤工作。负责机关内部交办事项的督办工作。组织办理人大代表、政协委员的议案、提案等工作。组织开展重大专题调研。实施区域内生态环境保护目标责任制。负责生态环境信息宣传工作。承担机关的财务和国有资产管理等工作。承担机关的劳动工资等工作。负责所属离退休人员管理。负责机关党的政治、思想、组织、作风、纪律、制度建设和群团工作，维护政治安全稳定。负责机关党风廉政建设和惩防体系建设，组织开展党风廉政建设教育工作。</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综合业务股</w:t>
      </w:r>
      <w:r>
        <w:rPr>
          <w:rFonts w:hint="eastAsia"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负责生态环境规划工作，参与拟订区域内国民经济与社会发展规划。牵头负责主要污染物总量控制与减排工作。根据授权承担排污许可的综合协调和管理工作。负责环境统计工作。承担环境监测工作。承担污染源普查工作。承担生态文明体制改革工作。承担生态环境领域内专项资金项目管理相关工作，承担生态环境保护专项资金项目监督检查工作。根据授权承担有关审批服务事项的受理、审批等工作。根据授权承担项目环境影响评价的审查审批工作。监督实施建设项目生态环境保护设施“三同时”制度。负责建立环境责任体系，监督区域内生态环境保护“党政同责、一岗双责”落实情况。组织迎接中央、省生态环境保护督察及问题整改工作。负责区域内生态环境问题的统筹协调和监督管理。负责辐射环境事故应急处理工作。监督管理放射源与射线装置安全，负责核与辐射建设项目“三同时”管理工作。负责协调区域内较大及以下突发生态环境事件和生态破坏事件的应对及后续有关工作。负责机关信访、维稳、综治等工作。协调解决有关跨区域环境污染纠纷。</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污染防治股</w:t>
      </w:r>
      <w:r>
        <w:rPr>
          <w:rFonts w:hint="eastAsia"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负责区域内地表水生态环境监管工作。监督实施水体污染防治政策、规划、法规和重点流域生态环境规划。组织实施水功能区划。组织实施水体断面考核制度。拟订水污染防治行动计划实施方案并组织实施。承担涉水排污口设置管理工作。承担主要水污染物减排工作。牵头组织“碧水”战役，参与城镇黑臭水体治理工作，参与河（湖）长制相关工作。负责区域内土壤污染防治和生态保护的监督管理。组织实施土壤污染防治行动计划。承担农用地土壤污染防治和生态保护监督管理等工作。承担污染地块的污染防治监督管理、土壤污染防治综合性工作。按职责分工，组织开展强制性清洁生产审核。负责固体废物、化学品、重金属等污染防治的监督管理，组织实施危险废物经营许可环境管理制度。组织指导区域内农村生态环境保护，监督指导农业面源污染治理工作。组织指导区域内农村生态环境综合整治，牵头推进农村生活污水相关工作。指导有机食品发展。监督防止地下水污染，监督实施饮用水水源地生态环境规划，牵头组织开展饮用水水源地问题整治。参与实施乡村振兴战略。承担生态扶贫相关工作。组织、指导绿色生态示范创建工作。监督实施各类自然保护地生态环境监管制度。监督野生动植物保护、湿地生态环境保护、荒漠化防治等有关工作。监督生物技术环境安全，牵头生物物种（含遗传资源）工作，组织协调生物多样性保护工作。负责区域内大气、噪声、光、化石能源等污染防治的监督管理。拟订并组织实施大气环境质量改善目标落实情况考核制度。组织实施大气污染防治工作。承担涉气排污口设置管理工作。承担大气主要污染物总量减排工作。承担气候变化对全县经济社会发展影响的综合分析工作。负责对工业园区生态环境工作实施监督管理。</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盐边生态环境保护综合行政执法大队：负责辖区内污染防治、生态保护、核与辐射安全的行政处罚以及与行政处罚相关的行政检查、行政强制等执法职责。参与突发环境事件、生态破坏事件的调查工作。</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b w:val="0"/>
          <w:bCs w:val="0"/>
          <w:kern w:val="2"/>
          <w:sz w:val="32"/>
          <w:szCs w:val="32"/>
          <w:lang w:val="en-US" w:eastAsia="zh-CN" w:bidi="ar-SA"/>
        </w:rPr>
      </w:pPr>
    </w:p>
    <w:p>
      <w:pPr>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b w:val="0"/>
          <w:bCs w:val="0"/>
          <w:kern w:val="2"/>
          <w:sz w:val="32"/>
          <w:szCs w:val="32"/>
          <w:lang w:val="en-US" w:eastAsia="zh-CN" w:bidi="ar-SA"/>
        </w:rPr>
      </w:pPr>
    </w:p>
    <w:p>
      <w:pPr>
        <w:pStyle w:val="2"/>
        <w:jc w:val="center"/>
        <w:rPr>
          <w:rFonts w:hint="eastAsia" w:eastAsia="宋体"/>
          <w:lang w:eastAsia="zh-CN"/>
        </w:rPr>
      </w:pPr>
      <w:r>
        <w:rPr>
          <w:rFonts w:hint="eastAsia" w:ascii="黑体" w:hAnsi="黑体" w:eastAsia="黑体"/>
          <w:b w:val="0"/>
        </w:rPr>
        <w:t>第二部分 2022年度单位决算情况说明</w:t>
      </w:r>
    </w:p>
    <w:p>
      <w:pPr>
        <w:pStyle w:val="23"/>
        <w:numPr>
          <w:ilvl w:val="0"/>
          <w:numId w:val="0"/>
        </w:numPr>
        <w:spacing w:line="600" w:lineRule="exact"/>
        <w:ind w:left="640" w:leftChars="0"/>
        <w:outlineLvl w:val="1"/>
        <w:rPr>
          <w:rStyle w:val="25"/>
          <w:rFonts w:ascii="黑体" w:hAnsi="黑体" w:eastAsia="黑体"/>
          <w:b w:val="0"/>
        </w:rPr>
      </w:pPr>
      <w:bookmarkStart w:id="16" w:name="_Toc15396603"/>
      <w:bookmarkStart w:id="17" w:name="_Toc15377205"/>
      <w:r>
        <w:rPr>
          <w:rFonts w:hint="eastAsia" w:ascii="黑体" w:hAnsi="黑体" w:eastAsia="黑体"/>
          <w:sz w:val="32"/>
          <w:szCs w:val="32"/>
          <w:lang w:eastAsia="zh-CN"/>
        </w:rPr>
        <w:t>一、</w:t>
      </w:r>
      <w:r>
        <w:rPr>
          <w:rFonts w:hint="eastAsia" w:ascii="黑体" w:hAnsi="黑体" w:eastAsia="黑体"/>
          <w:sz w:val="32"/>
          <w:szCs w:val="32"/>
        </w:rPr>
        <w:t>收</w:t>
      </w:r>
      <w:r>
        <w:rPr>
          <w:rStyle w:val="25"/>
          <w:rFonts w:hint="eastAsia" w:ascii="黑体" w:hAnsi="黑体" w:eastAsia="黑体"/>
          <w:b w:val="0"/>
        </w:rPr>
        <w:t>入支出决算总体情况说明</w:t>
      </w:r>
      <w:bookmarkEnd w:id="16"/>
      <w:bookmarkEnd w:id="17"/>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2022年度收、支总计</w:t>
      </w:r>
      <w:r>
        <w:rPr>
          <w:rFonts w:hint="default" w:ascii="Times New Roman" w:hAnsi="Times New Roman" w:eastAsia="仿宋_GB2312" w:cs="Times New Roman"/>
          <w:sz w:val="32"/>
          <w:szCs w:val="32"/>
          <w:lang w:val="en-US" w:eastAsia="zh-CN"/>
        </w:rPr>
        <w:t>276.67</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（其中含</w:t>
      </w:r>
      <w:r>
        <w:rPr>
          <w:rFonts w:hint="default" w:ascii="Times New Roman" w:hAnsi="Times New Roman" w:eastAsia="仿宋_GB2312" w:cs="Times New Roman"/>
          <w:sz w:val="32"/>
          <w:szCs w:val="32"/>
        </w:rPr>
        <w:t>年初结转和结余</w:t>
      </w:r>
      <w:r>
        <w:rPr>
          <w:rFonts w:hint="default" w:ascii="Times New Roman" w:hAnsi="Times New Roman" w:eastAsia="仿宋_GB2312" w:cs="Times New Roman"/>
          <w:sz w:val="32"/>
          <w:szCs w:val="32"/>
          <w:lang w:val="en-US" w:eastAsia="zh-CN"/>
        </w:rPr>
        <w:t>39.53万元）</w:t>
      </w:r>
      <w:r>
        <w:rPr>
          <w:rFonts w:hint="default" w:ascii="Times New Roman" w:hAnsi="Times New Roman" w:eastAsia="仿宋_GB2312" w:cs="Times New Roman"/>
          <w:sz w:val="32"/>
          <w:szCs w:val="32"/>
        </w:rPr>
        <w:t>。与</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220.03万元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相比，收</w:t>
      </w:r>
      <w:r>
        <w:rPr>
          <w:rFonts w:hint="default" w:ascii="Times New Roman" w:hAnsi="Times New Roman" w:eastAsia="仿宋_GB2312" w:cs="Times New Roman"/>
          <w:sz w:val="32"/>
          <w:szCs w:val="32"/>
          <w:lang w:eastAsia="zh-CN"/>
        </w:rPr>
        <w:t>入</w:t>
      </w:r>
      <w:r>
        <w:rPr>
          <w:rFonts w:hint="default" w:ascii="Times New Roman" w:hAnsi="Times New Roman" w:eastAsia="仿宋_GB2312" w:cs="Times New Roman"/>
          <w:sz w:val="32"/>
          <w:szCs w:val="32"/>
        </w:rPr>
        <w:t>总计增加</w:t>
      </w:r>
      <w:r>
        <w:rPr>
          <w:rFonts w:hint="default" w:ascii="Times New Roman" w:hAnsi="Times New Roman" w:eastAsia="仿宋_GB2312" w:cs="Times New Roman"/>
          <w:sz w:val="32"/>
          <w:szCs w:val="32"/>
          <w:lang w:val="en-US" w:eastAsia="zh-CN"/>
        </w:rPr>
        <w:t>56.64</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25.74%</w:t>
      </w:r>
      <w:r>
        <w:rPr>
          <w:rFonts w:hint="default" w:ascii="Times New Roman" w:hAnsi="Times New Roman" w:eastAsia="仿宋_GB2312" w:cs="Times New Roman"/>
          <w:sz w:val="32"/>
          <w:szCs w:val="32"/>
        </w:rPr>
        <w:t>。支</w:t>
      </w:r>
      <w:r>
        <w:rPr>
          <w:rFonts w:hint="default" w:ascii="Times New Roman" w:hAnsi="Times New Roman" w:eastAsia="仿宋_GB2312" w:cs="Times New Roman"/>
          <w:sz w:val="32"/>
          <w:szCs w:val="32"/>
          <w:lang w:eastAsia="zh-CN"/>
        </w:rPr>
        <w:t>出</w:t>
      </w:r>
      <w:r>
        <w:rPr>
          <w:rFonts w:hint="default" w:ascii="Times New Roman" w:hAnsi="Times New Roman" w:eastAsia="仿宋_GB2312" w:cs="Times New Roman"/>
          <w:sz w:val="32"/>
          <w:szCs w:val="32"/>
        </w:rPr>
        <w:t>总计增加</w:t>
      </w:r>
      <w:r>
        <w:rPr>
          <w:rFonts w:hint="default" w:ascii="Times New Roman" w:hAnsi="Times New Roman" w:eastAsia="仿宋_GB2312" w:cs="Times New Roman"/>
          <w:sz w:val="32"/>
          <w:szCs w:val="32"/>
          <w:lang w:val="en-US" w:eastAsia="zh-CN"/>
        </w:rPr>
        <w:t>56.64</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25.74%，</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人员增加</w:t>
      </w:r>
      <w:r>
        <w:rPr>
          <w:rFonts w:hint="default" w:ascii="Times New Roman" w:hAnsi="Times New Roman" w:eastAsia="仿宋_GB2312" w:cs="Times New Roman"/>
          <w:sz w:val="32"/>
          <w:szCs w:val="32"/>
        </w:rPr>
        <w:t>。</w:t>
      </w:r>
    </w:p>
    <w:p>
      <w:pPr>
        <w:pStyle w:val="5"/>
      </w:pPr>
      <w:r>
        <w:rPr>
          <w:rFonts w:hint="eastAsia" w:eastAsia="宋体"/>
          <w:lang w:eastAsia="zh-CN"/>
        </w:rPr>
        <w:drawing>
          <wp:inline distT="0" distB="0" distL="114300" distR="114300">
            <wp:extent cx="4709160" cy="2639060"/>
            <wp:effectExtent l="4445" t="4445" r="1079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1"/>
        <w:rPr>
          <w:rStyle w:val="25"/>
          <w:rFonts w:ascii="黑体" w:hAnsi="黑体" w:eastAsia="黑体"/>
          <w:b w:val="0"/>
        </w:rPr>
      </w:pPr>
      <w:bookmarkStart w:id="18" w:name="_Toc15396604"/>
      <w:bookmarkStart w:id="19" w:name="_Toc15377206"/>
      <w:r>
        <w:rPr>
          <w:rFonts w:hint="eastAsia" w:ascii="黑体" w:hAnsi="黑体" w:eastAsia="黑体"/>
          <w:sz w:val="32"/>
          <w:szCs w:val="32"/>
          <w:lang w:eastAsia="zh-CN"/>
        </w:rPr>
        <w:t>二、</w:t>
      </w:r>
      <w:r>
        <w:rPr>
          <w:rFonts w:hint="eastAsia" w:ascii="黑体" w:hAnsi="黑体" w:eastAsia="黑体"/>
          <w:sz w:val="32"/>
          <w:szCs w:val="32"/>
        </w:rPr>
        <w:t>收</w:t>
      </w:r>
      <w:r>
        <w:rPr>
          <w:rStyle w:val="25"/>
          <w:rFonts w:hint="eastAsia" w:ascii="黑体" w:hAnsi="黑体" w:eastAsia="黑体"/>
          <w:b w:val="0"/>
        </w:rPr>
        <w:t>入决算情况说明</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2022年本年收入合计</w:t>
      </w:r>
      <w:r>
        <w:rPr>
          <w:rFonts w:hint="default" w:ascii="Times New Roman" w:hAnsi="Times New Roman" w:eastAsia="仿宋_GB2312" w:cs="Times New Roman"/>
          <w:sz w:val="32"/>
          <w:szCs w:val="32"/>
          <w:lang w:val="en-US" w:eastAsia="zh-CN"/>
        </w:rPr>
        <w:t>237.14</w:t>
      </w:r>
      <w:r>
        <w:rPr>
          <w:rFonts w:hint="default" w:ascii="Times New Roman" w:hAnsi="Times New Roman" w:eastAsia="仿宋_GB2312" w:cs="Times New Roman"/>
          <w:sz w:val="32"/>
          <w:szCs w:val="32"/>
        </w:rPr>
        <w:t>万元，其中：一般公共预算财政拨款收入</w:t>
      </w:r>
      <w:r>
        <w:rPr>
          <w:rFonts w:hint="default" w:ascii="Times New Roman" w:hAnsi="Times New Roman" w:eastAsia="仿宋_GB2312" w:cs="Times New Roman"/>
          <w:sz w:val="32"/>
          <w:szCs w:val="32"/>
          <w:lang w:val="en-US" w:eastAsia="zh-CN"/>
        </w:rPr>
        <w:t>237.14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；政府性基金预算财政拨款收入</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；国有资本经营预算财政拨款收入</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；上级补助收</w:t>
      </w:r>
      <w:r>
        <w:rPr>
          <w:rFonts w:hint="default" w:ascii="Times New Roman" w:hAnsi="Times New Roman" w:eastAsia="仿宋_GB2312" w:cs="Times New Roman"/>
          <w:b w:val="0"/>
          <w:bCs w:val="0"/>
          <w:sz w:val="32"/>
          <w:szCs w:val="32"/>
          <w:lang w:val="en-US" w:eastAsia="zh-CN"/>
        </w:rPr>
        <w:t>入0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；事业收入</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%；经营收入</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；附属单位上缴收入</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sz w:val="32"/>
          <w:szCs w:val="32"/>
        </w:rPr>
        <w:t>%；其他收</w:t>
      </w:r>
      <w:r>
        <w:rPr>
          <w:rFonts w:hint="default" w:ascii="Times New Roman" w:hAnsi="Times New Roman" w:eastAsia="仿宋_GB2312" w:cs="Times New Roman"/>
          <w:b w:val="0"/>
          <w:bCs w:val="0"/>
          <w:sz w:val="32"/>
          <w:szCs w:val="32"/>
          <w:lang w:val="en-US" w:eastAsia="zh-CN"/>
        </w:rPr>
        <w:t>入0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pStyle w:val="5"/>
        <w:jc w:val="center"/>
        <w:rPr>
          <w:rFonts w:ascii="仿宋" w:hAnsi="仿宋" w:eastAsia="仿宋"/>
          <w:sz w:val="32"/>
          <w:szCs w:val="32"/>
        </w:rPr>
      </w:pPr>
      <w:r>
        <w:rPr>
          <w:rFonts w:hint="eastAsia" w:ascii="仿宋" w:hAnsi="仿宋" w:eastAsia="仿宋"/>
          <w:sz w:val="32"/>
          <w:szCs w:val="32"/>
          <w:lang w:eastAsia="zh-CN"/>
        </w:rPr>
        <w:drawing>
          <wp:inline distT="0" distB="0" distL="114300" distR="114300">
            <wp:extent cx="4518025" cy="2733675"/>
            <wp:effectExtent l="4445" t="4445" r="1143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outlineLvl w:val="1"/>
        <w:rPr>
          <w:rStyle w:val="25"/>
          <w:rFonts w:ascii="黑体" w:hAnsi="黑体" w:eastAsia="黑体"/>
          <w:b w:val="0"/>
        </w:rPr>
      </w:pPr>
      <w:bookmarkStart w:id="20" w:name="_Toc15377207"/>
      <w:bookmarkStart w:id="21" w:name="_Toc15396605"/>
      <w:r>
        <w:rPr>
          <w:rFonts w:hint="eastAsia" w:ascii="黑体" w:hAnsi="黑体" w:eastAsia="黑体"/>
          <w:sz w:val="32"/>
          <w:szCs w:val="32"/>
          <w:lang w:eastAsia="zh-CN"/>
        </w:rPr>
        <w:t>三、</w:t>
      </w:r>
      <w:r>
        <w:rPr>
          <w:rFonts w:hint="eastAsia" w:ascii="黑体" w:hAnsi="黑体" w:eastAsia="黑体"/>
          <w:sz w:val="32"/>
          <w:szCs w:val="32"/>
        </w:rPr>
        <w:t>支</w:t>
      </w:r>
      <w:r>
        <w:rPr>
          <w:rStyle w:val="25"/>
          <w:rFonts w:hint="eastAsia" w:ascii="黑体" w:hAnsi="黑体" w:eastAsia="黑体"/>
          <w:b w:val="0"/>
        </w:rPr>
        <w:t>出决算情况说明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年本年支出合计</w:t>
      </w:r>
      <w:r>
        <w:rPr>
          <w:rFonts w:hint="default" w:ascii="Times New Roman" w:hAnsi="Times New Roman" w:eastAsia="仿宋_GB2312" w:cs="Times New Roman"/>
          <w:sz w:val="32"/>
          <w:szCs w:val="32"/>
          <w:lang w:val="en-US" w:eastAsia="zh-CN"/>
        </w:rPr>
        <w:t>276.67</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eastAsia="zh-CN"/>
        </w:rPr>
        <w:t>276.67</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%；上缴上级支出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；经营支出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；对附属单位补助支出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spacing w:line="600" w:lineRule="exact"/>
        <w:ind w:firstLine="640"/>
        <w:rPr>
          <w:rFonts w:ascii="仿宋" w:hAnsi="仿宋" w:eastAsia="仿宋"/>
          <w:sz w:val="32"/>
          <w:szCs w:val="32"/>
          <w:shd w:val="pct10" w:color="auto" w:fill="FFFFFF"/>
        </w:rPr>
      </w:pPr>
      <w:r>
        <w:rPr>
          <w:rFonts w:hint="eastAsia" w:ascii="仿宋" w:hAnsi="仿宋" w:eastAsia="仿宋"/>
          <w:sz w:val="32"/>
          <w:szCs w:val="32"/>
          <w:shd w:val="pct10" w:color="auto" w:fill="FFFFFF"/>
          <w:lang w:eastAsia="zh-CN"/>
        </w:rPr>
        <w:drawing>
          <wp:anchor distT="0" distB="0" distL="114300" distR="114300" simplePos="0" relativeHeight="251658240" behindDoc="0" locked="0" layoutInCell="1" allowOverlap="1">
            <wp:simplePos x="0" y="0"/>
            <wp:positionH relativeFrom="column">
              <wp:posOffset>346075</wp:posOffset>
            </wp:positionH>
            <wp:positionV relativeFrom="paragraph">
              <wp:posOffset>156845</wp:posOffset>
            </wp:positionV>
            <wp:extent cx="4394835" cy="2506345"/>
            <wp:effectExtent l="4445" t="4445" r="20320" b="2286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5"/>
        <w:rPr>
          <w:rFonts w:ascii="仿宋" w:hAnsi="仿宋" w:eastAsia="仿宋"/>
          <w:sz w:val="32"/>
          <w:szCs w:val="32"/>
          <w:shd w:val="pct10" w:color="auto" w:fill="FFFFFF"/>
        </w:rPr>
      </w:pPr>
    </w:p>
    <w:p>
      <w:pPr>
        <w:pStyle w:val="5"/>
        <w:rPr>
          <w:rFonts w:ascii="仿宋" w:hAnsi="仿宋" w:eastAsia="仿宋"/>
          <w:sz w:val="32"/>
          <w:szCs w:val="32"/>
          <w:shd w:val="pct10" w:color="auto" w:fill="FFFFFF"/>
        </w:rPr>
      </w:pPr>
    </w:p>
    <w:p>
      <w:pPr>
        <w:pStyle w:val="5"/>
        <w:rPr>
          <w:rFonts w:ascii="仿宋" w:hAnsi="仿宋" w:eastAsia="仿宋"/>
          <w:sz w:val="32"/>
          <w:szCs w:val="32"/>
          <w:shd w:val="pct10" w:color="auto" w:fill="FFFFFF"/>
        </w:rPr>
      </w:pPr>
    </w:p>
    <w:p>
      <w:pPr>
        <w:pStyle w:val="5"/>
        <w:rPr>
          <w:rFonts w:ascii="仿宋" w:hAnsi="仿宋" w:eastAsia="仿宋"/>
          <w:sz w:val="32"/>
          <w:szCs w:val="32"/>
          <w:shd w:val="pct10" w:color="auto" w:fill="FFFFFF"/>
        </w:rPr>
      </w:pPr>
    </w:p>
    <w:p>
      <w:pPr>
        <w:pStyle w:val="5"/>
        <w:jc w:val="center"/>
        <w:rPr>
          <w:rFonts w:ascii="仿宋" w:hAnsi="仿宋" w:eastAsia="仿宋"/>
          <w:sz w:val="32"/>
          <w:szCs w:val="32"/>
          <w:shd w:val="pct10" w:color="auto" w:fill="FFFFFF"/>
        </w:rPr>
      </w:pP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5"/>
          <w:rFonts w:ascii="黑体" w:hAnsi="黑体" w:eastAsia="黑体"/>
          <w:b w:val="0"/>
        </w:rPr>
      </w:pPr>
      <w:bookmarkStart w:id="22" w:name="_Toc15396606"/>
      <w:bookmarkStart w:id="23"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2"/>
      <w:bookmarkEnd w:id="23"/>
    </w:p>
    <w:p>
      <w:pPr>
        <w:spacing w:line="600" w:lineRule="exact"/>
        <w:ind w:firstLine="640"/>
        <w:rPr>
          <w:rFonts w:hint="eastAsia" w:ascii="仿宋" w:hAnsi="仿宋" w:eastAsia="仿宋"/>
          <w:sz w:val="32"/>
          <w:szCs w:val="32"/>
          <w:lang w:eastAsia="zh-CN"/>
        </w:rPr>
      </w:pPr>
      <w:r>
        <w:rPr>
          <w:rFonts w:hint="eastAsia" w:ascii="Times New Roman" w:hAnsi="Times New Roman" w:eastAsia="仿宋" w:cs="Times New Roman"/>
          <w:sz w:val="32"/>
          <w:szCs w:val="32"/>
          <w:lang w:val="en-US" w:eastAsia="zh-CN"/>
        </w:rPr>
        <w:t>2022</w:t>
      </w:r>
      <w:r>
        <w:rPr>
          <w:rFonts w:hint="eastAsia" w:ascii="仿宋" w:hAnsi="仿宋" w:eastAsia="仿宋"/>
          <w:sz w:val="32"/>
          <w:szCs w:val="32"/>
        </w:rPr>
        <w:t>年财政拨款收、支总计</w:t>
      </w:r>
      <w:r>
        <w:rPr>
          <w:rFonts w:hint="eastAsia" w:ascii="Times New Roman" w:hAnsi="Times New Roman" w:eastAsia="仿宋" w:cs="Times New Roman"/>
          <w:sz w:val="32"/>
          <w:szCs w:val="32"/>
          <w:lang w:val="en-US" w:eastAsia="zh-CN"/>
        </w:rPr>
        <w:t>237.14</w:t>
      </w:r>
      <w:r>
        <w:rPr>
          <w:rFonts w:hint="eastAsia" w:ascii="仿宋" w:hAnsi="仿宋" w:eastAsia="仿宋"/>
          <w:sz w:val="32"/>
          <w:szCs w:val="32"/>
        </w:rPr>
        <w:t>万元。与</w:t>
      </w:r>
      <w:r>
        <w:rPr>
          <w:rFonts w:hint="eastAsia" w:ascii="Times New Roman" w:hAnsi="Times New Roman" w:eastAsia="仿宋" w:cs="Times New Roman"/>
          <w:sz w:val="32"/>
          <w:szCs w:val="32"/>
          <w:lang w:val="en-US" w:eastAsia="zh-CN"/>
        </w:rPr>
        <w:t>2021</w:t>
      </w:r>
      <w:r>
        <w:rPr>
          <w:rFonts w:hint="eastAsia" w:ascii="仿宋" w:hAnsi="仿宋" w:eastAsia="仿宋"/>
          <w:sz w:val="32"/>
          <w:szCs w:val="32"/>
        </w:rPr>
        <w:t>年</w:t>
      </w:r>
      <w:r>
        <w:rPr>
          <w:rFonts w:hint="eastAsia" w:ascii="仿宋" w:hAnsi="仿宋" w:eastAsia="仿宋"/>
          <w:sz w:val="32"/>
          <w:szCs w:val="32"/>
          <w:lang w:eastAsia="zh-CN"/>
        </w:rPr>
        <w:t>（</w:t>
      </w:r>
      <w:r>
        <w:rPr>
          <w:rFonts w:hint="default" w:ascii="Times New Roman" w:hAnsi="Times New Roman" w:eastAsia="仿宋" w:cs="Times New Roman"/>
          <w:sz w:val="32"/>
          <w:szCs w:val="32"/>
          <w:lang w:val="en-US" w:eastAsia="zh-CN"/>
        </w:rPr>
        <w:t>220.03</w:t>
      </w:r>
      <w:r>
        <w:rPr>
          <w:rFonts w:hint="eastAsia" w:ascii="仿宋" w:hAnsi="仿宋" w:eastAsia="仿宋"/>
          <w:sz w:val="32"/>
          <w:szCs w:val="32"/>
          <w:lang w:val="en-US" w:eastAsia="zh-CN"/>
        </w:rPr>
        <w:t>万元</w:t>
      </w:r>
      <w:r>
        <w:rPr>
          <w:rFonts w:hint="eastAsia" w:ascii="仿宋" w:hAnsi="仿宋" w:eastAsia="仿宋"/>
          <w:sz w:val="32"/>
          <w:szCs w:val="32"/>
          <w:lang w:eastAsia="zh-CN"/>
        </w:rPr>
        <w:t>）</w:t>
      </w:r>
      <w:r>
        <w:rPr>
          <w:rFonts w:hint="eastAsia" w:ascii="仿宋" w:hAnsi="仿宋" w:eastAsia="仿宋"/>
          <w:sz w:val="32"/>
          <w:szCs w:val="32"/>
        </w:rPr>
        <w:t>相比，财政拨款收、支总计各增加</w:t>
      </w:r>
      <w:r>
        <w:rPr>
          <w:rFonts w:hint="eastAsia" w:eastAsia="仿宋" w:cs="Times New Roman"/>
          <w:sz w:val="32"/>
          <w:szCs w:val="32"/>
          <w:lang w:val="en-US" w:eastAsia="zh-CN"/>
        </w:rPr>
        <w:t>17.11</w:t>
      </w:r>
      <w:r>
        <w:rPr>
          <w:rFonts w:hint="eastAsia" w:ascii="仿宋" w:hAnsi="仿宋" w:eastAsia="仿宋"/>
          <w:sz w:val="32"/>
          <w:szCs w:val="32"/>
        </w:rPr>
        <w:t>万元，增长</w:t>
      </w:r>
      <w:r>
        <w:rPr>
          <w:rFonts w:hint="eastAsia" w:eastAsia="仿宋" w:cs="Times New Roman"/>
          <w:sz w:val="32"/>
          <w:szCs w:val="32"/>
          <w:lang w:val="en-US" w:eastAsia="zh-CN"/>
        </w:rPr>
        <w:t>7.78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人员增加。</w:t>
      </w:r>
    </w:p>
    <w:p>
      <w:pPr>
        <w:pStyle w:val="5"/>
        <w:jc w:val="center"/>
        <w:rPr>
          <w:rFonts w:ascii="仿宋" w:hAnsi="仿宋" w:eastAsia="仿宋"/>
          <w:sz w:val="32"/>
          <w:szCs w:val="32"/>
        </w:rPr>
      </w:pPr>
      <w:r>
        <w:rPr>
          <w:rFonts w:hint="eastAsia" w:eastAsia="宋体"/>
          <w:lang w:eastAsia="zh-CN"/>
        </w:rPr>
        <w:drawing>
          <wp:inline distT="0" distB="0" distL="114300" distR="114300">
            <wp:extent cx="4288790" cy="2571750"/>
            <wp:effectExtent l="4445" t="4445" r="1206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jc w:val="center"/>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5"/>
          <w:rFonts w:ascii="黑体" w:hAnsi="黑体" w:eastAsia="黑体"/>
          <w:b w:val="0"/>
        </w:rPr>
      </w:pPr>
      <w:bookmarkStart w:id="24" w:name="_Toc15377209"/>
      <w:bookmarkStart w:id="25"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4"/>
      <w:bookmarkEnd w:id="25"/>
    </w:p>
    <w:p>
      <w:pPr>
        <w:spacing w:line="600" w:lineRule="exact"/>
        <w:ind w:firstLine="643" w:firstLineChars="200"/>
        <w:outlineLvl w:val="2"/>
        <w:rPr>
          <w:rFonts w:hint="default" w:ascii="Times New Roman" w:hAnsi="Times New Roman" w:eastAsia="仿宋_GB2312" w:cs="Times New Roman"/>
          <w:b/>
          <w:sz w:val="32"/>
          <w:szCs w:val="32"/>
        </w:rPr>
      </w:pPr>
      <w:bookmarkStart w:id="26" w:name="_Toc15377210"/>
      <w:r>
        <w:rPr>
          <w:rFonts w:hint="default" w:ascii="Times New Roman" w:hAnsi="Times New Roman" w:eastAsia="仿宋_GB2312" w:cs="Times New Roman"/>
          <w:b/>
          <w:sz w:val="32"/>
          <w:szCs w:val="32"/>
        </w:rPr>
        <w:t>（一）一般公共预算财政拨款支出决算总体情况</w:t>
      </w:r>
      <w:bookmarkEnd w:id="26"/>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年一般公共预算财政拨款支出</w:t>
      </w:r>
      <w:r>
        <w:rPr>
          <w:rFonts w:hint="default" w:ascii="Times New Roman" w:hAnsi="Times New Roman" w:eastAsia="仿宋_GB2312" w:cs="Times New Roman"/>
          <w:sz w:val="32"/>
          <w:szCs w:val="32"/>
          <w:lang w:val="en-US" w:eastAsia="zh-CN"/>
        </w:rPr>
        <w:t>276.67</w:t>
      </w:r>
      <w:r>
        <w:rPr>
          <w:rFonts w:hint="default" w:ascii="Times New Roman" w:hAnsi="Times New Roman" w:eastAsia="仿宋_GB2312" w:cs="Times New Roman"/>
          <w:sz w:val="32"/>
          <w:szCs w:val="32"/>
        </w:rPr>
        <w:t>万元，占本年支出合计的</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%。与</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220.03万元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相比，一般公共预算财政拨款支出增加</w:t>
      </w:r>
      <w:r>
        <w:rPr>
          <w:rFonts w:hint="default" w:ascii="Times New Roman" w:hAnsi="Times New Roman" w:eastAsia="仿宋_GB2312" w:cs="Times New Roman"/>
          <w:sz w:val="32"/>
          <w:szCs w:val="32"/>
          <w:lang w:val="en-US" w:eastAsia="zh-CN"/>
        </w:rPr>
        <w:t>56.64</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25.74</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人员增加。</w:t>
      </w:r>
    </w:p>
    <w:p>
      <w:pPr>
        <w:pStyle w:val="5"/>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59264" behindDoc="0" locked="0" layoutInCell="1" allowOverlap="1">
            <wp:simplePos x="0" y="0"/>
            <wp:positionH relativeFrom="column">
              <wp:posOffset>299720</wp:posOffset>
            </wp:positionH>
            <wp:positionV relativeFrom="paragraph">
              <wp:posOffset>78105</wp:posOffset>
            </wp:positionV>
            <wp:extent cx="4699000" cy="2486660"/>
            <wp:effectExtent l="4445" t="4445" r="20955" b="2349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hint="default" w:ascii="Times New Roman" w:hAnsi="Times New Roman" w:eastAsia="仿宋_GB2312" w:cs="Times New Roman"/>
          <w:b/>
          <w:sz w:val="32"/>
          <w:szCs w:val="32"/>
        </w:rPr>
      </w:pPr>
      <w:bookmarkStart w:id="27" w:name="_Toc15377211"/>
      <w:r>
        <w:rPr>
          <w:rFonts w:hint="default" w:ascii="Times New Roman" w:hAnsi="Times New Roman" w:eastAsia="仿宋_GB2312" w:cs="Times New Roman"/>
          <w:b/>
          <w:sz w:val="32"/>
          <w:szCs w:val="32"/>
        </w:rPr>
        <w:t>（二）一般公共预算财政拨款支出决算结构情况</w:t>
      </w:r>
      <w:bookmarkEnd w:id="27"/>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276.67</w:t>
      </w:r>
      <w:r>
        <w:rPr>
          <w:rFonts w:hint="default" w:ascii="Times New Roman" w:hAnsi="Times New Roman" w:eastAsia="仿宋_GB2312" w:cs="Times New Roman"/>
          <w:sz w:val="32"/>
          <w:szCs w:val="32"/>
        </w:rPr>
        <w:t>万元，主要用于以下方面</w:t>
      </w:r>
      <w:r>
        <w:rPr>
          <w:rFonts w:hint="eastAsia" w:eastAsia="仿宋_GB2312" w:cs="Times New Roman"/>
          <w:sz w:val="32"/>
          <w:szCs w:val="32"/>
          <w:lang w:eastAsia="zh-CN"/>
        </w:rPr>
        <w:t>：</w:t>
      </w:r>
      <w:r>
        <w:rPr>
          <w:rFonts w:hint="default" w:ascii="Times New Roman" w:hAnsi="Times New Roman" w:eastAsia="仿宋_GB2312" w:cs="Times New Roman"/>
          <w:b/>
          <w:sz w:val="32"/>
          <w:szCs w:val="32"/>
        </w:rPr>
        <w:t>社会保障和就业</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52.10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18.83</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节能环保支出</w:t>
      </w:r>
      <w:r>
        <w:rPr>
          <w:rFonts w:hint="default" w:ascii="Times New Roman" w:hAnsi="Times New Roman" w:eastAsia="仿宋_GB2312" w:cs="Times New Roman"/>
          <w:sz w:val="32"/>
          <w:szCs w:val="32"/>
          <w:lang w:val="en-US" w:eastAsia="zh-CN"/>
        </w:rPr>
        <w:t>201.08</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72.68</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住房保障支出</w:t>
      </w:r>
      <w:r>
        <w:rPr>
          <w:rFonts w:hint="default" w:ascii="Times New Roman" w:hAnsi="Times New Roman" w:eastAsia="仿宋_GB2312" w:cs="Times New Roman"/>
          <w:sz w:val="32"/>
          <w:szCs w:val="32"/>
          <w:lang w:val="en-US" w:eastAsia="zh-CN"/>
        </w:rPr>
        <w:t>23.49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8.49</w:t>
      </w:r>
      <w:r>
        <w:rPr>
          <w:rFonts w:hint="default" w:ascii="Times New Roman" w:hAnsi="Times New Roman" w:eastAsia="仿宋_GB2312" w:cs="Times New Roman"/>
          <w:sz w:val="32"/>
          <w:szCs w:val="32"/>
        </w:rPr>
        <w:t>%。</w:t>
      </w:r>
    </w:p>
    <w:p>
      <w:pPr>
        <w:pStyle w:val="5"/>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drawing>
          <wp:inline distT="0" distB="0" distL="114300" distR="114300">
            <wp:extent cx="4680585" cy="2343785"/>
            <wp:effectExtent l="4445" t="4445" r="20320" b="139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图6：一般公共预算财政拨款支出决算结构</w:t>
      </w:r>
    </w:p>
    <w:p>
      <w:pPr>
        <w:spacing w:line="600" w:lineRule="exact"/>
        <w:ind w:firstLine="643" w:firstLineChars="200"/>
        <w:outlineLvl w:val="2"/>
        <w:rPr>
          <w:rFonts w:hint="default" w:ascii="Times New Roman" w:hAnsi="Times New Roman" w:eastAsia="仿宋_GB2312" w:cs="Times New Roman"/>
          <w:b/>
          <w:sz w:val="32"/>
          <w:szCs w:val="32"/>
        </w:rPr>
      </w:pPr>
      <w:bookmarkStart w:id="28" w:name="_Toc15377212"/>
      <w:r>
        <w:rPr>
          <w:rFonts w:hint="default" w:ascii="Times New Roman" w:hAnsi="Times New Roman" w:eastAsia="仿宋_GB2312" w:cs="Times New Roman"/>
          <w:b/>
          <w:sz w:val="32"/>
          <w:szCs w:val="32"/>
        </w:rPr>
        <w:t>（三）一般公共预算财政拨款支出决算具体情况</w:t>
      </w:r>
      <w:bookmarkEnd w:id="28"/>
    </w:p>
    <w:p>
      <w:pPr>
        <w:spacing w:line="600" w:lineRule="exact"/>
        <w:ind w:firstLine="643" w:firstLineChars="200"/>
        <w:outlineLvl w:val="2"/>
        <w:rPr>
          <w:rStyle w:val="14"/>
          <w:rFonts w:hint="default" w:ascii="Times New Roman" w:hAnsi="Times New Roman" w:eastAsia="仿宋_GB2312" w:cs="Times New Roman"/>
          <w:bCs/>
          <w:sz w:val="32"/>
          <w:szCs w:val="32"/>
        </w:rPr>
      </w:pPr>
      <w:bookmarkStart w:id="29" w:name="_Toc15377444"/>
      <w:bookmarkStart w:id="30" w:name="_Toc15378460"/>
      <w:bookmarkStart w:id="31" w:name="_Toc15377213"/>
      <w:r>
        <w:rPr>
          <w:rFonts w:hint="default" w:ascii="Times New Roman" w:hAnsi="Times New Roman" w:eastAsia="仿宋_GB2312" w:cs="Times New Roman"/>
          <w:b/>
          <w:sz w:val="32"/>
          <w:szCs w:val="32"/>
        </w:rPr>
        <w:t>2022年一般公共预算支出决算数为</w:t>
      </w:r>
      <w:r>
        <w:rPr>
          <w:rFonts w:hint="default" w:ascii="Times New Roman" w:hAnsi="Times New Roman" w:eastAsia="仿宋_GB2312" w:cs="Times New Roman"/>
          <w:b/>
          <w:sz w:val="32"/>
          <w:szCs w:val="32"/>
          <w:lang w:val="en-US" w:eastAsia="zh-CN"/>
        </w:rPr>
        <w:t>276.67</w:t>
      </w:r>
      <w:r>
        <w:rPr>
          <w:rFonts w:hint="default" w:ascii="Times New Roman" w:hAnsi="Times New Roman" w:eastAsia="仿宋_GB2312" w:cs="Times New Roman"/>
          <w:sz w:val="32"/>
          <w:szCs w:val="32"/>
        </w:rPr>
        <w:t>，</w:t>
      </w:r>
      <w:r>
        <w:rPr>
          <w:rStyle w:val="14"/>
          <w:rFonts w:hint="default" w:ascii="Times New Roman" w:hAnsi="Times New Roman" w:eastAsia="仿宋_GB2312" w:cs="Times New Roman"/>
          <w:bCs/>
          <w:sz w:val="32"/>
          <w:szCs w:val="32"/>
        </w:rPr>
        <w:t>完成预算</w:t>
      </w:r>
      <w:r>
        <w:rPr>
          <w:rStyle w:val="14"/>
          <w:rFonts w:hint="default" w:ascii="Times New Roman" w:hAnsi="Times New Roman" w:eastAsia="仿宋_GB2312" w:cs="Times New Roman"/>
          <w:bCs/>
          <w:sz w:val="32"/>
          <w:szCs w:val="32"/>
          <w:lang w:val="en-US" w:eastAsia="zh-CN"/>
        </w:rPr>
        <w:t>100.00</w:t>
      </w:r>
      <w:r>
        <w:rPr>
          <w:rStyle w:val="14"/>
          <w:rFonts w:hint="default" w:ascii="Times New Roman" w:hAnsi="Times New Roman" w:eastAsia="仿宋_GB2312" w:cs="Times New Roman"/>
          <w:bCs/>
          <w:sz w:val="32"/>
          <w:szCs w:val="32"/>
        </w:rPr>
        <w:t>%。其中：</w:t>
      </w:r>
      <w:bookmarkEnd w:id="29"/>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sz w:val="32"/>
          <w:szCs w:val="32"/>
          <w:lang w:eastAsia="zh-CN"/>
        </w:rPr>
      </w:pPr>
      <w:r>
        <w:rPr>
          <w:rStyle w:val="14"/>
          <w:rFonts w:hint="default" w:ascii="Times New Roman" w:hAnsi="Times New Roman" w:eastAsia="仿宋_GB2312" w:cs="Times New Roman"/>
          <w:bCs/>
          <w:sz w:val="32"/>
          <w:szCs w:val="32"/>
          <w:lang w:val="en-US" w:eastAsia="zh-CN"/>
        </w:rPr>
        <w:t>1.</w:t>
      </w:r>
      <w:r>
        <w:rPr>
          <w:rStyle w:val="14"/>
          <w:rFonts w:hint="default" w:ascii="Times New Roman" w:hAnsi="Times New Roman" w:eastAsia="仿宋_GB2312" w:cs="Times New Roman"/>
          <w:bCs/>
          <w:sz w:val="32"/>
          <w:szCs w:val="32"/>
        </w:rPr>
        <w:t>社会保障和就业（类）行政事业单位养老支出（款）机关事业单位基本养老保险缴费支出（项）: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19.85</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r>
        <w:rPr>
          <w:rStyle w:val="14"/>
          <w:rFonts w:hint="default" w:ascii="Times New Roman" w:hAnsi="Times New Roman" w:eastAsia="仿宋_GB2312" w:cs="Times New Roman"/>
          <w:b w:val="0"/>
          <w:bCs/>
          <w:sz w:val="32"/>
          <w:szCs w:val="32"/>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lang w:val="en-US" w:eastAsia="zh-CN"/>
        </w:rPr>
      </w:pPr>
      <w:r>
        <w:rPr>
          <w:rStyle w:val="14"/>
          <w:rFonts w:hint="default" w:ascii="Times New Roman" w:hAnsi="Times New Roman" w:eastAsia="仿宋_GB2312" w:cs="Times New Roman"/>
          <w:bCs/>
          <w:sz w:val="32"/>
          <w:szCs w:val="32"/>
          <w:lang w:val="en-US" w:eastAsia="zh-CN"/>
        </w:rPr>
        <w:t>2.</w:t>
      </w:r>
      <w:r>
        <w:rPr>
          <w:rStyle w:val="14"/>
          <w:rFonts w:hint="default" w:ascii="Times New Roman" w:hAnsi="Times New Roman" w:eastAsia="仿宋_GB2312" w:cs="Times New Roman"/>
          <w:bCs/>
          <w:sz w:val="32"/>
          <w:szCs w:val="32"/>
        </w:rPr>
        <w:t>社会保障和就业（类）</w:t>
      </w:r>
      <w:r>
        <w:rPr>
          <w:rStyle w:val="14"/>
          <w:rFonts w:hint="default" w:ascii="Times New Roman" w:hAnsi="Times New Roman" w:eastAsia="仿宋_GB2312" w:cs="Times New Roman"/>
          <w:bCs/>
          <w:sz w:val="32"/>
          <w:szCs w:val="32"/>
          <w:lang w:eastAsia="zh-CN"/>
        </w:rPr>
        <w:t>抚恤</w:t>
      </w:r>
      <w:r>
        <w:rPr>
          <w:rStyle w:val="14"/>
          <w:rFonts w:hint="default" w:ascii="Times New Roman" w:hAnsi="Times New Roman" w:eastAsia="仿宋_GB2312" w:cs="Times New Roman"/>
          <w:bCs/>
          <w:sz w:val="32"/>
          <w:szCs w:val="32"/>
        </w:rPr>
        <w:t>（款）</w:t>
      </w:r>
      <w:r>
        <w:rPr>
          <w:rStyle w:val="14"/>
          <w:rFonts w:hint="default" w:ascii="Times New Roman" w:hAnsi="Times New Roman" w:eastAsia="仿宋_GB2312" w:cs="Times New Roman"/>
          <w:bCs/>
          <w:sz w:val="32"/>
          <w:szCs w:val="32"/>
          <w:lang w:eastAsia="zh-CN"/>
        </w:rPr>
        <w:t>死亡抚恤</w:t>
      </w:r>
      <w:r>
        <w:rPr>
          <w:rStyle w:val="14"/>
          <w:rFonts w:hint="default" w:ascii="Times New Roman" w:hAnsi="Times New Roman" w:eastAsia="仿宋_GB2312" w:cs="Times New Roman"/>
          <w:bCs/>
          <w:sz w:val="32"/>
          <w:szCs w:val="32"/>
        </w:rPr>
        <w:t>（项）: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32.25</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r>
        <w:rPr>
          <w:rStyle w:val="14"/>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sz w:val="32"/>
          <w:szCs w:val="32"/>
          <w:lang w:val="en-US" w:eastAsia="zh-CN"/>
        </w:rPr>
      </w:pPr>
      <w:r>
        <w:rPr>
          <w:rStyle w:val="14"/>
          <w:rFonts w:hint="default" w:ascii="Times New Roman" w:hAnsi="Times New Roman" w:eastAsia="仿宋_GB2312" w:cs="Times New Roman"/>
          <w:bCs/>
          <w:sz w:val="32"/>
          <w:szCs w:val="32"/>
          <w:lang w:val="en-US" w:eastAsia="zh-CN"/>
        </w:rPr>
        <w:t>3</w:t>
      </w:r>
      <w:r>
        <w:rPr>
          <w:rStyle w:val="14"/>
          <w:rFonts w:hint="default" w:ascii="Times New Roman" w:hAnsi="Times New Roman" w:eastAsia="仿宋_GB2312" w:cs="Times New Roman"/>
          <w:bCs/>
          <w:sz w:val="32"/>
          <w:szCs w:val="32"/>
        </w:rPr>
        <w:t>.节能环保支出（类）环境保护管理事务（款）行政运行（项）: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201.08</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r>
        <w:rPr>
          <w:rStyle w:val="14"/>
          <w:rFonts w:hint="default" w:ascii="Times New Roman" w:hAnsi="Times New Roman" w:eastAsia="仿宋_GB2312" w:cs="Times New Roman"/>
          <w:b w:val="0"/>
          <w:bCs/>
          <w:sz w:val="32"/>
          <w:szCs w:val="32"/>
          <w:lang w:eastAsia="zh-CN"/>
        </w:rPr>
        <w:t>。</w:t>
      </w:r>
    </w:p>
    <w:p>
      <w:pPr>
        <w:spacing w:line="600" w:lineRule="exact"/>
        <w:ind w:firstLine="643" w:firstLineChars="200"/>
        <w:rPr>
          <w:rFonts w:hint="default" w:ascii="Times New Roman" w:hAnsi="Times New Roman" w:eastAsia="仿宋_GB2312" w:cs="Times New Roman"/>
          <w:b/>
          <w:sz w:val="32"/>
          <w:szCs w:val="32"/>
        </w:rPr>
      </w:pPr>
      <w:r>
        <w:rPr>
          <w:rStyle w:val="14"/>
          <w:rFonts w:hint="default" w:ascii="Times New Roman" w:hAnsi="Times New Roman" w:eastAsia="仿宋_GB2312" w:cs="Times New Roman"/>
          <w:bCs/>
          <w:sz w:val="32"/>
          <w:szCs w:val="32"/>
          <w:lang w:val="en-US" w:eastAsia="zh-CN"/>
        </w:rPr>
        <w:t>4</w:t>
      </w:r>
      <w:r>
        <w:rPr>
          <w:rStyle w:val="14"/>
          <w:rFonts w:hint="default" w:ascii="Times New Roman" w:hAnsi="Times New Roman" w:eastAsia="仿宋_GB2312" w:cs="Times New Roman"/>
          <w:bCs/>
          <w:sz w:val="32"/>
          <w:szCs w:val="32"/>
        </w:rPr>
        <w:t>.住房保障支出（类）住房改革支出（款）住房公积金（项）: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23.49</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p>
    <w:p>
      <w:pPr>
        <w:tabs>
          <w:tab w:val="right" w:pos="8306"/>
        </w:tabs>
        <w:spacing w:line="600" w:lineRule="exact"/>
        <w:ind w:firstLine="640"/>
        <w:outlineLvl w:val="1"/>
        <w:rPr>
          <w:rStyle w:val="25"/>
        </w:rPr>
      </w:pPr>
      <w:bookmarkStart w:id="32" w:name="_Toc15377214"/>
      <w:bookmarkStart w:id="33"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2"/>
      <w:bookmarkEnd w:id="33"/>
      <w:r>
        <w:rPr>
          <w:rStyle w:val="25"/>
          <w:rFonts w:ascii="黑体" w:hAnsi="黑体" w:eastAsia="黑体"/>
          <w:b w:val="0"/>
        </w:rPr>
        <w:tab/>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2022年一般公共预算财政拨款基本支出</w:t>
      </w:r>
      <w:r>
        <w:rPr>
          <w:rFonts w:hint="default" w:ascii="Times New Roman" w:hAnsi="Times New Roman" w:eastAsia="仿宋_GB2312" w:cs="Times New Roman"/>
          <w:sz w:val="32"/>
          <w:szCs w:val="32"/>
          <w:lang w:val="en-US" w:eastAsia="zh-CN"/>
        </w:rPr>
        <w:t>276.67</w:t>
      </w:r>
      <w:r>
        <w:rPr>
          <w:rFonts w:hint="default" w:ascii="Times New Roman" w:hAnsi="Times New Roman" w:eastAsia="仿宋_GB2312" w:cs="Times New Roman"/>
          <w:sz w:val="32"/>
          <w:szCs w:val="32"/>
        </w:rPr>
        <w:t>万元，其中：</w:t>
      </w:r>
    </w:p>
    <w:p>
      <w:pPr>
        <w:spacing w:line="600" w:lineRule="exact"/>
        <w:ind w:firstLine="645"/>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人员经费</w:t>
      </w:r>
      <w:r>
        <w:rPr>
          <w:rFonts w:hint="default" w:ascii="Times New Roman" w:hAnsi="Times New Roman" w:eastAsia="仿宋_GB2312" w:cs="Times New Roman"/>
          <w:sz w:val="32"/>
          <w:szCs w:val="32"/>
          <w:lang w:val="en-US" w:eastAsia="zh-CN"/>
        </w:rPr>
        <w:t>239.59</w:t>
      </w:r>
      <w:r>
        <w:rPr>
          <w:rFonts w:hint="default" w:ascii="Times New Roman" w:hAnsi="Times New Roman" w:eastAsia="仿宋_GB2312" w:cs="Times New Roman"/>
          <w:sz w:val="32"/>
          <w:szCs w:val="32"/>
        </w:rPr>
        <w:t>万元，主要包括：基本工资、津贴补贴、奖金、机关事业单位基本养老保险缴费、职业年金缴费、其他社会保障缴费、其他工资福利支出、离休费、退休费、抚恤金、生活补助、医疗费补助、奖励金、住房公积金、其他对个人和家庭的补助支出等。</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公用经费</w:t>
      </w:r>
      <w:r>
        <w:rPr>
          <w:rFonts w:hint="default" w:ascii="Times New Roman" w:hAnsi="Times New Roman" w:eastAsia="仿宋_GB2312" w:cs="Times New Roman"/>
          <w:sz w:val="32"/>
          <w:szCs w:val="32"/>
          <w:lang w:val="en-US" w:eastAsia="zh-CN"/>
        </w:rPr>
        <w:t>37.08</w:t>
      </w:r>
      <w:r>
        <w:rPr>
          <w:rFonts w:hint="default" w:ascii="Times New Roman" w:hAnsi="Times New Roman" w:eastAsia="仿宋_GB2312" w:cs="Times New Roman"/>
          <w:sz w:val="32"/>
          <w:szCs w:val="32"/>
        </w:rPr>
        <w:t>万元，主要包括：办公费、水费、电费、邮电费、差旅费、公务接待费、工会经费、福利费、其他交通费、其他商品和服务支出。</w:t>
      </w:r>
    </w:p>
    <w:p>
      <w:pPr>
        <w:spacing w:line="600" w:lineRule="exact"/>
        <w:ind w:firstLine="640"/>
        <w:outlineLvl w:val="1"/>
        <w:rPr>
          <w:rStyle w:val="25"/>
          <w:rFonts w:ascii="黑体" w:hAnsi="黑体" w:eastAsia="黑体"/>
          <w:b w:val="0"/>
        </w:rPr>
      </w:pPr>
      <w:bookmarkStart w:id="34" w:name="_Toc15377215"/>
      <w:bookmarkStart w:id="35"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4"/>
      <w:bookmarkEnd w:id="35"/>
    </w:p>
    <w:p>
      <w:pPr>
        <w:spacing w:line="600" w:lineRule="exact"/>
        <w:ind w:firstLine="640"/>
        <w:outlineLvl w:val="2"/>
        <w:rPr>
          <w:rFonts w:ascii="仿宋" w:hAnsi="仿宋" w:eastAsia="仿宋"/>
          <w:b/>
          <w:sz w:val="32"/>
          <w:szCs w:val="32"/>
        </w:rPr>
      </w:pPr>
      <w:bookmarkStart w:id="36" w:name="_Toc15377216"/>
      <w:r>
        <w:rPr>
          <w:rFonts w:hint="eastAsia" w:ascii="仿宋" w:hAnsi="仿宋" w:eastAsia="仿宋"/>
          <w:b/>
          <w:sz w:val="32"/>
          <w:szCs w:val="32"/>
        </w:rPr>
        <w:t>（一）“三公”经费财政拨款支出决算总体情况说明</w:t>
      </w:r>
      <w:bookmarkEnd w:id="36"/>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2022年“三公”经费财政拨款支出决算为</w:t>
      </w:r>
      <w:r>
        <w:rPr>
          <w:rFonts w:hint="default" w:ascii="Times New Roman" w:hAnsi="Times New Roman" w:eastAsia="仿宋_GB2312" w:cs="Times New Roman"/>
          <w:sz w:val="32"/>
          <w:szCs w:val="32"/>
          <w:lang w:val="en-US" w:eastAsia="zh-CN"/>
        </w:rPr>
        <w:t>0.75</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%，较上年增加</w:t>
      </w:r>
      <w:r>
        <w:rPr>
          <w:rFonts w:hint="default" w:ascii="Times New Roman" w:hAnsi="Times New Roman" w:eastAsia="仿宋_GB2312" w:cs="Times New Roman"/>
          <w:sz w:val="32"/>
          <w:szCs w:val="32"/>
          <w:lang w:val="en-US" w:eastAsia="zh-CN"/>
        </w:rPr>
        <w:t>0.75</w:t>
      </w:r>
      <w:r>
        <w:rPr>
          <w:rFonts w:hint="default" w:ascii="Times New Roman" w:hAnsi="Times New Roman" w:eastAsia="仿宋_GB2312" w:cs="Times New Roman"/>
          <w:sz w:val="32"/>
          <w:szCs w:val="32"/>
        </w:rPr>
        <w:t>万元。</w:t>
      </w:r>
    </w:p>
    <w:p>
      <w:pPr>
        <w:spacing w:line="600" w:lineRule="exact"/>
        <w:ind w:firstLine="640"/>
        <w:outlineLvl w:val="2"/>
        <w:rPr>
          <w:rFonts w:ascii="仿宋" w:hAnsi="仿宋" w:eastAsia="仿宋"/>
          <w:b/>
          <w:sz w:val="32"/>
          <w:szCs w:val="32"/>
        </w:rPr>
      </w:pPr>
      <w:bookmarkStart w:id="37" w:name="_Toc15377217"/>
      <w:r>
        <w:rPr>
          <w:rFonts w:hint="eastAsia" w:ascii="仿宋" w:hAnsi="仿宋" w:eastAsia="仿宋"/>
          <w:b/>
          <w:sz w:val="32"/>
          <w:szCs w:val="32"/>
        </w:rPr>
        <w:t>（二）“三公”经费财政拨款支出决算具体情况说明</w:t>
      </w:r>
      <w:bookmarkEnd w:id="37"/>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2022年“三公”经费财政拨款支出决算中，因公出国（境）费支出决算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%；公务用车购置及运行维护费支出决算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%；公务接待费支出决算</w:t>
      </w:r>
      <w:r>
        <w:rPr>
          <w:rFonts w:hint="default" w:ascii="Times New Roman" w:hAnsi="Times New Roman" w:eastAsia="仿宋_GB2312" w:cs="Times New Roman"/>
          <w:sz w:val="32"/>
          <w:szCs w:val="32"/>
          <w:lang w:val="en-US" w:eastAsia="zh-CN"/>
        </w:rPr>
        <w:t>0.75</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%。具体情况如下：</w:t>
      </w:r>
    </w:p>
    <w:p>
      <w:pPr>
        <w:pStyle w:val="5"/>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4822825" cy="2514600"/>
            <wp:effectExtent l="4445" t="5080" r="11430" b="1397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w:t>
      </w:r>
    </w:p>
    <w:p>
      <w:pPr>
        <w:numPr>
          <w:ilvl w:val="0"/>
          <w:numId w:val="0"/>
        </w:numPr>
        <w:spacing w:line="600" w:lineRule="exact"/>
        <w:ind w:firstLine="643" w:firstLineChars="200"/>
        <w:rPr>
          <w:rFonts w:hint="default" w:ascii="Times New Roman" w:hAnsi="Times New Roman" w:eastAsia="仿宋_GB2312" w:cs="Times New Roman"/>
          <w:sz w:val="32"/>
          <w:szCs w:val="32"/>
          <w:lang w:eastAsia="zh-CN"/>
        </w:rPr>
      </w:pPr>
      <w:r>
        <w:rPr>
          <w:rFonts w:hint="eastAsia" w:eastAsia="仿宋_GB2312" w:cs="Times New Roman"/>
          <w:b/>
          <w:sz w:val="32"/>
          <w:szCs w:val="32"/>
          <w:lang w:val="en-US" w:eastAsia="zh-CN"/>
        </w:rPr>
        <w:t>1.</w:t>
      </w:r>
      <w:r>
        <w:rPr>
          <w:rFonts w:hint="default" w:ascii="Times New Roman" w:hAnsi="Times New Roman" w:eastAsia="仿宋_GB2312" w:cs="Times New Roman"/>
          <w:b/>
          <w:sz w:val="32"/>
          <w:szCs w:val="32"/>
        </w:rPr>
        <w:t>因公出国（境）经费支出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全年安排因公出国（境）团组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人。因公出国（境）支出决算</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eastAsia="zh-CN"/>
        </w:rPr>
        <w:t>持平。</w:t>
      </w:r>
    </w:p>
    <w:p>
      <w:pPr>
        <w:spacing w:line="600" w:lineRule="exact"/>
        <w:ind w:firstLine="64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公务用车购置及运行维护费支出决算</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eastAsia="zh-CN"/>
        </w:rPr>
        <w:t>持平。</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万元。全年按规定更新购置公务用车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万元，越野车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截至2022年12月底，单位共有公务用车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辆、越野车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lang w:val="en-US" w:eastAsia="zh-CN"/>
        </w:rPr>
        <w:t>0.75</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公务接待费支出决算比2021年增加</w:t>
      </w:r>
      <w:r>
        <w:rPr>
          <w:rFonts w:hint="default" w:ascii="Times New Roman" w:hAnsi="Times New Roman" w:eastAsia="仿宋_GB2312" w:cs="Times New Roman"/>
          <w:sz w:val="32"/>
          <w:szCs w:val="32"/>
          <w:lang w:val="en-US" w:eastAsia="zh-CN"/>
        </w:rPr>
        <w:t>0.75</w:t>
      </w:r>
      <w:r>
        <w:rPr>
          <w:rFonts w:hint="default" w:ascii="Times New Roman" w:hAnsi="Times New Roman" w:eastAsia="仿宋_GB2312" w:cs="Times New Roman"/>
          <w:sz w:val="32"/>
          <w:szCs w:val="32"/>
        </w:rPr>
        <w:t>万元。主要原因是</w:t>
      </w:r>
      <w:r>
        <w:rPr>
          <w:rFonts w:hint="default" w:ascii="Times New Roman" w:hAnsi="Times New Roman" w:eastAsia="仿宋_GB2312" w:cs="Times New Roman"/>
          <w:sz w:val="32"/>
          <w:szCs w:val="32"/>
          <w:lang w:eastAsia="zh-CN"/>
        </w:rPr>
        <w:t>开展公务接待次数减少</w:t>
      </w:r>
      <w:r>
        <w:rPr>
          <w:rFonts w:hint="default" w:ascii="Times New Roman" w:hAnsi="Times New Roman" w:eastAsia="仿宋_GB2312" w:cs="Times New Roman"/>
          <w:sz w:val="32"/>
          <w:szCs w:val="32"/>
        </w:rPr>
        <w:t>。其中：</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国内公务接待支出</w:t>
      </w:r>
      <w:r>
        <w:rPr>
          <w:rFonts w:hint="default" w:ascii="Times New Roman" w:hAnsi="Times New Roman" w:eastAsia="仿宋_GB2312" w:cs="Times New Roman"/>
          <w:sz w:val="32"/>
          <w:szCs w:val="32"/>
          <w:lang w:val="en-US" w:eastAsia="zh-CN"/>
        </w:rPr>
        <w:t>0.75</w:t>
      </w:r>
      <w:r>
        <w:rPr>
          <w:rFonts w:hint="default" w:ascii="Times New Roman" w:hAnsi="Times New Roman" w:eastAsia="仿宋_GB2312" w:cs="Times New Roman"/>
          <w:sz w:val="32"/>
          <w:szCs w:val="32"/>
        </w:rPr>
        <w:t>万元，主要用于执行公务、开展业务活动开支的交通费、住宿费、用餐费等。国内公务接待</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87</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0.75万</w:t>
      </w:r>
      <w:r>
        <w:rPr>
          <w:rFonts w:hint="default" w:ascii="Times New Roman" w:hAnsi="Times New Roman" w:eastAsia="仿宋_GB2312" w:cs="Times New Roman"/>
          <w:sz w:val="32"/>
          <w:szCs w:val="32"/>
        </w:rPr>
        <w:t>元，具体内容包括：</w:t>
      </w:r>
      <w:r>
        <w:rPr>
          <w:rFonts w:hint="default" w:ascii="Times New Roman" w:hAnsi="Times New Roman" w:eastAsia="仿宋_GB2312" w:cs="Times New Roman"/>
          <w:color w:val="000000"/>
          <w:sz w:val="32"/>
          <w:szCs w:val="32"/>
        </w:rPr>
        <w:t>迎接上级来</w:t>
      </w:r>
      <w:r>
        <w:rPr>
          <w:rFonts w:hint="default" w:ascii="Times New Roman" w:hAnsi="Times New Roman" w:eastAsia="仿宋_GB2312" w:cs="Times New Roman"/>
          <w:color w:val="000000"/>
          <w:sz w:val="32"/>
          <w:szCs w:val="32"/>
          <w:lang w:eastAsia="zh-CN"/>
        </w:rPr>
        <w:t>盐边县开展地下水环境监测井验收工作、“千村示范工程”项目建设专项检查、开展秋冬季大气污染防治监督帮扶工作等</w:t>
      </w:r>
      <w:r>
        <w:rPr>
          <w:rFonts w:hint="default" w:ascii="Times New Roman" w:hAnsi="Times New Roman" w:eastAsia="仿宋_GB2312" w:cs="Times New Roman"/>
          <w:color w:val="000000"/>
          <w:sz w:val="32"/>
          <w:szCs w:val="32"/>
        </w:rPr>
        <w:t>，邀请专家</w:t>
      </w:r>
      <w:r>
        <w:rPr>
          <w:rFonts w:hint="default" w:ascii="Times New Roman" w:hAnsi="Times New Roman" w:eastAsia="仿宋_GB2312" w:cs="Times New Roman"/>
          <w:color w:val="000000"/>
          <w:sz w:val="32"/>
          <w:szCs w:val="32"/>
          <w:lang w:eastAsia="zh-CN"/>
        </w:rPr>
        <w:t>评审</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用餐费。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外事接待支出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万元，外事接待</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bookmarkStart w:id="38" w:name="_Toc15377218"/>
      <w:bookmarkStart w:id="39"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38"/>
      <w:bookmarkEnd w:id="39"/>
    </w:p>
    <w:p>
      <w:pPr>
        <w:spacing w:line="600" w:lineRule="exact"/>
        <w:ind w:firstLine="640"/>
        <w:rPr>
          <w:rFonts w:ascii="仿宋_GB2312" w:eastAsia="仿宋_GB2312"/>
          <w:sz w:val="32"/>
          <w:szCs w:val="32"/>
        </w:rPr>
      </w:pPr>
      <w:r>
        <w:rPr>
          <w:rFonts w:hint="eastAsia" w:ascii="Times New Roman" w:hAnsi="Times New Roman" w:eastAsia="仿宋_GB2312" w:cs="Times New Roman"/>
          <w:sz w:val="32"/>
          <w:szCs w:val="32"/>
          <w:lang w:val="en-US" w:eastAsia="zh-CN"/>
        </w:rPr>
        <w:t>2022</w:t>
      </w:r>
      <w:r>
        <w:rPr>
          <w:rFonts w:hint="eastAsia" w:ascii="仿宋_GB2312" w:eastAsia="仿宋_GB2312"/>
          <w:sz w:val="32"/>
          <w:szCs w:val="32"/>
        </w:rPr>
        <w:t>年政府性基金预算财政拨款支出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w:t>
      </w:r>
    </w:p>
    <w:p>
      <w:pPr>
        <w:numPr>
          <w:ilvl w:val="0"/>
          <w:numId w:val="1"/>
        </w:numPr>
        <w:spacing w:line="600" w:lineRule="exact"/>
        <w:ind w:firstLine="640"/>
        <w:outlineLvl w:val="1"/>
        <w:rPr>
          <w:rStyle w:val="25"/>
          <w:rFonts w:ascii="黑体" w:hAnsi="黑体" w:eastAsia="黑体"/>
          <w:b w:val="0"/>
        </w:rPr>
      </w:pPr>
      <w:bookmarkStart w:id="40" w:name="_Toc15377219"/>
      <w:bookmarkStart w:id="41" w:name="_Toc15396611"/>
      <w:r>
        <w:rPr>
          <w:rStyle w:val="25"/>
          <w:rFonts w:hint="eastAsia" w:ascii="黑体" w:hAnsi="黑体" w:eastAsia="黑体"/>
          <w:b w:val="0"/>
        </w:rPr>
        <w:t>国有资本经营预算支出决算情况说明</w:t>
      </w:r>
      <w:bookmarkEnd w:id="40"/>
      <w:bookmarkEnd w:id="41"/>
    </w:p>
    <w:p>
      <w:pPr>
        <w:spacing w:line="600" w:lineRule="exact"/>
        <w:ind w:firstLine="640"/>
        <w:rPr>
          <w:rFonts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t>2022</w:t>
      </w:r>
      <w:r>
        <w:rPr>
          <w:rFonts w:hint="eastAsia" w:ascii="仿宋_GB2312" w:eastAsia="仿宋_GB2312"/>
          <w:sz w:val="32"/>
          <w:szCs w:val="32"/>
        </w:rPr>
        <w:t>年国有资本经营预算财政拨款支出</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万元。</w:t>
      </w:r>
    </w:p>
    <w:p>
      <w:pPr>
        <w:numPr>
          <w:ilvl w:val="0"/>
          <w:numId w:val="1"/>
        </w:numPr>
        <w:spacing w:line="600" w:lineRule="exact"/>
        <w:ind w:firstLine="640"/>
        <w:outlineLvl w:val="1"/>
        <w:rPr>
          <w:rStyle w:val="25"/>
          <w:rFonts w:ascii="黑体" w:hAnsi="黑体" w:eastAsia="黑体"/>
          <w:b w:val="0"/>
        </w:rPr>
      </w:pPr>
      <w:bookmarkStart w:id="42" w:name="_Toc15377221"/>
      <w:bookmarkStart w:id="43" w:name="_Toc15396612"/>
      <w:r>
        <w:rPr>
          <w:rStyle w:val="25"/>
          <w:rFonts w:hint="eastAsia" w:ascii="黑体" w:hAnsi="黑体" w:eastAsia="黑体"/>
          <w:b w:val="0"/>
        </w:rPr>
        <w:t>其他重要事项的情况说明</w:t>
      </w:r>
      <w:bookmarkEnd w:id="42"/>
      <w:bookmarkEnd w:id="43"/>
    </w:p>
    <w:p>
      <w:pPr>
        <w:spacing w:line="600" w:lineRule="exact"/>
        <w:ind w:firstLine="643" w:firstLineChars="200"/>
        <w:outlineLvl w:val="2"/>
        <w:rPr>
          <w:rFonts w:ascii="仿宋" w:hAnsi="仿宋" w:eastAsia="仿宋"/>
          <w:sz w:val="32"/>
          <w:szCs w:val="32"/>
        </w:rPr>
      </w:pPr>
      <w:bookmarkStart w:id="44" w:name="_Toc15377222"/>
      <w:r>
        <w:rPr>
          <w:rFonts w:hint="eastAsia" w:ascii="仿宋" w:hAnsi="仿宋" w:eastAsia="仿宋"/>
          <w:b/>
          <w:sz w:val="32"/>
          <w:szCs w:val="32"/>
        </w:rPr>
        <w:t>（一）机关运行经费支出情况</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default" w:ascii="Times New Roman" w:hAnsi="Times New Roman" w:eastAsia="仿宋_GB2312" w:cs="Times New Roman"/>
          <w:sz w:val="32"/>
          <w:szCs w:val="32"/>
        </w:rPr>
        <w:t>2022</w:t>
      </w:r>
      <w:r>
        <w:rPr>
          <w:rFonts w:hint="eastAsia" w:ascii="仿宋_GB2312" w:eastAsia="仿宋_GB2312"/>
          <w:sz w:val="32"/>
          <w:szCs w:val="32"/>
        </w:rPr>
        <w:t>年，攀枝花市盐边生态环境局机关运行经费支出</w:t>
      </w:r>
      <w:r>
        <w:rPr>
          <w:rFonts w:hint="default" w:ascii="Times New Roman" w:hAnsi="Times New Roman" w:eastAsia="仿宋_GB2312" w:cs="Times New Roman"/>
          <w:sz w:val="32"/>
          <w:szCs w:val="32"/>
          <w:lang w:val="en-US" w:eastAsia="zh-CN"/>
        </w:rPr>
        <w:t>37.08</w:t>
      </w:r>
      <w:r>
        <w:rPr>
          <w:rFonts w:hint="eastAsia" w:ascii="仿宋_GB2312" w:eastAsia="仿宋_GB2312"/>
          <w:sz w:val="32"/>
          <w:szCs w:val="32"/>
        </w:rPr>
        <w:t>万元，比</w:t>
      </w:r>
      <w:r>
        <w:rPr>
          <w:rFonts w:hint="default" w:ascii="Times New Roman" w:hAnsi="Times New Roman" w:eastAsia="仿宋_GB2312" w:cs="Times New Roman"/>
          <w:sz w:val="32"/>
          <w:szCs w:val="32"/>
        </w:rPr>
        <w:t>2021</w:t>
      </w:r>
      <w:r>
        <w:rPr>
          <w:rFonts w:hint="eastAsia" w:ascii="仿宋_GB2312" w:eastAsia="仿宋_GB2312"/>
          <w:sz w:val="32"/>
          <w:szCs w:val="32"/>
        </w:rPr>
        <w:t>年增加</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万元，增长</w:t>
      </w:r>
      <w:r>
        <w:rPr>
          <w:rFonts w:hint="default"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仿宋_GB2312" w:eastAsia="仿宋_GB2312"/>
          <w:sz w:val="32"/>
          <w:szCs w:val="32"/>
          <w:lang w:eastAsia="zh-CN"/>
        </w:rPr>
        <w:t>。</w:t>
      </w:r>
      <w:r>
        <w:rPr>
          <w:rFonts w:hint="eastAsia" w:ascii="仿宋_GB2312" w:eastAsia="仿宋_GB2312"/>
          <w:sz w:val="32"/>
          <w:szCs w:val="32"/>
        </w:rPr>
        <w:t>主要原因是</w:t>
      </w:r>
      <w:r>
        <w:rPr>
          <w:rFonts w:hint="eastAsia" w:ascii="仿宋_GB2312" w:eastAsia="仿宋_GB2312"/>
          <w:sz w:val="32"/>
          <w:szCs w:val="32"/>
          <w:lang w:eastAsia="zh-CN"/>
        </w:rPr>
        <w:t>人员增加。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5" w:name="_Toc15377223"/>
      <w:r>
        <w:rPr>
          <w:rFonts w:hint="eastAsia" w:ascii="仿宋" w:hAnsi="仿宋" w:eastAsia="仿宋"/>
          <w:b/>
          <w:sz w:val="32"/>
          <w:szCs w:val="32"/>
        </w:rPr>
        <w:t>（二）政府采购支出情况</w:t>
      </w:r>
      <w:bookmarkEnd w:id="45"/>
    </w:p>
    <w:p>
      <w:pPr>
        <w:spacing w:line="600" w:lineRule="exact"/>
        <w:ind w:firstLine="640" w:firstLineChars="200"/>
        <w:rPr>
          <w:rFonts w:hint="eastAsia" w:ascii="仿宋" w:hAnsi="仿宋" w:eastAsia="仿宋_GB2312"/>
          <w:b/>
          <w:sz w:val="32"/>
          <w:szCs w:val="32"/>
          <w:lang w:eastAsia="zh-CN"/>
        </w:rPr>
      </w:pPr>
      <w:r>
        <w:rPr>
          <w:rFonts w:hint="default" w:ascii="Times New Roman" w:hAnsi="Times New Roman" w:eastAsia="仿宋_GB2312" w:cs="Times New Roman"/>
          <w:sz w:val="32"/>
          <w:szCs w:val="32"/>
        </w:rPr>
        <w:t>2022</w:t>
      </w:r>
      <w:r>
        <w:rPr>
          <w:rFonts w:hint="eastAsia" w:ascii="仿宋_GB2312" w:eastAsia="仿宋_GB2312"/>
          <w:sz w:val="32"/>
          <w:szCs w:val="32"/>
        </w:rPr>
        <w:t>年，攀枝花市盐边生态环境局政府采购支出总额</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6" w:name="_Toc15377224"/>
      <w:r>
        <w:rPr>
          <w:rFonts w:hint="eastAsia" w:ascii="仿宋" w:hAnsi="仿宋" w:eastAsia="仿宋"/>
          <w:b/>
          <w:sz w:val="32"/>
          <w:szCs w:val="32"/>
        </w:rPr>
        <w:t>（三）国有资产占有使用情况</w:t>
      </w:r>
      <w:bookmarkEnd w:id="46"/>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hint="default" w:ascii="Times New Roman" w:hAnsi="Times New Roman" w:eastAsia="仿宋_GB2312" w:cs="Times New Roman"/>
          <w:sz w:val="32"/>
          <w:szCs w:val="32"/>
        </w:rPr>
        <w:t>2022</w:t>
      </w:r>
      <w:r>
        <w:rPr>
          <w:rFonts w:hint="eastAsia" w:ascii="仿宋_GB2312" w:eastAsia="仿宋_GB2312"/>
          <w:sz w:val="32"/>
          <w:szCs w:val="32"/>
        </w:rPr>
        <w:t>年</w:t>
      </w:r>
      <w:r>
        <w:rPr>
          <w:rFonts w:hint="default" w:ascii="Times New Roman" w:hAnsi="Times New Roman" w:eastAsia="仿宋_GB2312" w:cs="Times New Roman"/>
          <w:sz w:val="32"/>
          <w:szCs w:val="32"/>
        </w:rPr>
        <w:t>12</w:t>
      </w:r>
      <w:r>
        <w:rPr>
          <w:rFonts w:hint="eastAsia" w:ascii="仿宋_GB2312" w:eastAsia="仿宋_GB2312"/>
          <w:sz w:val="32"/>
          <w:szCs w:val="32"/>
        </w:rPr>
        <w:t>月</w:t>
      </w:r>
      <w:r>
        <w:rPr>
          <w:rFonts w:hint="default" w:ascii="Times New Roman" w:hAnsi="Times New Roman" w:eastAsia="仿宋_GB2312" w:cs="Times New Roman"/>
          <w:sz w:val="32"/>
          <w:szCs w:val="32"/>
        </w:rPr>
        <w:t>31</w:t>
      </w:r>
      <w:r>
        <w:rPr>
          <w:rFonts w:hint="eastAsia" w:ascii="仿宋_GB2312" w:eastAsia="仿宋_GB2312"/>
          <w:sz w:val="32"/>
          <w:szCs w:val="32"/>
        </w:rPr>
        <w:t>日，攀枝花市盐边生态环境局共有车辆</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w:t>
      </w:r>
      <w:r>
        <w:rPr>
          <w:rFonts w:hint="default" w:ascii="Times New Roman" w:hAnsi="Times New Roman" w:eastAsia="仿宋_GB2312" w:cs="Times New Roman"/>
          <w:sz w:val="32"/>
          <w:szCs w:val="32"/>
        </w:rPr>
        <w:t>100</w:t>
      </w:r>
      <w:r>
        <w:rPr>
          <w:rFonts w:hint="eastAsia" w:ascii="仿宋_GB2312" w:eastAsia="仿宋_GB2312"/>
          <w:sz w:val="32"/>
          <w:szCs w:val="32"/>
        </w:rPr>
        <w:t>万元以上专用设备</w:t>
      </w:r>
      <w:r>
        <w:rPr>
          <w:rFonts w:hint="default" w:ascii="Times New Roman" w:hAnsi="Times New Roman" w:eastAsia="仿宋_GB2312" w:cs="Times New Roman"/>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5"/>
        <w:spacing w:before="93"/>
        <w:ind w:firstLine="640" w:firstLineChars="200"/>
        <w:rPr>
          <w:highlight w:val="yellow"/>
        </w:rPr>
      </w:pPr>
      <w:r>
        <w:rPr>
          <w:rFonts w:hint="eastAsia" w:hAnsi="仿宋_GB2312" w:cs="仿宋_GB2312"/>
          <w:sz w:val="32"/>
          <w:szCs w:val="32"/>
        </w:rPr>
        <w:t>根据预算绩效管理要求，本单位在</w:t>
      </w:r>
      <w:r>
        <w:rPr>
          <w:rFonts w:hint="default" w:ascii="Times New Roman" w:hAnsi="Times New Roman" w:cs="Times New Roman"/>
          <w:sz w:val="32"/>
          <w:szCs w:val="32"/>
        </w:rPr>
        <w:t>2022</w:t>
      </w:r>
      <w:r>
        <w:rPr>
          <w:rFonts w:hint="eastAsia" w:hAnsi="仿宋_GB2312" w:cs="仿宋_GB2312"/>
          <w:sz w:val="32"/>
          <w:szCs w:val="32"/>
        </w:rPr>
        <w:t>年度预算编制阶段，组织对住房公积金项目等</w:t>
      </w:r>
      <w:r>
        <w:rPr>
          <w:rFonts w:hint="default" w:ascii="Times New Roman" w:hAnsi="Times New Roman" w:cs="Times New Roman"/>
          <w:sz w:val="32"/>
          <w:szCs w:val="32"/>
          <w:lang w:val="en-US" w:eastAsia="zh-CN"/>
        </w:rPr>
        <w:t>12</w:t>
      </w:r>
      <w:r>
        <w:rPr>
          <w:rFonts w:hint="eastAsia" w:hAnsi="仿宋_GB2312" w:cs="仿宋_GB2312"/>
          <w:sz w:val="32"/>
          <w:szCs w:val="32"/>
        </w:rPr>
        <w:t>个项目开展了预算事前绩效评估，对</w:t>
      </w:r>
      <w:r>
        <w:rPr>
          <w:rFonts w:hint="default" w:ascii="Times New Roman" w:hAnsi="Times New Roman" w:cs="Times New Roman"/>
          <w:sz w:val="32"/>
          <w:szCs w:val="32"/>
          <w:lang w:val="en-US" w:eastAsia="zh-CN"/>
        </w:rPr>
        <w:t>12</w:t>
      </w:r>
      <w:r>
        <w:rPr>
          <w:rFonts w:hint="eastAsia" w:hAnsi="仿宋_GB2312" w:cs="仿宋_GB2312"/>
          <w:sz w:val="32"/>
          <w:szCs w:val="32"/>
        </w:rPr>
        <w:t>个项目编制了绩效目标，预算执行过程中，选取</w:t>
      </w:r>
      <w:r>
        <w:rPr>
          <w:rFonts w:hint="eastAsia" w:ascii="Times New Roman" w:cs="Times New Roman"/>
          <w:sz w:val="32"/>
          <w:szCs w:val="32"/>
          <w:lang w:val="en-US" w:eastAsia="zh-CN"/>
        </w:rPr>
        <w:t>12</w:t>
      </w:r>
      <w:r>
        <w:rPr>
          <w:rFonts w:hint="eastAsia" w:hAnsi="仿宋_GB2312" w:cs="仿宋_GB2312"/>
          <w:sz w:val="32"/>
          <w:szCs w:val="32"/>
        </w:rPr>
        <w:t>个项目开展绩效监控，组织对</w:t>
      </w:r>
      <w:r>
        <w:rPr>
          <w:rFonts w:hint="eastAsia" w:ascii="Times New Roman" w:cs="Times New Roman"/>
          <w:sz w:val="32"/>
          <w:szCs w:val="32"/>
          <w:lang w:val="en-US" w:eastAsia="zh-CN"/>
        </w:rPr>
        <w:t>12</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24"/>
          <w:rFonts w:ascii="黑体" w:hAnsi="黑体" w:eastAsia="黑体"/>
          <w:b w:val="0"/>
        </w:rPr>
      </w:pPr>
      <w:bookmarkStart w:id="47" w:name="_Toc15377225"/>
      <w:bookmarkStart w:id="48" w:name="_Toc15396613"/>
      <w:r>
        <w:rPr>
          <w:rFonts w:hint="eastAsia" w:ascii="黑体" w:hAnsi="黑体" w:eastAsia="黑体"/>
          <w:sz w:val="44"/>
          <w:szCs w:val="44"/>
        </w:rPr>
        <w:t>名</w:t>
      </w:r>
      <w:r>
        <w:rPr>
          <w:rStyle w:val="24"/>
          <w:rFonts w:hint="eastAsia" w:ascii="黑体" w:hAnsi="黑体" w:eastAsia="黑体"/>
          <w:b w:val="0"/>
        </w:rPr>
        <w:t>词解释</w:t>
      </w:r>
      <w:bookmarkEnd w:id="47"/>
      <w:bookmarkEnd w:id="48"/>
    </w:p>
    <w:p>
      <w:pPr>
        <w:spacing w:line="600" w:lineRule="exact"/>
        <w:jc w:val="left"/>
        <w:rPr>
          <w:rFonts w:ascii="宋体"/>
          <w:b/>
          <w:sz w:val="44"/>
          <w:szCs w:val="44"/>
        </w:rPr>
      </w:pP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.年初结转和结余：指以前年度尚未完成、结转到本年按有关规定继续使用的资金。</w:t>
      </w:r>
    </w:p>
    <w:p>
      <w:pPr>
        <w:pStyle w:val="3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.社会保障和就业（类）行政事业单位养老（款）机关事业单位基本养老保险缴费（项）：指机关事业单位实施养老保险制度由单位缴纳的基本养老保险支出。</w:t>
      </w:r>
    </w:p>
    <w:p>
      <w:pPr>
        <w:pStyle w:val="30"/>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.社会保障和就业（类）</w:t>
      </w:r>
      <w:r>
        <w:rPr>
          <w:rFonts w:hint="default" w:ascii="Times New Roman" w:hAnsi="Times New Roman" w:eastAsia="仿宋_GB2312" w:cs="Times New Roman"/>
          <w:color w:val="000000"/>
          <w:sz w:val="32"/>
          <w:szCs w:val="32"/>
          <w:lang w:eastAsia="zh-CN"/>
        </w:rPr>
        <w:t>抚恤（款）死亡抚恤（项）：按规定用于烈士和牺牲、病故人员家属的一次性和定期抚恤金、丧葬补助费以及烈士褒扬金。</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节能环保支出（类）环境保护管理事务（款）行政运行（项）：指行政单位（包括实行公务员管理的事业单位）的基本支出。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.基本支出：指为保障机构正常运转、完成日常工作任务而发生的人员支出和公用支出。</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hint="default" w:ascii="Times New Roman" w:hAnsi="Times New Roman" w:eastAsia="仿宋_GB2312" w:cs="Times New Roman"/>
          <w:color w:val="auto"/>
          <w:sz w:val="32"/>
          <w:szCs w:val="32"/>
        </w:rPr>
      </w:pPr>
    </w:p>
    <w:p>
      <w:pPr>
        <w:spacing w:line="600" w:lineRule="exact"/>
        <w:jc w:val="center"/>
        <w:outlineLvl w:val="0"/>
        <w:rPr>
          <w:rStyle w:val="24"/>
          <w:rFonts w:ascii="黑体" w:hAnsi="黑体" w:eastAsia="黑体"/>
          <w:b w:val="0"/>
        </w:rPr>
      </w:pPr>
      <w:bookmarkStart w:id="49" w:name="_Toc15377226"/>
      <w:r>
        <w:rPr>
          <w:rFonts w:ascii="宋体"/>
          <w:b/>
          <w:sz w:val="44"/>
          <w:szCs w:val="44"/>
        </w:rPr>
        <w:br w:type="page"/>
      </w:r>
      <w:bookmarkStart w:id="50" w:name="_Toc15396614"/>
      <w:r>
        <w:rPr>
          <w:rFonts w:hint="eastAsia" w:ascii="黑体" w:hAnsi="黑体" w:eastAsia="黑体"/>
          <w:sz w:val="44"/>
          <w:szCs w:val="44"/>
        </w:rPr>
        <w:t>第</w:t>
      </w:r>
      <w:r>
        <w:rPr>
          <w:rStyle w:val="24"/>
          <w:rFonts w:hint="eastAsia" w:ascii="黑体" w:hAnsi="黑体" w:eastAsia="黑体"/>
          <w:b w:val="0"/>
        </w:rPr>
        <w:t>四部分 附件</w:t>
      </w:r>
      <w:bookmarkEnd w:id="50"/>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default" w:ascii="Times New Roman" w:hAnsi="Times New Roman" w:eastAsia="仿宋_GB2312" w:cs="Times New Roman"/>
          <w:kern w:val="0"/>
          <w:sz w:val="32"/>
          <w:szCs w:val="32"/>
          <w:lang w:eastAsia="zh-CN"/>
        </w:rPr>
      </w:pPr>
      <w:bookmarkStart w:id="51" w:name="_Toc15396618"/>
      <w:r>
        <w:rPr>
          <w:rFonts w:hint="default" w:ascii="Times New Roman" w:hAnsi="Times New Roman" w:eastAsia="仿宋_GB2312" w:cs="Times New Roman"/>
          <w:kern w:val="0"/>
          <w:sz w:val="32"/>
          <w:szCs w:val="32"/>
        </w:rPr>
        <w:t>部门预算项目支出绩效自评表（2022年度）见附件</w:t>
      </w:r>
      <w:r>
        <w:rPr>
          <w:rFonts w:hint="default" w:ascii="Times New Roman" w:hAnsi="Times New Roman" w:eastAsia="仿宋_GB2312" w:cs="Times New Roman"/>
          <w:kern w:val="0"/>
          <w:sz w:val="32"/>
          <w:szCs w:val="32"/>
          <w:lang w:val="en-US" w:eastAsia="zh-CN"/>
        </w:rPr>
        <w:t>1</w:t>
      </w:r>
    </w:p>
    <w:p>
      <w:pPr>
        <w:spacing w:line="600" w:lineRule="exact"/>
        <w:jc w:val="left"/>
        <w:outlineLvl w:val="0"/>
        <w:rPr>
          <w:rFonts w:ascii="仿宋_GB2312" w:hAnsi="Calibri" w:eastAsia="仿宋_GB2312" w:cs="仿宋"/>
          <w:kern w:val="0"/>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49"/>
      <w:bookmarkEnd w:id="51"/>
      <w:bookmarkStart w:id="52" w:name="_Toc15396619"/>
    </w:p>
    <w:p>
      <w:pPr>
        <w:pStyle w:val="3"/>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2"/>
    </w:p>
    <w:p>
      <w:pPr>
        <w:pStyle w:val="3"/>
        <w:rPr>
          <w:rFonts w:ascii="仿宋" w:hAnsi="仿宋" w:eastAsia="仿宋"/>
        </w:rPr>
      </w:pPr>
      <w:bookmarkStart w:id="53" w:name="_Toc15396620"/>
      <w:r>
        <w:rPr>
          <w:rFonts w:hint="eastAsia" w:ascii="仿宋" w:hAnsi="仿宋" w:eastAsia="仿宋"/>
          <w:b w:val="0"/>
        </w:rPr>
        <w:t>二、收</w:t>
      </w:r>
      <w:r>
        <w:rPr>
          <w:rStyle w:val="25"/>
          <w:rFonts w:hint="eastAsia" w:ascii="仿宋" w:hAnsi="仿宋" w:eastAsia="仿宋"/>
          <w:b w:val="0"/>
          <w:bCs w:val="0"/>
        </w:rPr>
        <w:t>入决算表</w:t>
      </w:r>
      <w:bookmarkEnd w:id="53"/>
    </w:p>
    <w:p>
      <w:pPr>
        <w:pStyle w:val="3"/>
        <w:rPr>
          <w:rFonts w:ascii="仿宋" w:hAnsi="仿宋" w:eastAsia="仿宋"/>
        </w:rPr>
      </w:pPr>
      <w:bookmarkStart w:id="54"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4"/>
    </w:p>
    <w:p>
      <w:pPr>
        <w:pStyle w:val="3"/>
        <w:rPr>
          <w:rFonts w:ascii="仿宋" w:hAnsi="仿宋" w:eastAsia="仿宋"/>
          <w:b w:val="0"/>
        </w:rPr>
      </w:pPr>
      <w:bookmarkStart w:id="55"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5"/>
    </w:p>
    <w:p>
      <w:pPr>
        <w:pStyle w:val="3"/>
        <w:rPr>
          <w:rStyle w:val="25"/>
          <w:rFonts w:ascii="仿宋" w:hAnsi="仿宋" w:eastAsia="仿宋"/>
          <w:b w:val="0"/>
          <w:bCs w:val="0"/>
        </w:rPr>
      </w:pPr>
      <w:bookmarkStart w:id="56"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6"/>
      <w:bookmarkStart w:id="57" w:name="_Toc15396624"/>
    </w:p>
    <w:p>
      <w:pPr>
        <w:pStyle w:val="3"/>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7"/>
    </w:p>
    <w:p>
      <w:pPr>
        <w:pStyle w:val="3"/>
        <w:rPr>
          <w:rFonts w:ascii="仿宋" w:hAnsi="仿宋" w:eastAsia="仿宋"/>
        </w:rPr>
      </w:pPr>
      <w:bookmarkStart w:id="58"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58"/>
    </w:p>
    <w:p>
      <w:pPr>
        <w:pStyle w:val="3"/>
        <w:rPr>
          <w:rFonts w:ascii="仿宋" w:hAnsi="仿宋" w:eastAsia="仿宋"/>
        </w:rPr>
      </w:pPr>
      <w:bookmarkStart w:id="59"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59"/>
    </w:p>
    <w:p>
      <w:pPr>
        <w:pStyle w:val="3"/>
        <w:rPr>
          <w:rFonts w:ascii="仿宋" w:hAnsi="仿宋" w:eastAsia="仿宋"/>
        </w:rPr>
      </w:pPr>
      <w:bookmarkStart w:id="60"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0"/>
    </w:p>
    <w:p>
      <w:pPr>
        <w:pStyle w:val="3"/>
        <w:rPr>
          <w:rFonts w:ascii="仿宋" w:hAnsi="仿宋" w:eastAsia="仿宋"/>
        </w:rPr>
      </w:pPr>
      <w:bookmarkStart w:id="61" w:name="_Toc15396628"/>
      <w:r>
        <w:rPr>
          <w:rStyle w:val="25"/>
          <w:rFonts w:hint="eastAsia" w:ascii="仿宋" w:hAnsi="仿宋" w:eastAsia="仿宋"/>
          <w:b w:val="0"/>
          <w:bCs w:val="0"/>
        </w:rPr>
        <w:t>十、</w:t>
      </w:r>
      <w:bookmarkEnd w:id="61"/>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3"/>
        <w:rPr>
          <w:rFonts w:ascii="仿宋" w:hAnsi="仿宋" w:eastAsia="仿宋"/>
        </w:rPr>
      </w:pPr>
      <w:bookmarkStart w:id="62" w:name="_Toc15396629"/>
      <w:r>
        <w:rPr>
          <w:rStyle w:val="25"/>
          <w:rFonts w:hint="eastAsia" w:ascii="仿宋" w:hAnsi="仿宋" w:eastAsia="仿宋"/>
          <w:b w:val="0"/>
          <w:bCs w:val="0"/>
        </w:rPr>
        <w:t>十一、</w:t>
      </w:r>
      <w:bookmarkEnd w:id="62"/>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3"/>
        <w:rPr>
          <w:rFonts w:ascii="仿宋" w:hAnsi="仿宋" w:eastAsia="仿宋"/>
        </w:rPr>
      </w:pPr>
      <w:bookmarkStart w:id="63" w:name="_Toc15396630"/>
      <w:r>
        <w:rPr>
          <w:rStyle w:val="25"/>
          <w:rFonts w:hint="eastAsia" w:ascii="仿宋" w:hAnsi="仿宋" w:eastAsia="仿宋"/>
          <w:b w:val="0"/>
          <w:bCs w:val="0"/>
        </w:rPr>
        <w:t>十二、</w:t>
      </w:r>
      <w:bookmarkEnd w:id="63"/>
      <w:r>
        <w:rPr>
          <w:rStyle w:val="25"/>
          <w:rFonts w:hint="eastAsia" w:ascii="仿宋" w:hAnsi="仿宋" w:eastAsia="仿宋"/>
          <w:b w:val="0"/>
          <w:bCs w:val="0"/>
        </w:rPr>
        <w:t>国有资本经营预算财政拨款支出决算表</w:t>
      </w:r>
    </w:p>
    <w:p>
      <w:pPr>
        <w:pStyle w:val="3"/>
        <w:rPr>
          <w:rFonts w:eastAsia="仿宋"/>
        </w:rPr>
      </w:pPr>
      <w:bookmarkStart w:id="64" w:name="_Toc15396631"/>
      <w:r>
        <w:rPr>
          <w:rStyle w:val="25"/>
          <w:rFonts w:hint="eastAsia" w:ascii="仿宋" w:hAnsi="仿宋" w:eastAsia="仿宋"/>
          <w:b w:val="0"/>
          <w:bCs w:val="0"/>
        </w:rPr>
        <w:t>十三、</w:t>
      </w:r>
      <w:bookmarkEnd w:id="64"/>
      <w:r>
        <w:rPr>
          <w:rStyle w:val="25"/>
          <w:rFonts w:hint="eastAsia" w:ascii="仿宋" w:hAnsi="仿宋" w:eastAsia="仿宋"/>
          <w:b w:val="0"/>
          <w:bCs w:val="0"/>
        </w:rPr>
        <w:t>财政拨款“三公”经费支出决算表</w:t>
      </w: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FZFangSong-Z02">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17344"/>
    <w:rsid w:val="040B6523"/>
    <w:rsid w:val="053A62B5"/>
    <w:rsid w:val="09F55A67"/>
    <w:rsid w:val="0A2032A3"/>
    <w:rsid w:val="0A653F6E"/>
    <w:rsid w:val="0B8A37D8"/>
    <w:rsid w:val="0C8C314E"/>
    <w:rsid w:val="0FC74163"/>
    <w:rsid w:val="10C055FF"/>
    <w:rsid w:val="10FB1422"/>
    <w:rsid w:val="118107EC"/>
    <w:rsid w:val="11DD6519"/>
    <w:rsid w:val="16BB723D"/>
    <w:rsid w:val="179A7EFD"/>
    <w:rsid w:val="18015F3F"/>
    <w:rsid w:val="1B152019"/>
    <w:rsid w:val="1B3D2741"/>
    <w:rsid w:val="1B6B458E"/>
    <w:rsid w:val="1BE8440E"/>
    <w:rsid w:val="1D155CEE"/>
    <w:rsid w:val="1F8E56C2"/>
    <w:rsid w:val="20F57F95"/>
    <w:rsid w:val="2211321E"/>
    <w:rsid w:val="240371BF"/>
    <w:rsid w:val="24AC6EB2"/>
    <w:rsid w:val="25711CC6"/>
    <w:rsid w:val="25C741E6"/>
    <w:rsid w:val="27842671"/>
    <w:rsid w:val="29FD04D3"/>
    <w:rsid w:val="2ABE7A3E"/>
    <w:rsid w:val="2CA234A8"/>
    <w:rsid w:val="2EE61964"/>
    <w:rsid w:val="2EFA178C"/>
    <w:rsid w:val="30B46D73"/>
    <w:rsid w:val="31003A6A"/>
    <w:rsid w:val="319F7F4E"/>
    <w:rsid w:val="35906DF2"/>
    <w:rsid w:val="35AC2443"/>
    <w:rsid w:val="37CB7EFB"/>
    <w:rsid w:val="383D272C"/>
    <w:rsid w:val="39AE70AB"/>
    <w:rsid w:val="3C0C0783"/>
    <w:rsid w:val="3E8B7FE8"/>
    <w:rsid w:val="3F9F3A96"/>
    <w:rsid w:val="40435DA6"/>
    <w:rsid w:val="40464BE4"/>
    <w:rsid w:val="40EC5A68"/>
    <w:rsid w:val="41A904B5"/>
    <w:rsid w:val="470A5309"/>
    <w:rsid w:val="48BF60AB"/>
    <w:rsid w:val="48CD64CD"/>
    <w:rsid w:val="493C27E9"/>
    <w:rsid w:val="496F39ED"/>
    <w:rsid w:val="49FF41D3"/>
    <w:rsid w:val="4A4600F9"/>
    <w:rsid w:val="4AC85FC4"/>
    <w:rsid w:val="4BE068DB"/>
    <w:rsid w:val="4BF6002B"/>
    <w:rsid w:val="4C9E1E7A"/>
    <w:rsid w:val="4ECE2238"/>
    <w:rsid w:val="51DB4B86"/>
    <w:rsid w:val="539B655B"/>
    <w:rsid w:val="55333C3E"/>
    <w:rsid w:val="56062C1D"/>
    <w:rsid w:val="56E23A89"/>
    <w:rsid w:val="580F0EA7"/>
    <w:rsid w:val="599300BE"/>
    <w:rsid w:val="5BBF3BC2"/>
    <w:rsid w:val="5E1F5935"/>
    <w:rsid w:val="64CA39A1"/>
    <w:rsid w:val="68633D50"/>
    <w:rsid w:val="69630ADE"/>
    <w:rsid w:val="69FA477F"/>
    <w:rsid w:val="6C4A05C8"/>
    <w:rsid w:val="6D3B1A89"/>
    <w:rsid w:val="71BF4EC2"/>
    <w:rsid w:val="72734D90"/>
    <w:rsid w:val="7412278C"/>
    <w:rsid w:val="79601867"/>
    <w:rsid w:val="79E7B28D"/>
    <w:rsid w:val="7A192A0E"/>
    <w:rsid w:val="7D046257"/>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收入（万元）</c:v>
                </c:pt>
                <c:pt idx="1">
                  <c:v>支出（万元）</c:v>
                </c:pt>
              </c:strCache>
            </c:strRef>
          </c:cat>
          <c:val>
            <c:numRef>
              <c:f>Sheet1!$B$2:$B$3</c:f>
              <c:numCache>
                <c:formatCode>0.00_ </c:formatCode>
                <c:ptCount val="2"/>
                <c:pt idx="0">
                  <c:v>220.03</c:v>
                </c:pt>
                <c:pt idx="1">
                  <c:v>220.03</c:v>
                </c:pt>
              </c:numCache>
            </c:numRef>
          </c:val>
        </c:ser>
        <c:ser>
          <c:idx val="1"/>
          <c:order val="1"/>
          <c:tx>
            <c:strRef>
              <c:f>Sheet1!$C$1</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收入（万元）</c:v>
                </c:pt>
                <c:pt idx="1">
                  <c:v>支出（万元）</c:v>
                </c:pt>
              </c:strCache>
            </c:strRef>
          </c:cat>
          <c:val>
            <c:numRef>
              <c:f>Sheet1!$C$2:$C$3</c:f>
              <c:numCache>
                <c:formatCode>General</c:formatCode>
                <c:ptCount val="2"/>
                <c:pt idx="0">
                  <c:v>276.67</c:v>
                </c:pt>
                <c:pt idx="1">
                  <c:v>276.67</c:v>
                </c:pt>
              </c:numCache>
            </c:numRef>
          </c:val>
        </c:ser>
        <c:dLbls>
          <c:showLegendKey val="0"/>
          <c:showVal val="1"/>
          <c:showCatName val="0"/>
          <c:showSerName val="0"/>
          <c:showPercent val="0"/>
          <c:showBubbleSize val="0"/>
        </c:dLbls>
        <c:gapWidth val="65"/>
        <c:overlap val="0"/>
        <c:axId val="850066312"/>
        <c:axId val="303970037"/>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extLst>
                      <c:ext uri="{02D57815-91ED-43cb-92C2-25804820EDAC}">
                        <c15:fullRef>
                          <c15:sqref/>
                        </c15:fullRef>
                        <c15:formulaRef>
                          <c15:sqref>Sheet1!$A$2:$A$3</c15:sqref>
                        </c15:formulaRef>
                      </c:ext>
                    </c:extLst>
                    <c:strCache>
                      <c:ptCount val="2"/>
                      <c:pt idx="0">
                        <c:v>收入（万元）</c:v>
                      </c:pt>
                      <c:pt idx="1">
                        <c:v>支出（万元）</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850066312"/>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03970037"/>
        <c:crosses val="autoZero"/>
        <c:auto val="1"/>
        <c:lblAlgn val="ctr"/>
        <c:lblOffset val="100"/>
        <c:noMultiLvlLbl val="0"/>
      </c:catAx>
      <c:valAx>
        <c:axId val="30397003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_ "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85006631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pt idx="1">
                  <c:v>政府性基金预算财政拨款收入</c:v>
                </c:pt>
                <c:pt idx="2">
                  <c:v>国有资本经营预算财政拨款收入</c:v>
                </c:pt>
                <c:pt idx="3">
                  <c:v>上级补助收入</c:v>
                </c:pt>
              </c:strCache>
            </c:strRef>
          </c:cat>
          <c:val>
            <c:numRef>
              <c:f>Sheet1!$B$2:$B$5</c:f>
              <c:numCache>
                <c:formatCode>General</c:formatCode>
                <c:ptCount val="4"/>
                <c:pt idx="0">
                  <c:v>237.14</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Sheet1!$A$2:$B$6</c:f>
              <c:multiLvlStrCache>
                <c:ptCount val="5"/>
                <c:lvl>
                  <c:pt idx="0">
                    <c:v>276.67</c:v>
                  </c:pt>
                  <c:pt idx="1">
                    <c:v>0</c:v>
                  </c:pt>
                  <c:pt idx="2">
                    <c:v>0</c:v>
                  </c:pt>
                  <c:pt idx="3">
                    <c:v>0</c:v>
                  </c:pt>
                  <c:pt idx="4">
                    <c:v>0</c:v>
                  </c:pt>
                </c:lvl>
                <c:lvl>
                  <c:pt idx="0">
                    <c:v>基本支出</c:v>
                  </c:pt>
                  <c:pt idx="1">
                    <c:v>项目支出</c:v>
                  </c:pt>
                  <c:pt idx="2">
                    <c:v>上缴上级支出</c:v>
                  </c:pt>
                  <c:pt idx="3">
                    <c:v>经营支出</c:v>
                  </c:pt>
                  <c:pt idx="4">
                    <c:v>对附属单位补助支出</c:v>
                  </c:pt>
                </c:lvl>
              </c:multiLvlStrCache>
            </c:multiLvlStrRef>
          </c:cat>
          <c:val>
            <c:numRef>
              <c:f>Sheet1!$B$1:$B$6</c:f>
              <c:numCache>
                <c:formatCode>General</c:formatCode>
                <c:ptCount val="6"/>
                <c:pt idx="0">
                  <c:v>0</c:v>
                </c:pt>
                <c:pt idx="1">
                  <c:v>276.67</c:v>
                </c:pt>
                <c:pt idx="2">
                  <c:v>0</c:v>
                </c:pt>
                <c:pt idx="3">
                  <c:v>0</c:v>
                </c:pt>
                <c:pt idx="4">
                  <c:v>0</c:v>
                </c:pt>
                <c:pt idx="5">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5"/>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财政拨款收入支出决算情况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收入（万元）</c:v>
                </c:pt>
                <c:pt idx="1">
                  <c:v>支出（万元）</c:v>
                </c:pt>
              </c:strCache>
            </c:strRef>
          </c:cat>
          <c:val>
            <c:numRef>
              <c:f>Sheet1!$B$2:$B$3</c:f>
              <c:numCache>
                <c:formatCode>0.00_ </c:formatCode>
                <c:ptCount val="2"/>
                <c:pt idx="0">
                  <c:v>220.03</c:v>
                </c:pt>
                <c:pt idx="1">
                  <c:v>220.03</c:v>
                </c:pt>
              </c:numCache>
            </c:numRef>
          </c:val>
        </c:ser>
        <c:ser>
          <c:idx val="1"/>
          <c:order val="1"/>
          <c:tx>
            <c:strRef>
              <c:f>Sheet1!$C$1</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收入（万元）</c:v>
                </c:pt>
                <c:pt idx="1">
                  <c:v>支出（万元）</c:v>
                </c:pt>
              </c:strCache>
            </c:strRef>
          </c:cat>
          <c:val>
            <c:numRef>
              <c:f>Sheet1!$C$2:$C$3</c:f>
              <c:numCache>
                <c:formatCode>0.00_ </c:formatCode>
                <c:ptCount val="2"/>
                <c:pt idx="0">
                  <c:v>237.14</c:v>
                </c:pt>
                <c:pt idx="1" c:formatCode="General">
                  <c:v>237.14</c:v>
                </c:pt>
              </c:numCache>
            </c:numRef>
          </c:val>
        </c:ser>
        <c:dLbls>
          <c:showLegendKey val="0"/>
          <c:showVal val="1"/>
          <c:showCatName val="0"/>
          <c:showSerName val="0"/>
          <c:showPercent val="0"/>
          <c:showBubbleSize val="0"/>
        </c:dLbls>
        <c:gapWidth val="65"/>
        <c:overlap val="0"/>
        <c:axId val="850066312"/>
        <c:axId val="303970037"/>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extLst>
                      <c:ext uri="{02D57815-91ED-43cb-92C2-25804820EDAC}">
                        <c15:fullRef>
                          <c15:sqref/>
                        </c15:fullRef>
                        <c15:formulaRef>
                          <c15:sqref>Sheet1!$A$2:$A$3</c15:sqref>
                        </c15:formulaRef>
                      </c:ext>
                    </c:extLst>
                    <c:strCache>
                      <c:ptCount val="2"/>
                      <c:pt idx="0">
                        <c:v>收入（万元）</c:v>
                      </c:pt>
                      <c:pt idx="1">
                        <c:v>支出（万元）</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850066312"/>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03970037"/>
        <c:crosses val="autoZero"/>
        <c:auto val="1"/>
        <c:lblAlgn val="ctr"/>
        <c:lblOffset val="100"/>
        <c:noMultiLvlLbl val="0"/>
      </c:catAx>
      <c:valAx>
        <c:axId val="30397003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_ "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85006631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Sheet1!$B$2</c:f>
              <c:numCache>
                <c:formatCode>General</c:formatCode>
                <c:ptCount val="1"/>
                <c:pt idx="0">
                  <c:v>220.03</c:v>
                </c:pt>
              </c:numCache>
            </c:numRef>
          </c:val>
        </c:ser>
        <c:ser>
          <c:idx val="1"/>
          <c:order val="1"/>
          <c:tx>
            <c:strRef>
              <c:f>Sheet1!$C$1</c:f>
              <c:strCache>
                <c:ptCount val="1"/>
                <c:pt idx="0">
                  <c:v>2022年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Sheet1!$C$2</c:f>
              <c:numCache>
                <c:formatCode>General</c:formatCode>
                <c:ptCount val="1"/>
                <c:pt idx="0">
                  <c:v>276.67</c:v>
                </c:pt>
              </c:numCache>
            </c:numRef>
          </c:val>
        </c:ser>
        <c:dLbls>
          <c:showLegendKey val="0"/>
          <c:showVal val="1"/>
          <c:showCatName val="0"/>
          <c:showSerName val="0"/>
          <c:showPercent val="0"/>
          <c:showBubbleSize val="0"/>
        </c:dLbls>
        <c:gapWidth val="100"/>
        <c:overlap val="-24"/>
        <c:axId val="280662994"/>
        <c:axId val="276985589"/>
      </c:barChart>
      <c:catAx>
        <c:axId val="280662994"/>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76985589"/>
        <c:crosses val="autoZero"/>
        <c:auto val="1"/>
        <c:lblAlgn val="ctr"/>
        <c:lblOffset val="100"/>
        <c:noMultiLvlLbl val="0"/>
      </c:catAx>
      <c:valAx>
        <c:axId val="27698558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2806629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一般公共预算财政拨款支出决算结构情况</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862624269150845"/>
                  <c:y val="0.19851479221317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46842215895174"/>
                  <c:y val="-0.17675907947470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97220681179303"/>
                  <c:y val="0.1262573709222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社会保障和就业支出</c:v>
                </c:pt>
                <c:pt idx="1">
                  <c:v>节能环保支出</c:v>
                </c:pt>
                <c:pt idx="2">
                  <c:v>住房保障支出</c:v>
                </c:pt>
              </c:strCache>
            </c:strRef>
          </c:cat>
          <c:val>
            <c:numRef>
              <c:f>Sheet1!$B$2:$B$4</c:f>
              <c:numCache>
                <c:formatCode>General</c:formatCode>
                <c:ptCount val="3"/>
                <c:pt idx="0">
                  <c:v>52.1</c:v>
                </c:pt>
                <c:pt idx="1">
                  <c:v>201.08</c:v>
                </c:pt>
                <c:pt idx="2">
                  <c:v>23.49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因公出国（境）费用</c:v>
                </c:pt>
                <c:pt idx="1">
                  <c:v>公务用车购置及运行费</c:v>
                </c:pt>
                <c:pt idx="2">
                  <c:v>公务接待费</c:v>
                </c:pt>
              </c:strCache>
            </c:strRef>
          </c:cat>
          <c:val>
            <c:numRef>
              <c:f>Sheet1!$B$2:$B$4</c:f>
              <c:numCache>
                <c:formatCode>General</c:formatCode>
                <c:ptCount val="3"/>
                <c:pt idx="0">
                  <c:v>0</c:v>
                </c:pt>
                <c:pt idx="1">
                  <c:v>0</c:v>
                </c:pt>
                <c:pt idx="2">
                  <c:v>0.75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6</TotalTime>
  <ScaleCrop>false</ScaleCrop>
  <LinksUpToDate>false</LinksUpToDate>
  <CharactersWithSpaces>5901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cp:lastModifiedBy>
  <cp:lastPrinted>2023-07-31T02:35:00Z</cp:lastPrinted>
  <dcterms:modified xsi:type="dcterms:W3CDTF">2023-09-06T03:47:37Z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