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Times New Roman" w:hAnsi="Times New Roman" w:eastAsia="方正小标宋简体" w:cs="Times New Roman"/>
          <w:sz w:val="72"/>
          <w:szCs w:val="72"/>
        </w:rPr>
      </w:pPr>
      <w:bookmarkStart w:id="0" w:name="_Toc15306267"/>
    </w:p>
    <w:p>
      <w:pPr>
        <w:spacing w:line="600" w:lineRule="exact"/>
        <w:jc w:val="center"/>
        <w:outlineLvl w:val="0"/>
        <w:rPr>
          <w:rFonts w:hint="default" w:ascii="Times New Roman" w:hAnsi="Times New Roman" w:eastAsia="方正小标宋简体" w:cs="Times New Roman"/>
          <w:sz w:val="72"/>
          <w:szCs w:val="72"/>
        </w:rPr>
      </w:pPr>
    </w:p>
    <w:p>
      <w:pPr>
        <w:spacing w:line="600" w:lineRule="exact"/>
        <w:jc w:val="center"/>
        <w:outlineLvl w:val="0"/>
        <w:rPr>
          <w:rFonts w:hint="default" w:ascii="Times New Roman" w:hAnsi="Times New Roman" w:eastAsia="方正小标宋简体" w:cs="Times New Roman"/>
          <w:sz w:val="72"/>
          <w:szCs w:val="72"/>
        </w:rPr>
      </w:pPr>
    </w:p>
    <w:p>
      <w:pPr>
        <w:spacing w:line="600" w:lineRule="exact"/>
        <w:jc w:val="center"/>
        <w:outlineLvl w:val="0"/>
        <w:rPr>
          <w:rFonts w:hint="default" w:ascii="Times New Roman" w:hAnsi="Times New Roman" w:eastAsia="方正小标宋简体" w:cs="Times New Roman"/>
          <w:sz w:val="72"/>
          <w:szCs w:val="72"/>
        </w:rPr>
      </w:pPr>
    </w:p>
    <w:p>
      <w:pPr>
        <w:adjustRightInd w:val="0"/>
        <w:snapToGrid w:val="0"/>
        <w:spacing w:line="360" w:lineRule="auto"/>
        <w:jc w:val="center"/>
        <w:outlineLvl w:val="0"/>
        <w:rPr>
          <w:rFonts w:hint="default" w:ascii="Times New Roman" w:hAnsi="Times New Roman" w:eastAsia="方正小标宋简体" w:cs="Times New Roman"/>
          <w:sz w:val="72"/>
          <w:szCs w:val="72"/>
        </w:rPr>
      </w:pPr>
      <w:bookmarkStart w:id="1" w:name="_Toc15396597"/>
      <w:bookmarkStart w:id="2" w:name="_Toc15377193"/>
      <w:bookmarkStart w:id="3" w:name="_Toc15377425"/>
      <w:bookmarkStart w:id="4" w:name="_Toc15378441"/>
      <w:bookmarkStart w:id="5" w:name="_Toc15396475"/>
      <w:r>
        <w:rPr>
          <w:rFonts w:hint="default" w:ascii="Times New Roman" w:hAnsi="Times New Roman" w:eastAsia="方正小标宋简体" w:cs="Times New Roman"/>
          <w:sz w:val="72"/>
          <w:szCs w:val="72"/>
        </w:rPr>
        <w:t>2021年度</w:t>
      </w:r>
      <w:bookmarkEnd w:id="1"/>
      <w:bookmarkEnd w:id="2"/>
      <w:bookmarkEnd w:id="3"/>
      <w:bookmarkEnd w:id="4"/>
      <w:bookmarkEnd w:id="5"/>
    </w:p>
    <w:p>
      <w:pPr>
        <w:adjustRightInd w:val="0"/>
        <w:snapToGrid w:val="0"/>
        <w:spacing w:line="360" w:lineRule="auto"/>
        <w:jc w:val="center"/>
        <w:outlineLvl w:val="0"/>
        <w:rPr>
          <w:rFonts w:hint="default" w:ascii="Times New Roman" w:hAnsi="Times New Roman" w:eastAsia="方正小标宋简体" w:cs="Times New Roman"/>
          <w:sz w:val="72"/>
          <w:szCs w:val="72"/>
        </w:rPr>
      </w:pPr>
      <w:bookmarkStart w:id="6" w:name="_Toc15396598"/>
      <w:bookmarkStart w:id="7" w:name="_Toc15378442"/>
      <w:bookmarkStart w:id="8" w:name="_Toc15396476"/>
      <w:bookmarkStart w:id="9" w:name="_Toc15377426"/>
      <w:bookmarkStart w:id="10" w:name="_Toc15377194"/>
      <w:r>
        <w:rPr>
          <w:rFonts w:hint="default" w:ascii="Times New Roman" w:hAnsi="Times New Roman" w:eastAsia="方正小标宋简体" w:cs="Times New Roman"/>
          <w:sz w:val="72"/>
          <w:szCs w:val="72"/>
        </w:rPr>
        <w:t>四川省</w:t>
      </w:r>
      <w:bookmarkEnd w:id="0"/>
      <w:bookmarkStart w:id="11" w:name="_Toc15306268"/>
      <w:r>
        <w:rPr>
          <w:rFonts w:hint="default" w:ascii="Times New Roman" w:hAnsi="Times New Roman" w:eastAsia="方正小标宋简体" w:cs="Times New Roman"/>
          <w:sz w:val="72"/>
          <w:szCs w:val="72"/>
        </w:rPr>
        <w:t>攀枝花市盐边生态环境监测站单位决算</w:t>
      </w:r>
      <w:bookmarkEnd w:id="6"/>
      <w:bookmarkEnd w:id="7"/>
      <w:bookmarkEnd w:id="8"/>
      <w:bookmarkEnd w:id="9"/>
      <w:bookmarkEnd w:id="10"/>
      <w:bookmarkEnd w:id="11"/>
    </w:p>
    <w:p>
      <w:pPr>
        <w:adjustRightInd w:val="0"/>
        <w:snapToGrid w:val="0"/>
        <w:spacing w:line="360" w:lineRule="auto"/>
        <w:jc w:val="center"/>
        <w:outlineLvl w:val="0"/>
        <w:rPr>
          <w:rFonts w:hint="default" w:ascii="Times New Roman" w:hAnsi="Times New Roman" w:eastAsia="方正小标宋简体" w:cs="Times New Roman"/>
          <w:sz w:val="52"/>
          <w:szCs w:val="52"/>
        </w:rPr>
      </w:pPr>
    </w:p>
    <w:p>
      <w:pPr>
        <w:widowControl/>
        <w:jc w:val="center"/>
        <w:rPr>
          <w:rFonts w:hint="default" w:ascii="Times New Roman" w:hAnsi="Times New Roman" w:eastAsia="黑体" w:cs="Times New Roman"/>
          <w:sz w:val="48"/>
          <w:szCs w:val="48"/>
        </w:rPr>
      </w:pPr>
      <w:r>
        <w:rPr>
          <w:rFonts w:hint="default" w:ascii="Times New Roman" w:hAnsi="Times New Roman" w:eastAsia="方正小标宋简体" w:cs="Times New Roman"/>
          <w:sz w:val="36"/>
          <w:szCs w:val="36"/>
        </w:rPr>
        <w:br w:type="page"/>
      </w:r>
      <w:r>
        <w:rPr>
          <w:rFonts w:hint="default" w:ascii="Times New Roman" w:hAnsi="Times New Roman" w:eastAsia="黑体" w:cs="Times New Roman"/>
          <w:sz w:val="48"/>
          <w:szCs w:val="48"/>
        </w:rPr>
        <w:t>目录</w:t>
      </w:r>
    </w:p>
    <w:p>
      <w:pPr>
        <w:widowControl/>
        <w:jc w:val="center"/>
        <w:rPr>
          <w:rFonts w:hint="default" w:ascii="Times New Roman" w:hAnsi="Times New Roman" w:eastAsia="黑体" w:cs="Times New Roman"/>
          <w:sz w:val="28"/>
          <w:szCs w:val="28"/>
        </w:rPr>
      </w:pPr>
    </w:p>
    <w:p>
      <w:pPr>
        <w:pStyle w:val="11"/>
        <w:rPr>
          <w:rFonts w:hint="default" w:ascii="Times New Roman" w:hAnsi="Times New Roman" w:cs="Times New Roman"/>
        </w:rPr>
      </w:pPr>
      <w:r>
        <w:rPr>
          <w:rFonts w:hint="default" w:ascii="Times New Roman" w:hAnsi="Times New Roman" w:cs="Times New Roman"/>
        </w:rPr>
        <w:t>公开时间：2022年9月14日</w:t>
      </w:r>
    </w:p>
    <w:p>
      <w:pPr>
        <w:rPr>
          <w:rFonts w:hint="default" w:ascii="Times New Roman" w:hAnsi="Times New Roman" w:cs="Times New Roman"/>
        </w:rPr>
      </w:pPr>
    </w:p>
    <w:p>
      <w:pPr>
        <w:pStyle w:val="11"/>
        <w:adjustRightInd w:val="0"/>
        <w:snapToGrid w:val="0"/>
        <w:spacing w:before="0" w:line="440" w:lineRule="exact"/>
        <w:jc w:val="left"/>
        <w:rPr>
          <w:rFonts w:hint="default" w:ascii="Times New Roman" w:hAnsi="Times New Roman" w:eastAsia="宋体" w:cs="Times New Roman"/>
        </w:rPr>
      </w:pPr>
      <w:bookmarkStart w:id="12" w:name="_Toc15377196"/>
      <w:bookmarkStart w:id="13" w:name="_Toc15396599"/>
      <w:r>
        <w:rPr>
          <w:rFonts w:hint="default" w:ascii="Times New Roman" w:hAnsi="Times New Roman" w:eastAsia="宋体" w:cs="Times New Roman"/>
        </w:rPr>
        <w:t>第一部分单位概况………………………………………………4</w:t>
      </w:r>
    </w:p>
    <w:p>
      <w:pPr>
        <w:pStyle w:val="12"/>
        <w:adjustRightInd w:val="0"/>
        <w:snapToGrid w:val="0"/>
        <w:spacing w:line="440" w:lineRule="exact"/>
        <w:jc w:val="left"/>
        <w:rPr>
          <w:rFonts w:hint="default" w:ascii="Times New Roman" w:hAnsi="Times New Roman" w:cs="Times New Roman"/>
          <w:sz w:val="28"/>
          <w:szCs w:val="28"/>
        </w:rPr>
      </w:pPr>
      <w:r>
        <w:rPr>
          <w:rFonts w:hint="default" w:ascii="Times New Roman" w:hAnsi="Times New Roman" w:cs="Times New Roman"/>
          <w:sz w:val="28"/>
          <w:szCs w:val="28"/>
        </w:rPr>
        <w:t>一、职能简介…………………………………………………4</w:t>
      </w:r>
    </w:p>
    <w:p>
      <w:pPr>
        <w:pStyle w:val="12"/>
        <w:adjustRightInd w:val="0"/>
        <w:snapToGrid w:val="0"/>
        <w:spacing w:line="440" w:lineRule="exact"/>
        <w:jc w:val="left"/>
        <w:rPr>
          <w:rFonts w:hint="default" w:ascii="Times New Roman" w:hAnsi="Times New Roman" w:cs="Times New Roman"/>
          <w:sz w:val="28"/>
          <w:szCs w:val="28"/>
        </w:rPr>
      </w:pPr>
      <w:r>
        <w:rPr>
          <w:rFonts w:hint="default" w:ascii="Times New Roman" w:hAnsi="Times New Roman" w:cs="Times New Roman"/>
          <w:sz w:val="28"/>
          <w:szCs w:val="28"/>
        </w:rPr>
        <w:t>二、2021年重点工作完成情况………………………………6</w:t>
      </w:r>
    </w:p>
    <w:p>
      <w:pPr>
        <w:pStyle w:val="12"/>
        <w:adjustRightInd w:val="0"/>
        <w:snapToGrid w:val="0"/>
        <w:spacing w:line="440" w:lineRule="exact"/>
        <w:jc w:val="left"/>
        <w:rPr>
          <w:rFonts w:hint="default" w:ascii="Times New Roman" w:hAnsi="Times New Roman" w:cs="Times New Roman"/>
          <w:sz w:val="28"/>
          <w:szCs w:val="28"/>
        </w:rPr>
      </w:pPr>
      <w:r>
        <w:rPr>
          <w:rFonts w:hint="default" w:ascii="Times New Roman" w:hAnsi="Times New Roman" w:cs="Times New Roman"/>
          <w:sz w:val="28"/>
          <w:szCs w:val="28"/>
          <w:lang w:eastAsia="zh-CN"/>
        </w:rPr>
        <w:t>三</w:t>
      </w:r>
      <w:r>
        <w:rPr>
          <w:rFonts w:hint="default" w:ascii="Times New Roman" w:hAnsi="Times New Roman" w:cs="Times New Roman"/>
          <w:sz w:val="28"/>
          <w:szCs w:val="28"/>
        </w:rPr>
        <w:t>、</w:t>
      </w:r>
      <w:r>
        <w:rPr>
          <w:rFonts w:hint="default" w:ascii="Times New Roman" w:hAnsi="Times New Roman" w:cs="Times New Roman"/>
          <w:sz w:val="28"/>
          <w:szCs w:val="28"/>
          <w:lang w:eastAsia="zh-CN"/>
        </w:rPr>
        <w:t>机构设置</w:t>
      </w:r>
      <w:r>
        <w:rPr>
          <w:rFonts w:hint="default" w:ascii="Times New Roman" w:hAnsi="Times New Roman" w:cs="Times New Roman"/>
          <w:sz w:val="28"/>
          <w:szCs w:val="28"/>
        </w:rPr>
        <w:t>情况………………………</w:t>
      </w:r>
      <w:bookmarkStart w:id="67" w:name="_GoBack"/>
      <w:bookmarkEnd w:id="67"/>
      <w:r>
        <w:rPr>
          <w:rFonts w:hint="default" w:ascii="Times New Roman" w:hAnsi="Times New Roman" w:cs="Times New Roman"/>
          <w:sz w:val="28"/>
          <w:szCs w:val="28"/>
        </w:rPr>
        <w:t>……………………6</w:t>
      </w:r>
    </w:p>
    <w:p>
      <w:pPr>
        <w:pStyle w:val="11"/>
        <w:adjustRightInd w:val="0"/>
        <w:snapToGrid w:val="0"/>
        <w:spacing w:before="0" w:line="440" w:lineRule="exact"/>
        <w:jc w:val="left"/>
        <w:rPr>
          <w:rFonts w:hint="default" w:ascii="Times New Roman" w:hAnsi="Times New Roman" w:eastAsia="宋体" w:cs="Times New Roman"/>
        </w:rPr>
      </w:pPr>
      <w:r>
        <w:rPr>
          <w:rFonts w:hint="default" w:ascii="Times New Roman" w:hAnsi="Times New Roman" w:eastAsia="宋体" w:cs="Times New Roman"/>
        </w:rPr>
        <w:t>第二部分 2021年度单位决算情况说明…………………………7</w:t>
      </w:r>
    </w:p>
    <w:p>
      <w:pPr>
        <w:pStyle w:val="12"/>
        <w:adjustRightInd w:val="0"/>
        <w:snapToGrid w:val="0"/>
        <w:spacing w:line="440" w:lineRule="exact"/>
        <w:jc w:val="left"/>
        <w:rPr>
          <w:rFonts w:hint="default" w:ascii="Times New Roman" w:hAnsi="Times New Roman" w:cs="Times New Roman"/>
          <w:sz w:val="28"/>
          <w:szCs w:val="28"/>
        </w:rPr>
      </w:pPr>
      <w:r>
        <w:rPr>
          <w:rFonts w:hint="default" w:ascii="Times New Roman" w:hAnsi="Times New Roman" w:cs="Times New Roman"/>
          <w:sz w:val="28"/>
          <w:szCs w:val="28"/>
        </w:rPr>
        <w:t>一、收入支出决算总体情况说明……………………………7</w:t>
      </w:r>
    </w:p>
    <w:p>
      <w:pPr>
        <w:pStyle w:val="12"/>
        <w:adjustRightInd w:val="0"/>
        <w:snapToGrid w:val="0"/>
        <w:spacing w:line="440" w:lineRule="exact"/>
        <w:jc w:val="left"/>
        <w:rPr>
          <w:rFonts w:hint="default" w:ascii="Times New Roman" w:hAnsi="Times New Roman" w:cs="Times New Roman"/>
          <w:sz w:val="28"/>
          <w:szCs w:val="28"/>
        </w:rPr>
      </w:pPr>
      <w:r>
        <w:rPr>
          <w:rFonts w:hint="default" w:ascii="Times New Roman" w:hAnsi="Times New Roman" w:cs="Times New Roman"/>
          <w:sz w:val="28"/>
          <w:szCs w:val="28"/>
        </w:rPr>
        <w:t>二、收入决算情况说明………………………………………7</w:t>
      </w:r>
    </w:p>
    <w:p>
      <w:pPr>
        <w:pStyle w:val="12"/>
        <w:adjustRightInd w:val="0"/>
        <w:snapToGrid w:val="0"/>
        <w:spacing w:line="440" w:lineRule="exact"/>
        <w:jc w:val="left"/>
        <w:rPr>
          <w:rFonts w:hint="default" w:ascii="Times New Roman" w:hAnsi="Times New Roman" w:cs="Times New Roman"/>
          <w:sz w:val="28"/>
          <w:szCs w:val="28"/>
        </w:rPr>
      </w:pPr>
      <w:r>
        <w:rPr>
          <w:rFonts w:hint="default" w:ascii="Times New Roman" w:hAnsi="Times New Roman" w:cs="Times New Roman"/>
          <w:sz w:val="28"/>
          <w:szCs w:val="28"/>
        </w:rPr>
        <w:t>三、支出决算情况说明………………………………………8</w:t>
      </w:r>
    </w:p>
    <w:p>
      <w:pPr>
        <w:pStyle w:val="12"/>
        <w:adjustRightInd w:val="0"/>
        <w:snapToGrid w:val="0"/>
        <w:spacing w:line="440" w:lineRule="exact"/>
        <w:jc w:val="left"/>
        <w:rPr>
          <w:rFonts w:hint="default" w:ascii="Times New Roman" w:hAnsi="Times New Roman" w:cs="Times New Roman"/>
          <w:sz w:val="28"/>
          <w:szCs w:val="28"/>
        </w:rPr>
      </w:pPr>
      <w:r>
        <w:rPr>
          <w:rFonts w:hint="default" w:ascii="Times New Roman" w:hAnsi="Times New Roman" w:cs="Times New Roman"/>
          <w:sz w:val="28"/>
          <w:szCs w:val="28"/>
        </w:rPr>
        <w:t>四、财政拨款收入支出决算总体情况说明…………………8</w:t>
      </w:r>
    </w:p>
    <w:p>
      <w:pPr>
        <w:pStyle w:val="12"/>
        <w:adjustRightInd w:val="0"/>
        <w:snapToGrid w:val="0"/>
        <w:spacing w:line="440" w:lineRule="exact"/>
        <w:jc w:val="left"/>
        <w:rPr>
          <w:rFonts w:hint="default" w:ascii="Times New Roman" w:hAnsi="Times New Roman" w:cs="Times New Roman"/>
          <w:sz w:val="28"/>
          <w:szCs w:val="28"/>
        </w:rPr>
      </w:pPr>
      <w:r>
        <w:rPr>
          <w:rFonts w:hint="default" w:ascii="Times New Roman" w:hAnsi="Times New Roman" w:cs="Times New Roman"/>
          <w:sz w:val="28"/>
          <w:szCs w:val="28"/>
        </w:rPr>
        <w:t>五、一般公共预算财政拨款支出决算情况说明……………9</w:t>
      </w:r>
    </w:p>
    <w:p>
      <w:pPr>
        <w:pStyle w:val="12"/>
        <w:adjustRightInd w:val="0"/>
        <w:snapToGrid w:val="0"/>
        <w:spacing w:line="440" w:lineRule="exact"/>
        <w:jc w:val="left"/>
        <w:rPr>
          <w:rFonts w:hint="default" w:ascii="Times New Roman" w:hAnsi="Times New Roman" w:cs="Times New Roman"/>
          <w:sz w:val="28"/>
          <w:szCs w:val="28"/>
        </w:rPr>
      </w:pPr>
      <w:r>
        <w:rPr>
          <w:rFonts w:hint="default" w:ascii="Times New Roman" w:hAnsi="Times New Roman" w:cs="Times New Roman"/>
          <w:sz w:val="28"/>
          <w:szCs w:val="28"/>
        </w:rPr>
        <w:t>六、一般公共预算财政拨款基本支出决算情况说明………10</w:t>
      </w:r>
    </w:p>
    <w:p>
      <w:pPr>
        <w:pStyle w:val="12"/>
        <w:adjustRightInd w:val="0"/>
        <w:snapToGrid w:val="0"/>
        <w:spacing w:line="440" w:lineRule="exact"/>
        <w:jc w:val="left"/>
        <w:rPr>
          <w:rFonts w:hint="default" w:ascii="Times New Roman" w:hAnsi="Times New Roman" w:cs="Times New Roman"/>
          <w:sz w:val="28"/>
          <w:szCs w:val="28"/>
        </w:rPr>
      </w:pPr>
      <w:r>
        <w:rPr>
          <w:rFonts w:hint="default" w:ascii="Times New Roman" w:hAnsi="Times New Roman" w:cs="Times New Roman"/>
          <w:sz w:val="28"/>
          <w:szCs w:val="28"/>
        </w:rPr>
        <w:t>七、“三公”经费财政拨款支出决算情况说明……………11</w:t>
      </w:r>
    </w:p>
    <w:p>
      <w:pPr>
        <w:pStyle w:val="12"/>
        <w:adjustRightInd w:val="0"/>
        <w:snapToGrid w:val="0"/>
        <w:spacing w:line="440" w:lineRule="exact"/>
        <w:jc w:val="left"/>
        <w:rPr>
          <w:rFonts w:hint="default" w:ascii="Times New Roman" w:hAnsi="Times New Roman" w:cs="Times New Roman"/>
          <w:sz w:val="28"/>
          <w:szCs w:val="28"/>
        </w:rPr>
      </w:pPr>
      <w:r>
        <w:rPr>
          <w:rFonts w:hint="default" w:ascii="Times New Roman" w:hAnsi="Times New Roman" w:cs="Times New Roman"/>
          <w:sz w:val="28"/>
          <w:szCs w:val="28"/>
        </w:rPr>
        <w:t>八、政府性基金预算支出决算情况说明……………………13</w:t>
      </w:r>
    </w:p>
    <w:p>
      <w:pPr>
        <w:pStyle w:val="12"/>
        <w:adjustRightInd w:val="0"/>
        <w:snapToGrid w:val="0"/>
        <w:spacing w:line="440" w:lineRule="exact"/>
        <w:jc w:val="left"/>
        <w:rPr>
          <w:rFonts w:hint="default" w:ascii="Times New Roman" w:hAnsi="Times New Roman" w:cs="Times New Roman"/>
          <w:sz w:val="28"/>
          <w:szCs w:val="28"/>
        </w:rPr>
      </w:pPr>
      <w:r>
        <w:rPr>
          <w:rFonts w:hint="default" w:ascii="Times New Roman" w:hAnsi="Times New Roman" w:cs="Times New Roman"/>
          <w:sz w:val="28"/>
          <w:szCs w:val="28"/>
        </w:rPr>
        <w:t>九、国有资本经营预算支出决算情况说明…………………13</w:t>
      </w:r>
    </w:p>
    <w:p>
      <w:pPr>
        <w:pStyle w:val="12"/>
        <w:adjustRightInd w:val="0"/>
        <w:snapToGrid w:val="0"/>
        <w:spacing w:line="440" w:lineRule="exact"/>
        <w:jc w:val="left"/>
        <w:rPr>
          <w:rFonts w:hint="default" w:ascii="Times New Roman" w:hAnsi="Times New Roman" w:cs="Times New Roman"/>
          <w:sz w:val="28"/>
          <w:szCs w:val="28"/>
        </w:rPr>
      </w:pPr>
      <w:r>
        <w:rPr>
          <w:rFonts w:hint="default" w:ascii="Times New Roman" w:hAnsi="Times New Roman" w:cs="Times New Roman"/>
          <w:sz w:val="28"/>
          <w:szCs w:val="28"/>
        </w:rPr>
        <w:t>十、其他重要事项的情况说明………………………………13</w:t>
      </w:r>
    </w:p>
    <w:p>
      <w:pPr>
        <w:pStyle w:val="11"/>
        <w:adjustRightInd w:val="0"/>
        <w:snapToGrid w:val="0"/>
        <w:spacing w:before="0" w:line="440" w:lineRule="exact"/>
        <w:jc w:val="left"/>
        <w:rPr>
          <w:rFonts w:hint="default" w:ascii="Times New Roman" w:hAnsi="Times New Roman" w:eastAsia="宋体" w:cs="Times New Roman"/>
        </w:rPr>
      </w:pPr>
      <w:r>
        <w:rPr>
          <w:rFonts w:hint="default" w:ascii="Times New Roman" w:hAnsi="Times New Roman" w:eastAsia="宋体" w:cs="Times New Roman"/>
        </w:rPr>
        <w:t>第三部分名词解释………………………………………………15</w:t>
      </w:r>
    </w:p>
    <w:p>
      <w:pPr>
        <w:pStyle w:val="11"/>
        <w:adjustRightInd w:val="0"/>
        <w:snapToGrid w:val="0"/>
        <w:spacing w:before="0" w:line="440" w:lineRule="exact"/>
        <w:jc w:val="left"/>
        <w:rPr>
          <w:rFonts w:hint="default" w:ascii="Times New Roman" w:hAnsi="Times New Roman" w:eastAsia="宋体" w:cs="Times New Roman"/>
        </w:rPr>
      </w:pPr>
      <w:r>
        <w:rPr>
          <w:rFonts w:hint="default" w:ascii="Times New Roman" w:hAnsi="Times New Roman" w:eastAsia="宋体" w:cs="Times New Roman"/>
        </w:rPr>
        <w:t>第四部分附件……………………………………………………17</w:t>
      </w:r>
    </w:p>
    <w:p>
      <w:pPr>
        <w:pStyle w:val="11"/>
        <w:adjustRightInd w:val="0"/>
        <w:snapToGrid w:val="0"/>
        <w:spacing w:before="0" w:line="440" w:lineRule="exact"/>
        <w:jc w:val="left"/>
        <w:rPr>
          <w:rFonts w:hint="default" w:ascii="Times New Roman" w:hAnsi="Times New Roman" w:eastAsia="宋体" w:cs="Times New Roman"/>
        </w:rPr>
      </w:pPr>
      <w:r>
        <w:rPr>
          <w:rFonts w:hint="default" w:ascii="Times New Roman" w:hAnsi="Times New Roman" w:eastAsia="宋体" w:cs="Times New Roman"/>
        </w:rPr>
        <w:t>第五部分附表……………………………………………………20</w:t>
      </w:r>
    </w:p>
    <w:p>
      <w:pPr>
        <w:pStyle w:val="12"/>
        <w:adjustRightInd w:val="0"/>
        <w:snapToGrid w:val="0"/>
        <w:spacing w:line="440" w:lineRule="exact"/>
        <w:jc w:val="left"/>
        <w:rPr>
          <w:rFonts w:hint="default" w:ascii="Times New Roman" w:hAnsi="Times New Roman" w:cs="Times New Roman"/>
          <w:sz w:val="28"/>
          <w:szCs w:val="28"/>
        </w:rPr>
      </w:pPr>
      <w:r>
        <w:rPr>
          <w:rFonts w:hint="default" w:ascii="Times New Roman" w:hAnsi="Times New Roman" w:cs="Times New Roman"/>
          <w:sz w:val="28"/>
          <w:szCs w:val="28"/>
        </w:rPr>
        <w:t>一、收入支出决算总表………………………………………20</w:t>
      </w:r>
    </w:p>
    <w:p>
      <w:pPr>
        <w:pStyle w:val="12"/>
        <w:adjustRightInd w:val="0"/>
        <w:snapToGrid w:val="0"/>
        <w:spacing w:line="440" w:lineRule="exact"/>
        <w:jc w:val="left"/>
        <w:rPr>
          <w:rFonts w:hint="default" w:ascii="Times New Roman" w:hAnsi="Times New Roman" w:cs="Times New Roman"/>
          <w:sz w:val="28"/>
          <w:szCs w:val="28"/>
        </w:rPr>
      </w:pPr>
      <w:r>
        <w:rPr>
          <w:rFonts w:hint="default" w:ascii="Times New Roman" w:hAnsi="Times New Roman" w:cs="Times New Roman"/>
          <w:sz w:val="28"/>
          <w:szCs w:val="28"/>
        </w:rPr>
        <w:t>二、收入决算表………………………………………………20</w:t>
      </w:r>
    </w:p>
    <w:p>
      <w:pPr>
        <w:pStyle w:val="12"/>
        <w:adjustRightInd w:val="0"/>
        <w:snapToGrid w:val="0"/>
        <w:spacing w:line="440" w:lineRule="exact"/>
        <w:jc w:val="left"/>
        <w:rPr>
          <w:rFonts w:hint="default" w:ascii="Times New Roman" w:hAnsi="Times New Roman" w:cs="Times New Roman"/>
          <w:sz w:val="28"/>
          <w:szCs w:val="28"/>
        </w:rPr>
      </w:pPr>
      <w:r>
        <w:rPr>
          <w:rFonts w:hint="default" w:ascii="Times New Roman" w:hAnsi="Times New Roman" w:cs="Times New Roman"/>
          <w:sz w:val="28"/>
          <w:szCs w:val="28"/>
        </w:rPr>
        <w:t>三、支出决算表………………………………………………20</w:t>
      </w:r>
    </w:p>
    <w:p>
      <w:pPr>
        <w:pStyle w:val="12"/>
        <w:adjustRightInd w:val="0"/>
        <w:snapToGrid w:val="0"/>
        <w:spacing w:line="440" w:lineRule="exact"/>
        <w:jc w:val="left"/>
        <w:rPr>
          <w:rFonts w:hint="default" w:ascii="Times New Roman" w:hAnsi="Times New Roman" w:cs="Times New Roman"/>
          <w:sz w:val="28"/>
          <w:szCs w:val="28"/>
        </w:rPr>
      </w:pPr>
      <w:r>
        <w:rPr>
          <w:rFonts w:hint="default" w:ascii="Times New Roman" w:hAnsi="Times New Roman" w:cs="Times New Roman"/>
          <w:sz w:val="28"/>
          <w:szCs w:val="28"/>
        </w:rPr>
        <w:t>四、财政拨款收入支出决算总表……………………………20</w:t>
      </w:r>
    </w:p>
    <w:p>
      <w:pPr>
        <w:pStyle w:val="12"/>
        <w:adjustRightInd w:val="0"/>
        <w:snapToGrid w:val="0"/>
        <w:spacing w:line="440" w:lineRule="exact"/>
        <w:jc w:val="left"/>
        <w:rPr>
          <w:rFonts w:hint="default" w:ascii="Times New Roman" w:hAnsi="Times New Roman" w:cs="Times New Roman"/>
          <w:sz w:val="28"/>
          <w:szCs w:val="28"/>
        </w:rPr>
      </w:pPr>
      <w:r>
        <w:rPr>
          <w:rFonts w:hint="default" w:ascii="Times New Roman" w:hAnsi="Times New Roman" w:cs="Times New Roman"/>
          <w:sz w:val="28"/>
          <w:szCs w:val="28"/>
        </w:rPr>
        <w:t>五、财政拨款支出决算明细表………………………………20</w:t>
      </w:r>
    </w:p>
    <w:p>
      <w:pPr>
        <w:pStyle w:val="12"/>
        <w:adjustRightInd w:val="0"/>
        <w:snapToGrid w:val="0"/>
        <w:spacing w:line="440" w:lineRule="exact"/>
        <w:jc w:val="left"/>
        <w:rPr>
          <w:rFonts w:hint="default" w:ascii="Times New Roman" w:hAnsi="Times New Roman" w:cs="Times New Roman"/>
          <w:sz w:val="28"/>
          <w:szCs w:val="28"/>
        </w:rPr>
      </w:pPr>
      <w:r>
        <w:rPr>
          <w:rFonts w:hint="default" w:ascii="Times New Roman" w:hAnsi="Times New Roman" w:cs="Times New Roman"/>
          <w:sz w:val="28"/>
          <w:szCs w:val="28"/>
        </w:rPr>
        <w:t>六、一般公共预算财政拨款支出决算表……………………20</w:t>
      </w:r>
    </w:p>
    <w:p>
      <w:pPr>
        <w:pStyle w:val="12"/>
        <w:adjustRightInd w:val="0"/>
        <w:snapToGrid w:val="0"/>
        <w:spacing w:line="440" w:lineRule="exact"/>
        <w:jc w:val="left"/>
        <w:rPr>
          <w:rFonts w:hint="default" w:ascii="Times New Roman" w:hAnsi="Times New Roman" w:cs="Times New Roman"/>
          <w:sz w:val="28"/>
          <w:szCs w:val="28"/>
        </w:rPr>
      </w:pPr>
      <w:r>
        <w:rPr>
          <w:rFonts w:hint="default" w:ascii="Times New Roman" w:hAnsi="Times New Roman" w:cs="Times New Roman"/>
          <w:sz w:val="28"/>
          <w:szCs w:val="28"/>
        </w:rPr>
        <w:t>七、一般公共预算财政拨款支出决算明细表………………20</w:t>
      </w:r>
    </w:p>
    <w:p>
      <w:pPr>
        <w:pStyle w:val="12"/>
        <w:adjustRightInd w:val="0"/>
        <w:snapToGrid w:val="0"/>
        <w:spacing w:line="440" w:lineRule="exact"/>
        <w:jc w:val="left"/>
        <w:rPr>
          <w:rFonts w:hint="default" w:ascii="Times New Roman" w:hAnsi="Times New Roman" w:cs="Times New Roman"/>
          <w:sz w:val="28"/>
          <w:szCs w:val="28"/>
        </w:rPr>
      </w:pPr>
      <w:r>
        <w:rPr>
          <w:rFonts w:hint="default" w:ascii="Times New Roman" w:hAnsi="Times New Roman" w:cs="Times New Roman"/>
          <w:sz w:val="28"/>
          <w:szCs w:val="28"/>
        </w:rPr>
        <w:t>八、一般公共预算财政拨款基本支出决算表………………20</w:t>
      </w:r>
    </w:p>
    <w:p>
      <w:pPr>
        <w:pStyle w:val="12"/>
        <w:adjustRightInd w:val="0"/>
        <w:snapToGrid w:val="0"/>
        <w:spacing w:line="440" w:lineRule="exact"/>
        <w:jc w:val="left"/>
        <w:rPr>
          <w:rFonts w:hint="default" w:ascii="Times New Roman" w:hAnsi="Times New Roman" w:cs="Times New Roman"/>
          <w:sz w:val="28"/>
          <w:szCs w:val="28"/>
        </w:rPr>
      </w:pPr>
      <w:r>
        <w:rPr>
          <w:rFonts w:hint="default" w:ascii="Times New Roman" w:hAnsi="Times New Roman" w:cs="Times New Roman"/>
          <w:sz w:val="28"/>
          <w:szCs w:val="28"/>
        </w:rPr>
        <w:t>九、一般公共预算财政拨款项目支出决算表………………20</w:t>
      </w:r>
    </w:p>
    <w:p>
      <w:pPr>
        <w:pStyle w:val="12"/>
        <w:adjustRightInd w:val="0"/>
        <w:snapToGrid w:val="0"/>
        <w:spacing w:line="440" w:lineRule="exact"/>
        <w:jc w:val="left"/>
        <w:rPr>
          <w:rFonts w:hint="default" w:ascii="Times New Roman" w:hAnsi="Times New Roman" w:cs="Times New Roman"/>
          <w:sz w:val="28"/>
          <w:szCs w:val="28"/>
        </w:rPr>
      </w:pPr>
      <w:r>
        <w:rPr>
          <w:rFonts w:hint="default" w:ascii="Times New Roman" w:hAnsi="Times New Roman" w:cs="Times New Roman"/>
          <w:sz w:val="28"/>
          <w:szCs w:val="28"/>
        </w:rPr>
        <w:t>十、一般公共预算财政拨款“三公”经费支出决算表………20</w:t>
      </w:r>
    </w:p>
    <w:p>
      <w:pPr>
        <w:pStyle w:val="12"/>
        <w:adjustRightInd w:val="0"/>
        <w:snapToGrid w:val="0"/>
        <w:spacing w:line="440" w:lineRule="exact"/>
        <w:jc w:val="left"/>
        <w:rPr>
          <w:rFonts w:hint="default" w:ascii="Times New Roman" w:hAnsi="Times New Roman" w:cs="Times New Roman"/>
          <w:sz w:val="28"/>
          <w:szCs w:val="28"/>
        </w:rPr>
      </w:pPr>
      <w:r>
        <w:rPr>
          <w:rFonts w:hint="default" w:ascii="Times New Roman" w:hAnsi="Times New Roman" w:cs="Times New Roman"/>
          <w:sz w:val="28"/>
          <w:szCs w:val="28"/>
        </w:rPr>
        <w:t>十一、政府性基金预算财政拨款收入支出决算表……………20</w:t>
      </w:r>
    </w:p>
    <w:p>
      <w:pPr>
        <w:pStyle w:val="12"/>
        <w:adjustRightInd w:val="0"/>
        <w:snapToGrid w:val="0"/>
        <w:spacing w:line="440" w:lineRule="exact"/>
        <w:jc w:val="left"/>
        <w:rPr>
          <w:rFonts w:hint="default" w:ascii="Times New Roman" w:hAnsi="Times New Roman" w:cs="Times New Roman"/>
          <w:sz w:val="28"/>
          <w:szCs w:val="28"/>
        </w:rPr>
      </w:pPr>
      <w:r>
        <w:rPr>
          <w:rFonts w:hint="default" w:ascii="Times New Roman" w:hAnsi="Times New Roman" w:cs="Times New Roman"/>
          <w:sz w:val="28"/>
          <w:szCs w:val="28"/>
        </w:rPr>
        <w:t>十二、政府性基金预算财政拨款“三公”经费支出决算表..20</w:t>
      </w:r>
    </w:p>
    <w:p>
      <w:pPr>
        <w:pStyle w:val="12"/>
        <w:adjustRightInd w:val="0"/>
        <w:snapToGrid w:val="0"/>
        <w:spacing w:line="440" w:lineRule="exact"/>
        <w:jc w:val="left"/>
        <w:rPr>
          <w:rFonts w:hint="default" w:ascii="Times New Roman" w:hAnsi="Times New Roman" w:cs="Times New Roman"/>
          <w:sz w:val="28"/>
          <w:szCs w:val="28"/>
        </w:rPr>
      </w:pPr>
      <w:r>
        <w:rPr>
          <w:rFonts w:hint="default" w:ascii="Times New Roman" w:hAnsi="Times New Roman" w:cs="Times New Roman"/>
          <w:sz w:val="28"/>
          <w:szCs w:val="28"/>
        </w:rPr>
        <w:t>十三、国有资本经营预算财政拨款收入支出决算表…………20</w:t>
      </w:r>
    </w:p>
    <w:p>
      <w:pPr>
        <w:pStyle w:val="12"/>
        <w:adjustRightInd w:val="0"/>
        <w:snapToGrid w:val="0"/>
        <w:spacing w:line="440" w:lineRule="exact"/>
        <w:jc w:val="left"/>
        <w:rPr>
          <w:rFonts w:hint="default" w:ascii="Times New Roman" w:hAnsi="Times New Roman" w:cs="Times New Roman"/>
          <w:sz w:val="28"/>
          <w:szCs w:val="28"/>
        </w:rPr>
      </w:pPr>
      <w:r>
        <w:rPr>
          <w:rFonts w:hint="default" w:ascii="Times New Roman" w:hAnsi="Times New Roman" w:cs="Times New Roman"/>
          <w:sz w:val="28"/>
          <w:szCs w:val="28"/>
        </w:rPr>
        <w:t>十四、国有资本经营预算财政拨款支出决算表………………20</w:t>
      </w:r>
    </w:p>
    <w:p>
      <w:pPr>
        <w:rPr>
          <w:rFonts w:hint="default" w:ascii="Times New Roman" w:hAnsi="Times New Roman" w:cs="Times New Roman"/>
        </w:rPr>
      </w:pPr>
    </w:p>
    <w:p>
      <w:pPr>
        <w:pStyle w:val="2"/>
        <w:spacing w:before="93"/>
        <w:rPr>
          <w:rFonts w:hint="default" w:ascii="Times New Roman" w:hAnsi="Times New Roman" w:cs="Times New Roman"/>
        </w:rPr>
      </w:pPr>
    </w:p>
    <w:p>
      <w:pPr>
        <w:pStyle w:val="2"/>
        <w:spacing w:before="93"/>
        <w:rPr>
          <w:rFonts w:hint="default" w:ascii="Times New Roman" w:hAnsi="Times New Roman" w:cs="Times New Roman"/>
        </w:rPr>
      </w:pPr>
    </w:p>
    <w:p>
      <w:pPr>
        <w:pStyle w:val="2"/>
        <w:spacing w:before="93"/>
        <w:rPr>
          <w:rFonts w:hint="default" w:ascii="Times New Roman" w:hAnsi="Times New Roman" w:cs="Times New Roman"/>
        </w:rPr>
      </w:pPr>
    </w:p>
    <w:p>
      <w:pPr>
        <w:widowControl/>
        <w:spacing w:line="440" w:lineRule="exact"/>
        <w:jc w:val="left"/>
        <w:rPr>
          <w:rFonts w:hint="default" w:ascii="Times New Roman" w:hAnsi="Times New Roman" w:eastAsia="仿宋" w:cs="Times New Roman"/>
          <w:bCs/>
          <w:kern w:val="44"/>
          <w:sz w:val="24"/>
        </w:rPr>
      </w:pPr>
      <w:r>
        <w:rPr>
          <w:rFonts w:hint="default" w:ascii="Times New Roman" w:hAnsi="Times New Roman" w:eastAsia="仿宋" w:cs="Times New Roman"/>
          <w:b/>
          <w:sz w:val="24"/>
        </w:rPr>
        <w:br w:type="page"/>
      </w:r>
    </w:p>
    <w:p>
      <w:pPr>
        <w:pStyle w:val="3"/>
        <w:jc w:val="center"/>
        <w:rPr>
          <w:rStyle w:val="25"/>
          <w:rFonts w:hint="default" w:ascii="Times New Roman" w:hAnsi="Times New Roman" w:eastAsia="黑体" w:cs="Times New Roman"/>
          <w:b/>
          <w:bCs w:val="0"/>
        </w:rPr>
      </w:pPr>
      <w:r>
        <w:rPr>
          <w:rFonts w:hint="default" w:ascii="Times New Roman" w:hAnsi="Times New Roman" w:eastAsia="黑体" w:cs="Times New Roman"/>
          <w:b w:val="0"/>
        </w:rPr>
        <w:t>第一部分 单位</w:t>
      </w:r>
      <w:r>
        <w:rPr>
          <w:rStyle w:val="25"/>
          <w:rFonts w:hint="default" w:ascii="Times New Roman" w:hAnsi="Times New Roman" w:eastAsia="黑体" w:cs="Times New Roman"/>
          <w:b w:val="0"/>
          <w:bCs w:val="0"/>
        </w:rPr>
        <w:t>概况</w:t>
      </w:r>
      <w:bookmarkEnd w:id="12"/>
      <w:bookmarkEnd w:id="13"/>
    </w:p>
    <w:p>
      <w:pPr>
        <w:widowControl/>
        <w:jc w:val="left"/>
        <w:rPr>
          <w:rFonts w:hint="default" w:ascii="Times New Roman" w:hAnsi="Times New Roman" w:eastAsia="黑体" w:cs="Times New Roman"/>
          <w:sz w:val="32"/>
          <w:szCs w:val="32"/>
        </w:rPr>
      </w:pPr>
    </w:p>
    <w:p>
      <w:pPr>
        <w:pStyle w:val="4"/>
        <w:pageBreakBefore w:val="0"/>
        <w:widowControl w:val="0"/>
        <w:kinsoku/>
        <w:wordWrap/>
        <w:overflowPunct/>
        <w:topLinePunct w:val="0"/>
        <w:autoSpaceDE/>
        <w:autoSpaceDN/>
        <w:bidi w:val="0"/>
        <w:snapToGrid/>
        <w:spacing w:before="0" w:after="0" w:line="520" w:lineRule="exact"/>
        <w:ind w:firstLine="640" w:firstLineChars="200"/>
        <w:textAlignment w:val="auto"/>
        <w:rPr>
          <w:rFonts w:hint="default" w:ascii="Times New Roman" w:hAnsi="Times New Roman" w:eastAsia="仿宋_GB2312" w:cs="Times New Roman"/>
          <w:sz w:val="32"/>
          <w:szCs w:val="32"/>
        </w:rPr>
      </w:pPr>
      <w:bookmarkStart w:id="14" w:name="_Toc15377197"/>
      <w:bookmarkStart w:id="15" w:name="_Toc15396600"/>
      <w:r>
        <w:rPr>
          <w:rStyle w:val="26"/>
          <w:rFonts w:hint="default" w:ascii="Times New Roman" w:hAnsi="Times New Roman" w:eastAsia="黑体" w:cs="Times New Roman"/>
          <w:b w:val="0"/>
          <w:bCs w:val="0"/>
          <w:sz w:val="32"/>
          <w:szCs w:val="32"/>
        </w:rPr>
        <w:t>一、职能简介</w:t>
      </w:r>
    </w:p>
    <w:p>
      <w:pPr>
        <w:pageBreakBefore w:val="0"/>
        <w:widowControl w:val="0"/>
        <w:kinsoku/>
        <w:wordWrap/>
        <w:overflowPunct/>
        <w:topLinePunct w:val="0"/>
        <w:autoSpaceDE/>
        <w:autoSpaceDN/>
        <w:bidi w:val="0"/>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负责建立健全并执行各项生态环境基本制度。贯彻执行国家、省、市有关法律、法规、规章和政策，会同有关部门拟订并组织实施区域内生态环境政策、规划。参与编制环境功能区划，参与制定与区域内生态环境相关的经济、技术、资源配置和产业政策。参与拟订并贯彻执行区域内主体功能区划。</w:t>
      </w:r>
    </w:p>
    <w:p>
      <w:pPr>
        <w:pageBreakBefore w:val="0"/>
        <w:widowControl w:val="0"/>
        <w:kinsoku/>
        <w:wordWrap/>
        <w:overflowPunct/>
        <w:topLinePunct w:val="0"/>
        <w:autoSpaceDE/>
        <w:autoSpaceDN/>
        <w:bidi w:val="0"/>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负责区域内生态环境污染防治的监督管理。组织制定并监督实施区域内大气、水、土壤、噪声、光、恶臭、固体废物、化学品、机动车等的污染防治管理制度。参与排污口设置管理工作，负责流域水环境保护工作。监督指导区域大气环境保护工作，牵头建立区域大气污染联防联控协作机制并监督实施。</w:t>
      </w:r>
    </w:p>
    <w:p>
      <w:pPr>
        <w:pageBreakBefore w:val="0"/>
        <w:widowControl w:val="0"/>
        <w:kinsoku/>
        <w:wordWrap/>
        <w:overflowPunct/>
        <w:topLinePunct w:val="0"/>
        <w:autoSpaceDE/>
        <w:autoSpaceDN/>
        <w:bidi w:val="0"/>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指导协调和监督区域内生态保护修复工作。监督实施区域内生态保护规划，监督对生态环境有影响的自然资源开发利用活动、重要生态环境建设和生态破坏恢复工作。组织、指导绿色生态示范创建工作。监督实施区域内各类自然保护地生态环境监督制度，承担自然保护地、生态保护红线相关监管工作。监督野生动植物保护、湿地生态环境保护、荒漠化防治等工作。指导协调和监督农村生态环境保护，监督生物技术环境安全，组织协调生物多样性保护工作，参与生态保护补偿工作。</w:t>
      </w:r>
    </w:p>
    <w:p>
      <w:pPr>
        <w:pageBreakBefore w:val="0"/>
        <w:widowControl w:val="0"/>
        <w:kinsoku/>
        <w:wordWrap/>
        <w:overflowPunct/>
        <w:topLinePunct w:val="0"/>
        <w:autoSpaceDE/>
        <w:autoSpaceDN/>
        <w:bidi w:val="0"/>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负责区域内生态环境监测、统计和信息发布工作。监督执行国家、省颁布的各类环境标准，组织实施环境监测制度和规范相关工作。会同有关部门统一规划区域内生态环境质量监测站点设置，组织实施污染源监督性监测、执法监测、温室气体减排监测和应急监测，按要求做好生态环境质量监测相关工作。对区域生态环境质量状况进行调查评价、预警预测，参与建设和管理生态环境监测网和生态环境信息网。负责区域内生态环境质量考核和生态环境统计工作。实行生态环境质量公告制度，统一发布区域内生态环境综合性报告和重大环境信息。</w:t>
      </w:r>
    </w:p>
    <w:p>
      <w:pPr>
        <w:pageBreakBefore w:val="0"/>
        <w:widowControl w:val="0"/>
        <w:kinsoku/>
        <w:wordWrap/>
        <w:overflowPunct/>
        <w:topLinePunct w:val="0"/>
        <w:autoSpaceDE/>
        <w:autoSpaceDN/>
        <w:bidi w:val="0"/>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（五）负责应对气候变化工作。组织实施国家、省应对气候变化及温室气体减排重大战略、规划和政策，组织实施区域内应对气候变化的规划和政策措施。</w:t>
      </w:r>
    </w:p>
    <w:p>
      <w:pPr>
        <w:pageBreakBefore w:val="0"/>
        <w:widowControl w:val="0"/>
        <w:kinsoku/>
        <w:wordWrap/>
        <w:overflowPunct/>
        <w:topLinePunct w:val="0"/>
        <w:autoSpaceDE/>
        <w:autoSpaceDN/>
        <w:bidi w:val="0"/>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（六）开展生态环境科技工作。管理区域内生态环境保护科技成果并推广应用。组织开展生态环境重大科学研究和技术工程示范，推动生态环境技术管理体系建设。</w:t>
      </w:r>
    </w:p>
    <w:p>
      <w:pPr>
        <w:pageBreakBefore w:val="0"/>
        <w:widowControl w:val="0"/>
        <w:kinsoku/>
        <w:wordWrap/>
        <w:overflowPunct/>
        <w:topLinePunct w:val="0"/>
        <w:autoSpaceDE/>
        <w:autoSpaceDN/>
        <w:bidi w:val="0"/>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职能转变。统一行使区域内生态和城乡各类污染排放监管职责，按照国家、省确定的综合行政执法改革要求承担与此对应的行政执法职责，负责区域内生态环境质量监测、调查评价和考核，切实履行监管责任，加强事中事后监管，全面落实大气、水、土壤污染防治行动计划，强化固体废物、化学品、重金属污染防治监督管理。构建政府为主导、企业为主体、社会组织和公众共同参与的生态环境治理体系，实施最严格的生态环境保护制度，严守生态保护红线和环境质量底线，坚决打好污染防治攻坚战，筑牢长江上游生态屏障，保障生态安全。</w:t>
      </w:r>
    </w:p>
    <w:p>
      <w:pPr>
        <w:pStyle w:val="4"/>
        <w:pageBreakBefore w:val="0"/>
        <w:widowControl w:val="0"/>
        <w:kinsoku/>
        <w:wordWrap/>
        <w:overflowPunct/>
        <w:topLinePunct w:val="0"/>
        <w:autoSpaceDE/>
        <w:autoSpaceDN/>
        <w:bidi w:val="0"/>
        <w:snapToGrid/>
        <w:spacing w:before="0" w:after="0" w:line="520" w:lineRule="exact"/>
        <w:ind w:firstLine="640" w:firstLineChars="200"/>
        <w:textAlignment w:val="auto"/>
        <w:rPr>
          <w:rFonts w:hint="default" w:ascii="Times New Roman" w:hAnsi="Times New Roman" w:eastAsia="黑体" w:cs="Times New Roman"/>
          <w:b w:val="0"/>
          <w:sz w:val="32"/>
          <w:szCs w:val="32"/>
        </w:rPr>
      </w:pPr>
      <w:r>
        <w:rPr>
          <w:rFonts w:hint="default" w:ascii="Times New Roman" w:hAnsi="Times New Roman" w:eastAsia="黑体" w:cs="Times New Roman"/>
          <w:b w:val="0"/>
          <w:sz w:val="32"/>
          <w:szCs w:val="32"/>
        </w:rPr>
        <w:t>二、2021年重点工作</w:t>
      </w:r>
      <w:bookmarkEnd w:id="14"/>
      <w:bookmarkEnd w:id="15"/>
      <w:r>
        <w:rPr>
          <w:rFonts w:hint="default" w:ascii="Times New Roman" w:hAnsi="Times New Roman" w:eastAsia="黑体" w:cs="Times New Roman"/>
          <w:b w:val="0"/>
          <w:sz w:val="32"/>
          <w:szCs w:val="32"/>
        </w:rPr>
        <w:t>完成情况</w:t>
      </w:r>
    </w:p>
    <w:p>
      <w:pPr>
        <w:pStyle w:val="2"/>
        <w:pageBreakBefore w:val="0"/>
        <w:widowControl w:val="0"/>
        <w:kinsoku/>
        <w:wordWrap/>
        <w:overflowPunct/>
        <w:topLinePunct w:val="0"/>
        <w:autoSpaceDE/>
        <w:autoSpaceDN/>
        <w:bidi w:val="0"/>
        <w:adjustRightInd w:val="0"/>
        <w:snapToGrid/>
        <w:spacing w:beforeLines="0" w:line="52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（一）贯彻执行《中华人民共和国环境保护法》及与环境保护、环境监测相关的法律、法规、标准、规范、行政规章。</w:t>
      </w:r>
    </w:p>
    <w:p>
      <w:pPr>
        <w:pStyle w:val="2"/>
        <w:pageBreakBefore w:val="0"/>
        <w:widowControl w:val="0"/>
        <w:kinsoku/>
        <w:wordWrap/>
        <w:overflowPunct/>
        <w:topLinePunct w:val="0"/>
        <w:autoSpaceDE/>
        <w:autoSpaceDN/>
        <w:bidi w:val="0"/>
        <w:adjustRightInd w:val="0"/>
        <w:snapToGrid/>
        <w:spacing w:beforeLines="0" w:line="52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（二）参与本县辖区内环境保护规划、计划和大型调查研究方案的制定并贯彻执行。</w:t>
      </w:r>
    </w:p>
    <w:p>
      <w:pPr>
        <w:pStyle w:val="2"/>
        <w:pageBreakBefore w:val="0"/>
        <w:widowControl w:val="0"/>
        <w:kinsoku/>
        <w:wordWrap/>
        <w:overflowPunct/>
        <w:topLinePunct w:val="0"/>
        <w:autoSpaceDE/>
        <w:autoSpaceDN/>
        <w:bidi w:val="0"/>
        <w:adjustRightInd w:val="0"/>
        <w:snapToGrid/>
        <w:spacing w:beforeLines="0" w:line="52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（三）开展环境质量监测，实施污染源监督监测，建立健全环境监测综合技术动态档案，为加强环境管理提供技术支持。</w:t>
      </w:r>
    </w:p>
    <w:p>
      <w:pPr>
        <w:pStyle w:val="2"/>
        <w:pageBreakBefore w:val="0"/>
        <w:widowControl w:val="0"/>
        <w:kinsoku/>
        <w:wordWrap/>
        <w:overflowPunct/>
        <w:topLinePunct w:val="0"/>
        <w:autoSpaceDE/>
        <w:autoSpaceDN/>
        <w:bidi w:val="0"/>
        <w:adjustRightInd w:val="0"/>
        <w:snapToGrid/>
        <w:spacing w:beforeLines="0" w:line="52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（四）提供环境质量监测相关资料，为环境保护目标责任制的实施和城市环境综合整治定量考核提供依据。</w:t>
      </w:r>
    </w:p>
    <w:p>
      <w:pPr>
        <w:pStyle w:val="2"/>
        <w:pageBreakBefore w:val="0"/>
        <w:widowControl w:val="0"/>
        <w:kinsoku/>
        <w:wordWrap/>
        <w:overflowPunct/>
        <w:topLinePunct w:val="0"/>
        <w:autoSpaceDE/>
        <w:autoSpaceDN/>
        <w:bidi w:val="0"/>
        <w:adjustRightInd w:val="0"/>
        <w:snapToGrid/>
        <w:spacing w:beforeLines="0" w:line="52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五）收集、整理、储存环境监测数据信息资料，定期向同级环境保护行政主管部门和上级环境监测部门呈报本县环境质量状况、污染源动态技术报告，按时上报环境监测报告，定期编报与发布环境状况简报（或公报）。</w:t>
      </w:r>
    </w:p>
    <w:p>
      <w:pPr>
        <w:pStyle w:val="2"/>
        <w:pageBreakBefore w:val="0"/>
        <w:widowControl w:val="0"/>
        <w:kinsoku/>
        <w:wordWrap/>
        <w:overflowPunct/>
        <w:topLinePunct w:val="0"/>
        <w:autoSpaceDE/>
        <w:autoSpaceDN/>
        <w:bidi w:val="0"/>
        <w:adjustRightInd w:val="0"/>
        <w:snapToGrid/>
        <w:spacing w:beforeLines="0" w:line="52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（六）负责排污申报的技术核查和持证单位的监测，并参与污染源总量控制分配方案的制定和年度考评工作。</w:t>
      </w:r>
    </w:p>
    <w:p>
      <w:pPr>
        <w:pStyle w:val="2"/>
        <w:pageBreakBefore w:val="0"/>
        <w:widowControl w:val="0"/>
        <w:kinsoku/>
        <w:wordWrap/>
        <w:overflowPunct/>
        <w:topLinePunct w:val="0"/>
        <w:autoSpaceDE/>
        <w:autoSpaceDN/>
        <w:bidi w:val="0"/>
        <w:adjustRightInd w:val="0"/>
        <w:snapToGrid/>
        <w:spacing w:beforeLines="0" w:line="52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（七）参与本县污染事故的调查，为仲裁环境污染纠纷提供监测数据。</w:t>
      </w:r>
    </w:p>
    <w:p>
      <w:pPr>
        <w:pStyle w:val="2"/>
        <w:adjustRightInd w:val="0"/>
        <w:spacing w:beforeLines="0"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黑体" w:cs="Times New Roman"/>
          <w:sz w:val="32"/>
          <w:szCs w:val="32"/>
          <w:lang w:eastAsia="zh-CN"/>
        </w:rPr>
        <w:t>三、机构设置情况</w:t>
      </w:r>
    </w:p>
    <w:p>
      <w:pPr>
        <w:ind w:firstLine="640" w:firstLineChars="200"/>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盐边生态环境监测站属于攀枝花市生态环境局下属的二级预算单位，无下级预算单位。</w:t>
      </w:r>
    </w:p>
    <w:p>
      <w:pPr>
        <w:ind w:firstLine="640" w:firstLineChars="200"/>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纳入2021年度单位决算编制范围的独立编制机构包括：</w:t>
      </w:r>
    </w:p>
    <w:p>
      <w:pPr>
        <w:ind w:firstLine="640" w:firstLineChars="200"/>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1.攀枝花市盐边生态环境监测站。</w:t>
      </w:r>
    </w:p>
    <w:p>
      <w:pPr>
        <w:widowControl/>
        <w:ind w:firstLine="420"/>
        <w:jc w:val="left"/>
        <w:rPr>
          <w:rFonts w:hint="default" w:ascii="Times New Roman" w:hAnsi="Times New Roman" w:eastAsia="仿宋" w:cs="Times New Roman"/>
          <w:kern w:val="0"/>
          <w:sz w:val="32"/>
          <w:szCs w:val="32"/>
        </w:rPr>
      </w:pPr>
    </w:p>
    <w:p>
      <w:pPr>
        <w:pStyle w:val="3"/>
        <w:ind w:right="440"/>
        <w:jc w:val="center"/>
        <w:rPr>
          <w:rStyle w:val="25"/>
          <w:rFonts w:hint="default" w:ascii="Times New Roman" w:hAnsi="Times New Roman" w:eastAsia="黑体" w:cs="Times New Roman"/>
          <w:b w:val="0"/>
          <w:bCs/>
        </w:rPr>
      </w:pPr>
      <w:bookmarkStart w:id="16" w:name="_Toc15396602"/>
      <w:bookmarkStart w:id="17" w:name="_Toc15377204"/>
      <w:r>
        <w:rPr>
          <w:rFonts w:hint="default" w:ascii="Times New Roman" w:hAnsi="Times New Roman" w:eastAsia="黑体" w:cs="Times New Roman"/>
          <w:b w:val="0"/>
        </w:rPr>
        <w:t>第二部分 2021年度</w:t>
      </w:r>
      <w:r>
        <w:rPr>
          <w:rStyle w:val="25"/>
          <w:rFonts w:hint="default" w:ascii="Times New Roman" w:hAnsi="Times New Roman" w:eastAsia="黑体" w:cs="Times New Roman"/>
          <w:b w:val="0"/>
          <w:bCs/>
        </w:rPr>
        <w:t>单位决算情况说明</w:t>
      </w:r>
      <w:bookmarkEnd w:id="16"/>
      <w:bookmarkEnd w:id="17"/>
    </w:p>
    <w:p>
      <w:pPr>
        <w:rPr>
          <w:rFonts w:hint="default" w:ascii="Times New Roman" w:hAnsi="Times New Roman" w:cs="Times New Roman"/>
        </w:rPr>
      </w:pPr>
    </w:p>
    <w:p>
      <w:pPr>
        <w:pStyle w:val="24"/>
        <w:spacing w:line="600" w:lineRule="exact"/>
        <w:ind w:left="640" w:firstLine="0" w:firstLineChars="0"/>
        <w:outlineLvl w:val="1"/>
        <w:rPr>
          <w:rStyle w:val="26"/>
          <w:rFonts w:hint="default" w:ascii="Times New Roman" w:hAnsi="Times New Roman" w:eastAsia="黑体" w:cs="Times New Roman"/>
          <w:b w:val="0"/>
        </w:rPr>
      </w:pPr>
      <w:bookmarkStart w:id="18" w:name="_Toc15396603"/>
      <w:bookmarkStart w:id="19" w:name="_Toc15377205"/>
      <w:r>
        <w:rPr>
          <w:rFonts w:hint="default" w:ascii="Times New Roman" w:hAnsi="Times New Roman" w:eastAsia="黑体" w:cs="Times New Roman"/>
          <w:sz w:val="32"/>
          <w:szCs w:val="32"/>
        </w:rPr>
        <w:t>一、收</w:t>
      </w:r>
      <w:r>
        <w:rPr>
          <w:rStyle w:val="26"/>
          <w:rFonts w:hint="default" w:ascii="Times New Roman" w:hAnsi="Times New Roman" w:eastAsia="黑体" w:cs="Times New Roman"/>
          <w:b w:val="0"/>
        </w:rPr>
        <w:t>入支出决算总体情况说明</w:t>
      </w:r>
      <w:bookmarkEnd w:id="18"/>
      <w:bookmarkEnd w:id="19"/>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2021年度收、支总计196.58万元。因盐边生态环境监测站2021年新成为独立核算单位，无上年对比数。</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drawing>
          <wp:anchor distT="0" distB="0" distL="114300" distR="114300" simplePos="0" relativeHeight="251659264" behindDoc="0" locked="0" layoutInCell="1" allowOverlap="1">
            <wp:simplePos x="0" y="0"/>
            <wp:positionH relativeFrom="column">
              <wp:posOffset>351790</wp:posOffset>
            </wp:positionH>
            <wp:positionV relativeFrom="paragraph">
              <wp:posOffset>102235</wp:posOffset>
            </wp:positionV>
            <wp:extent cx="4665980" cy="2450465"/>
            <wp:effectExtent l="4445" t="4445" r="15875" b="2159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rPr>
          <w:rFonts w:hint="default" w:ascii="Times New Roman" w:hAnsi="Times New Roman" w:eastAsia="仿宋" w:cs="Times New Roman"/>
          <w:sz w:val="32"/>
          <w:szCs w:val="32"/>
        </w:rPr>
      </w:pPr>
    </w:p>
    <w:p>
      <w:pPr>
        <w:spacing w:line="600" w:lineRule="exact"/>
        <w:ind w:firstLine="640" w:firstLineChars="200"/>
        <w:rPr>
          <w:rFonts w:hint="default" w:ascii="Times New Roman" w:hAnsi="Times New Roman" w:eastAsia="仿宋" w:cs="Times New Roman"/>
          <w:sz w:val="32"/>
          <w:szCs w:val="32"/>
        </w:rPr>
      </w:pPr>
    </w:p>
    <w:p>
      <w:pPr>
        <w:spacing w:line="600" w:lineRule="exact"/>
        <w:ind w:firstLine="640" w:firstLineChars="200"/>
        <w:rPr>
          <w:rFonts w:hint="default" w:ascii="Times New Roman" w:hAnsi="Times New Roman" w:eastAsia="仿宋" w:cs="Times New Roman"/>
          <w:sz w:val="32"/>
          <w:szCs w:val="32"/>
        </w:rPr>
      </w:pPr>
    </w:p>
    <w:p>
      <w:pPr>
        <w:spacing w:line="600" w:lineRule="exact"/>
        <w:ind w:firstLine="640" w:firstLineChars="200"/>
        <w:rPr>
          <w:rFonts w:hint="default" w:ascii="Times New Roman" w:hAnsi="Times New Roman" w:eastAsia="仿宋" w:cs="Times New Roman"/>
          <w:sz w:val="32"/>
          <w:szCs w:val="32"/>
        </w:rPr>
      </w:pPr>
    </w:p>
    <w:p>
      <w:pPr>
        <w:spacing w:line="600" w:lineRule="exact"/>
        <w:ind w:firstLine="640" w:firstLineChars="200"/>
        <w:rPr>
          <w:rFonts w:hint="default" w:ascii="Times New Roman" w:hAnsi="Times New Roman" w:eastAsia="仿宋" w:cs="Times New Roman"/>
          <w:sz w:val="32"/>
          <w:szCs w:val="32"/>
        </w:rPr>
      </w:pPr>
    </w:p>
    <w:p>
      <w:pPr>
        <w:spacing w:line="600" w:lineRule="exact"/>
        <w:ind w:firstLine="640" w:firstLineChars="200"/>
        <w:rPr>
          <w:rFonts w:hint="default" w:ascii="Times New Roman" w:hAnsi="Times New Roman" w:eastAsia="仿宋" w:cs="Times New Roman"/>
          <w:sz w:val="32"/>
          <w:szCs w:val="32"/>
        </w:rPr>
      </w:pPr>
    </w:p>
    <w:p>
      <w:pPr>
        <w:spacing w:line="600" w:lineRule="exact"/>
        <w:ind w:firstLine="1920" w:firstLineChars="600"/>
        <w:rPr>
          <w:rFonts w:hint="default" w:ascii="Times New Roman" w:hAnsi="Times New Roman" w:eastAsia="仿宋_GB2312" w:cs="Times New Roman"/>
          <w:sz w:val="32"/>
          <w:szCs w:val="32"/>
        </w:rPr>
      </w:pPr>
      <w:r>
        <w:rPr>
          <w:rFonts w:hint="default" w:ascii="Times New Roman" w:hAnsi="Times New Roman" w:eastAsia="仿宋" w:cs="Times New Roman"/>
          <w:sz w:val="32"/>
          <w:szCs w:val="32"/>
        </w:rPr>
        <w:t>图1收、支决算总计变动情况图</w:t>
      </w:r>
    </w:p>
    <w:p>
      <w:pPr>
        <w:pStyle w:val="24"/>
        <w:spacing w:line="560" w:lineRule="exact"/>
        <w:ind w:firstLine="640"/>
        <w:outlineLvl w:val="1"/>
        <w:rPr>
          <w:rStyle w:val="26"/>
          <w:rFonts w:hint="default" w:ascii="Times New Roman" w:hAnsi="Times New Roman" w:eastAsia="黑体" w:cs="Times New Roman"/>
          <w:b w:val="0"/>
        </w:rPr>
      </w:pPr>
      <w:bookmarkStart w:id="20" w:name="_Toc15396604"/>
      <w:bookmarkStart w:id="21" w:name="_Toc15377206"/>
      <w:r>
        <w:rPr>
          <w:rFonts w:hint="default" w:ascii="Times New Roman" w:hAnsi="Times New Roman" w:eastAsia="黑体" w:cs="Times New Roman"/>
          <w:sz w:val="32"/>
          <w:szCs w:val="32"/>
        </w:rPr>
        <w:t>二、收</w:t>
      </w:r>
      <w:r>
        <w:rPr>
          <w:rStyle w:val="26"/>
          <w:rFonts w:hint="default" w:ascii="Times New Roman" w:hAnsi="Times New Roman" w:eastAsia="黑体" w:cs="Times New Roman"/>
          <w:b w:val="0"/>
        </w:rPr>
        <w:t>入决算情况说明</w:t>
      </w:r>
      <w:bookmarkEnd w:id="20"/>
      <w:bookmarkEnd w:id="21"/>
    </w:p>
    <w:p>
      <w:pPr>
        <w:spacing w:line="560" w:lineRule="exact"/>
        <w:ind w:firstLine="640" w:firstLineChars="200"/>
        <w:outlineLvl w:val="1"/>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2021年本年收入合计196.58万元，其中：一般公共预算财政拨款收入196.58万元，占100%；政府性基金预算财政拨款收入0万元，占0%；国有资本经营预算财政拨款收入0万元，占0%；上级补助收入0万元，占0%；事业收入0万元，占0%；经营收入0万元，占0%；附属单位上缴收入0万元，占0%；其他收入0万元，占0%。</w:t>
      </w:r>
    </w:p>
    <w:p>
      <w:pPr>
        <w:spacing w:line="560" w:lineRule="exact"/>
        <w:ind w:firstLine="640" w:firstLineChars="200"/>
        <w:outlineLvl w:val="1"/>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r>
        <w:rPr>
          <w:rFonts w:hint="default" w:ascii="Times New Roman" w:hAnsi="Times New Roman" w:cs="Times New Roman"/>
        </w:rPr>
        <w:drawing>
          <wp:inline distT="0" distB="0" distL="114300" distR="114300">
            <wp:extent cx="4250055" cy="2294255"/>
            <wp:effectExtent l="4445" t="4445" r="12700" b="6350"/>
            <wp:docPr id="719029"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2240" w:firstLineChars="7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图2收入决算结构图</w:t>
      </w:r>
    </w:p>
    <w:p>
      <w:pPr>
        <w:spacing w:line="600" w:lineRule="exact"/>
        <w:ind w:firstLine="640" w:firstLineChars="200"/>
        <w:rPr>
          <w:rFonts w:hint="default" w:ascii="Times New Roman" w:hAnsi="Times New Roman" w:eastAsia="仿宋_GB2312" w:cs="Times New Roman"/>
          <w:sz w:val="32"/>
          <w:szCs w:val="32"/>
        </w:rPr>
      </w:pPr>
    </w:p>
    <w:p>
      <w:pPr>
        <w:pStyle w:val="24"/>
        <w:spacing w:line="600" w:lineRule="exact"/>
        <w:ind w:left="640" w:firstLine="0" w:firstLineChars="0"/>
        <w:outlineLvl w:val="1"/>
        <w:rPr>
          <w:rStyle w:val="26"/>
          <w:rFonts w:hint="default" w:ascii="Times New Roman" w:hAnsi="Times New Roman" w:eastAsia="黑体" w:cs="Times New Roman"/>
          <w:b w:val="0"/>
        </w:rPr>
      </w:pPr>
      <w:bookmarkStart w:id="22" w:name="_Toc15377207"/>
      <w:bookmarkStart w:id="23" w:name="_Toc15396605"/>
      <w:r>
        <w:rPr>
          <w:rFonts w:hint="default" w:ascii="Times New Roman" w:hAnsi="Times New Roman" w:eastAsia="黑体" w:cs="Times New Roman"/>
          <w:sz w:val="32"/>
          <w:szCs w:val="32"/>
        </w:rPr>
        <w:t>三、支</w:t>
      </w:r>
      <w:r>
        <w:rPr>
          <w:rStyle w:val="26"/>
          <w:rFonts w:hint="default" w:ascii="Times New Roman" w:hAnsi="Times New Roman" w:eastAsia="黑体" w:cs="Times New Roman"/>
          <w:b w:val="0"/>
        </w:rPr>
        <w:t>出决算情况说明</w:t>
      </w:r>
      <w:bookmarkEnd w:id="22"/>
      <w:bookmarkEnd w:id="23"/>
    </w:p>
    <w:p>
      <w:pPr>
        <w:spacing w:line="600" w:lineRule="exact"/>
        <w:ind w:firstLine="640" w:firstLineChars="200"/>
        <w:outlineLvl w:val="1"/>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2021年本年支出合计196.58万元，其中：基本支出187.93万元，占95.6%；项目支出8.66万元，占4.4%；上缴上级支出0万元，占0%；经营支出0万元，占0%；对附属单位补助支出0万元，占0%。</w:t>
      </w:r>
    </w:p>
    <w:p>
      <w:pPr>
        <w:pStyle w:val="6"/>
        <w:rPr>
          <w:rFonts w:hint="default" w:ascii="Times New Roman" w:hAnsi="Times New Roman" w:cs="Times New Roman"/>
        </w:rPr>
      </w:pPr>
    </w:p>
    <w:p>
      <w:pPr>
        <w:rPr>
          <w:rFonts w:hint="default" w:ascii="Times New Roman" w:hAnsi="Times New Roman" w:eastAsia="仿宋" w:cs="Times New Roman"/>
          <w:sz w:val="32"/>
          <w:szCs w:val="32"/>
        </w:rPr>
      </w:pPr>
      <w:r>
        <w:rPr>
          <w:rFonts w:hint="default" w:ascii="Times New Roman" w:hAnsi="Times New Roman" w:cs="Times New Roman"/>
        </w:rPr>
        <w:drawing>
          <wp:anchor distT="0" distB="0" distL="114300" distR="114300" simplePos="0" relativeHeight="251661312" behindDoc="1" locked="0" layoutInCell="1" allowOverlap="1">
            <wp:simplePos x="0" y="0"/>
            <wp:positionH relativeFrom="column">
              <wp:posOffset>581660</wp:posOffset>
            </wp:positionH>
            <wp:positionV relativeFrom="paragraph">
              <wp:posOffset>85090</wp:posOffset>
            </wp:positionV>
            <wp:extent cx="4286885" cy="2162175"/>
            <wp:effectExtent l="5080" t="4445" r="13335" b="5080"/>
            <wp:wrapThrough wrapText="bothSides">
              <wp:wrapPolygon>
                <wp:start x="-26" y="-44"/>
                <wp:lineTo x="-26" y="21460"/>
                <wp:lineTo x="21571" y="21460"/>
                <wp:lineTo x="21571" y="-44"/>
                <wp:lineTo x="-26" y="-44"/>
              </wp:wrapPolygon>
            </wp:wrapThrough>
            <wp:docPr id="4"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960" w:firstLineChars="300"/>
        <w:rPr>
          <w:rFonts w:hint="default" w:ascii="Times New Roman" w:hAnsi="Times New Roman" w:eastAsia="仿宋" w:cs="Times New Roman"/>
          <w:sz w:val="32"/>
          <w:szCs w:val="32"/>
        </w:rPr>
      </w:pPr>
    </w:p>
    <w:p>
      <w:pPr>
        <w:spacing w:line="600" w:lineRule="exact"/>
        <w:ind w:firstLine="2240" w:firstLineChars="7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图3支出决算结构图</w:t>
      </w:r>
    </w:p>
    <w:p>
      <w:pPr>
        <w:spacing w:line="600" w:lineRule="exact"/>
        <w:ind w:firstLine="640" w:firstLineChars="200"/>
        <w:outlineLvl w:val="1"/>
        <w:rPr>
          <w:rStyle w:val="26"/>
          <w:rFonts w:hint="default" w:ascii="Times New Roman" w:hAnsi="Times New Roman" w:eastAsia="黑体" w:cs="Times New Roman"/>
          <w:b w:val="0"/>
        </w:rPr>
      </w:pPr>
      <w:bookmarkStart w:id="24" w:name="_Toc15396606"/>
      <w:bookmarkStart w:id="25" w:name="_Toc15377208"/>
      <w:r>
        <w:rPr>
          <w:rFonts w:hint="default" w:ascii="Times New Roman" w:hAnsi="Times New Roman" w:eastAsia="黑体" w:cs="Times New Roman"/>
          <w:sz w:val="32"/>
          <w:szCs w:val="32"/>
        </w:rPr>
        <w:t>四、财</w:t>
      </w:r>
      <w:r>
        <w:rPr>
          <w:rStyle w:val="26"/>
          <w:rFonts w:hint="default" w:ascii="Times New Roman" w:hAnsi="Times New Roman" w:eastAsia="黑体" w:cs="Times New Roman"/>
          <w:b w:val="0"/>
        </w:rPr>
        <w:t>政拨款收入支出决算总体情况说明</w:t>
      </w:r>
      <w:bookmarkEnd w:id="24"/>
      <w:bookmarkEnd w:id="25"/>
    </w:p>
    <w:p>
      <w:pPr>
        <w:spacing w:line="60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2021年财政拨款收、支总计196.58万元。因盐边生态环境监测站2021年新成为独立核算单位，无上年对比数。</w:t>
      </w:r>
    </w:p>
    <w:p>
      <w:pPr>
        <w:spacing w:line="600" w:lineRule="exact"/>
        <w:rPr>
          <w:rFonts w:hint="default" w:ascii="Times New Roman" w:hAnsi="Times New Roman" w:eastAsia="仿宋" w:cs="Times New Roman"/>
          <w:b/>
          <w:sz w:val="32"/>
          <w:szCs w:val="32"/>
        </w:rPr>
      </w:pPr>
    </w:p>
    <w:p>
      <w:pPr>
        <w:spacing w:line="60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drawing>
          <wp:anchor distT="0" distB="0" distL="114300" distR="114300" simplePos="0" relativeHeight="251660288" behindDoc="0" locked="0" layoutInCell="1" allowOverlap="1">
            <wp:simplePos x="0" y="0"/>
            <wp:positionH relativeFrom="column">
              <wp:posOffset>287020</wp:posOffset>
            </wp:positionH>
            <wp:positionV relativeFrom="paragraph">
              <wp:posOffset>55245</wp:posOffset>
            </wp:positionV>
            <wp:extent cx="4734560" cy="2105660"/>
            <wp:effectExtent l="5080" t="4445" r="22860" b="23495"/>
            <wp:wrapSquare wrapText="bothSides"/>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default" w:ascii="Times New Roman" w:hAnsi="Times New Roman" w:eastAsia="仿宋" w:cs="Times New Roman"/>
          <w:sz w:val="32"/>
          <w:szCs w:val="32"/>
        </w:rPr>
        <w:t>图4财政拨款收、支决算总计变动情况</w:t>
      </w:r>
    </w:p>
    <w:p>
      <w:pPr>
        <w:spacing w:line="600" w:lineRule="exact"/>
        <w:ind w:firstLine="640" w:firstLineChars="200"/>
        <w:outlineLvl w:val="1"/>
        <w:rPr>
          <w:rStyle w:val="26"/>
          <w:rFonts w:hint="default" w:ascii="Times New Roman" w:hAnsi="Times New Roman" w:eastAsia="黑体" w:cs="Times New Roman"/>
          <w:b w:val="0"/>
        </w:rPr>
      </w:pPr>
      <w:bookmarkStart w:id="26" w:name="_Toc15396607"/>
      <w:bookmarkStart w:id="27" w:name="_Toc15377209"/>
      <w:r>
        <w:rPr>
          <w:rFonts w:hint="default" w:ascii="Times New Roman" w:hAnsi="Times New Roman" w:eastAsia="黑体" w:cs="Times New Roman"/>
          <w:sz w:val="32"/>
          <w:szCs w:val="32"/>
        </w:rPr>
        <w:t>五、</w:t>
      </w:r>
      <w:r>
        <w:rPr>
          <w:rFonts w:hint="default" w:ascii="Times New Roman" w:hAnsi="Times New Roman" w:eastAsia="黑体" w:cs="Times New Roman"/>
          <w:b/>
          <w:sz w:val="32"/>
          <w:szCs w:val="32"/>
        </w:rPr>
        <w:t>一</w:t>
      </w:r>
      <w:r>
        <w:rPr>
          <w:rStyle w:val="26"/>
          <w:rFonts w:hint="default" w:ascii="Times New Roman" w:hAnsi="Times New Roman" w:eastAsia="黑体" w:cs="Times New Roman"/>
          <w:b w:val="0"/>
        </w:rPr>
        <w:t>般公共预算财政拨款支出决算情况说明</w:t>
      </w:r>
      <w:bookmarkEnd w:id="26"/>
      <w:bookmarkEnd w:id="27"/>
    </w:p>
    <w:p>
      <w:pPr>
        <w:spacing w:line="600" w:lineRule="exact"/>
        <w:ind w:firstLine="643" w:firstLineChars="200"/>
        <w:outlineLvl w:val="2"/>
        <w:rPr>
          <w:rFonts w:hint="default" w:ascii="Times New Roman" w:hAnsi="Times New Roman" w:eastAsia="仿宋" w:cs="Times New Roman"/>
          <w:b/>
          <w:sz w:val="32"/>
          <w:szCs w:val="32"/>
        </w:rPr>
      </w:pPr>
      <w:bookmarkStart w:id="28" w:name="_Toc15377210"/>
      <w:r>
        <w:rPr>
          <w:rFonts w:hint="default" w:ascii="Times New Roman" w:hAnsi="Times New Roman" w:eastAsia="仿宋" w:cs="Times New Roman"/>
          <w:b/>
          <w:sz w:val="32"/>
          <w:szCs w:val="32"/>
        </w:rPr>
        <w:t>（一）一般公共预算财政拨款支出决算总体情况</w:t>
      </w:r>
      <w:bookmarkEnd w:id="28"/>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2021年一般公共预算财政拨款支出196.58万元，占本年支出合计的100%。因盐边生态环境监测站2021年新成为独立核算单位，无上年对比数。</w:t>
      </w:r>
    </w:p>
    <w:p>
      <w:pPr>
        <w:pStyle w:val="6"/>
        <w:rPr>
          <w:rFonts w:hint="default" w:ascii="Times New Roman" w:hAnsi="Times New Roman" w:cs="Times New Roman"/>
        </w:rPr>
      </w:pPr>
    </w:p>
    <w:p>
      <w:pPr>
        <w:pStyle w:val="6"/>
        <w:rPr>
          <w:rFonts w:hint="default" w:ascii="Times New Roman" w:hAnsi="Times New Roman" w:cs="Times New Roman"/>
        </w:rPr>
      </w:pPr>
      <w:r>
        <w:rPr>
          <w:rFonts w:hint="default" w:ascii="Times New Roman" w:hAnsi="Times New Roman" w:cs="Times New Roman"/>
        </w:rPr>
        <w:drawing>
          <wp:anchor distT="0" distB="0" distL="114300" distR="114300" simplePos="0" relativeHeight="251662336" behindDoc="1" locked="0" layoutInCell="1" allowOverlap="1">
            <wp:simplePos x="0" y="0"/>
            <wp:positionH relativeFrom="column">
              <wp:posOffset>549910</wp:posOffset>
            </wp:positionH>
            <wp:positionV relativeFrom="paragraph">
              <wp:posOffset>58420</wp:posOffset>
            </wp:positionV>
            <wp:extent cx="4381500" cy="2534920"/>
            <wp:effectExtent l="4445" t="4445" r="14605" b="13335"/>
            <wp:wrapThrough wrapText="bothSides">
              <wp:wrapPolygon>
                <wp:start x="-22" y="-38"/>
                <wp:lineTo x="-22" y="21551"/>
                <wp:lineTo x="21578" y="21551"/>
                <wp:lineTo x="21578" y="-38"/>
                <wp:lineTo x="-22" y="-38"/>
              </wp:wrapPolygon>
            </wp:wrapThrough>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6"/>
        <w:rPr>
          <w:rFonts w:hint="default" w:ascii="Times New Roman" w:hAnsi="Times New Roman" w:cs="Times New Roman"/>
        </w:rPr>
      </w:pPr>
    </w:p>
    <w:p>
      <w:pPr>
        <w:pStyle w:val="6"/>
        <w:rPr>
          <w:rFonts w:hint="default" w:ascii="Times New Roman" w:hAnsi="Times New Roman" w:cs="Times New Roman"/>
        </w:rPr>
      </w:pPr>
    </w:p>
    <w:p>
      <w:pPr>
        <w:spacing w:line="600" w:lineRule="exact"/>
        <w:rPr>
          <w:rFonts w:hint="default" w:ascii="Times New Roman" w:hAnsi="Times New Roman" w:eastAsia="仿宋" w:cs="Times New Roman"/>
          <w:sz w:val="32"/>
          <w:szCs w:val="32"/>
        </w:rPr>
      </w:pPr>
    </w:p>
    <w:p>
      <w:pPr>
        <w:spacing w:line="600" w:lineRule="exact"/>
        <w:rPr>
          <w:rFonts w:hint="default" w:ascii="Times New Roman" w:hAnsi="Times New Roman" w:eastAsia="仿宋" w:cs="Times New Roman"/>
          <w:sz w:val="32"/>
          <w:szCs w:val="32"/>
        </w:rPr>
      </w:pPr>
    </w:p>
    <w:p>
      <w:pPr>
        <w:spacing w:line="600" w:lineRule="exact"/>
        <w:rPr>
          <w:rFonts w:hint="default" w:ascii="Times New Roman" w:hAnsi="Times New Roman" w:eastAsia="仿宋" w:cs="Times New Roman"/>
          <w:sz w:val="32"/>
          <w:szCs w:val="32"/>
        </w:rPr>
      </w:pPr>
    </w:p>
    <w:p>
      <w:pPr>
        <w:spacing w:line="600" w:lineRule="exact"/>
        <w:rPr>
          <w:rFonts w:hint="default" w:ascii="Times New Roman" w:hAnsi="Times New Roman" w:eastAsia="仿宋" w:cs="Times New Roman"/>
          <w:sz w:val="32"/>
          <w:szCs w:val="32"/>
        </w:rPr>
      </w:pPr>
    </w:p>
    <w:p>
      <w:pPr>
        <w:spacing w:line="600" w:lineRule="exact"/>
        <w:rPr>
          <w:rFonts w:hint="default" w:ascii="Times New Roman" w:hAnsi="Times New Roman" w:eastAsia="仿宋" w:cs="Times New Roman"/>
          <w:sz w:val="32"/>
          <w:szCs w:val="32"/>
        </w:rPr>
      </w:pPr>
    </w:p>
    <w:p>
      <w:pPr>
        <w:spacing w:line="600" w:lineRule="exact"/>
        <w:rPr>
          <w:rFonts w:hint="default" w:ascii="Times New Roman" w:hAnsi="Times New Roman" w:eastAsia="仿宋" w:cs="Times New Roman"/>
          <w:sz w:val="32"/>
          <w:szCs w:val="32"/>
        </w:rPr>
      </w:pP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图5一般公共预算财政拨款支出决算变动情况</w:t>
      </w:r>
    </w:p>
    <w:p>
      <w:pPr>
        <w:spacing w:line="600" w:lineRule="exact"/>
        <w:ind w:firstLine="643" w:firstLineChars="200"/>
        <w:outlineLvl w:val="2"/>
        <w:rPr>
          <w:rFonts w:hint="default" w:ascii="Times New Roman" w:hAnsi="Times New Roman" w:eastAsia="仿宋" w:cs="Times New Roman"/>
          <w:b/>
          <w:sz w:val="32"/>
          <w:szCs w:val="32"/>
        </w:rPr>
      </w:pPr>
      <w:bookmarkStart w:id="29" w:name="_Toc15377211"/>
      <w:r>
        <w:rPr>
          <w:rFonts w:hint="default" w:ascii="Times New Roman" w:hAnsi="Times New Roman" w:eastAsia="仿宋" w:cs="Times New Roman"/>
          <w:b/>
          <w:sz w:val="32"/>
          <w:szCs w:val="32"/>
        </w:rPr>
        <w:t>（二）一般公共预算财政拨款支出决算结构情况</w:t>
      </w:r>
      <w:bookmarkEnd w:id="29"/>
    </w:p>
    <w:p>
      <w:pPr>
        <w:spacing w:line="600" w:lineRule="exact"/>
        <w:ind w:firstLine="640"/>
        <w:rPr>
          <w:rFonts w:hint="default" w:ascii="Times New Roman" w:hAnsi="Times New Roman" w:eastAsia="仿宋" w:cs="Times New Roman"/>
          <w:b/>
          <w:sz w:val="32"/>
          <w:szCs w:val="32"/>
        </w:rPr>
      </w:pPr>
      <w:r>
        <w:rPr>
          <w:rFonts w:hint="default" w:ascii="Times New Roman" w:hAnsi="Times New Roman" w:eastAsia="仿宋" w:cs="Times New Roman"/>
          <w:sz w:val="32"/>
          <w:szCs w:val="32"/>
        </w:rPr>
        <w:t>20021年一般公共预算财政拨款支出196.58万元，主要用于以下方面:</w:t>
      </w:r>
      <w:r>
        <w:rPr>
          <w:rFonts w:hint="default" w:ascii="Times New Roman" w:hAnsi="Times New Roman" w:eastAsia="仿宋" w:cs="Times New Roman"/>
          <w:b/>
          <w:sz w:val="32"/>
          <w:szCs w:val="32"/>
        </w:rPr>
        <w:t>社会保障和就业</w:t>
      </w:r>
      <w:r>
        <w:rPr>
          <w:rStyle w:val="15"/>
          <w:rFonts w:hint="default" w:ascii="Times New Roman" w:hAnsi="Times New Roman" w:eastAsia="仿宋" w:cs="Times New Roman"/>
          <w:bCs/>
          <w:sz w:val="32"/>
          <w:szCs w:val="32"/>
        </w:rPr>
        <w:t>208：</w:t>
      </w:r>
      <w:r>
        <w:rPr>
          <w:rFonts w:hint="default" w:ascii="Times New Roman" w:hAnsi="Times New Roman" w:eastAsia="仿宋" w:cs="Times New Roman"/>
          <w:sz w:val="32"/>
          <w:szCs w:val="32"/>
        </w:rPr>
        <w:t>支出18.91万元，占9.6 %；</w:t>
      </w:r>
      <w:r>
        <w:rPr>
          <w:rFonts w:hint="default" w:ascii="Times New Roman" w:hAnsi="Times New Roman" w:eastAsia="仿宋" w:cs="Times New Roman"/>
          <w:b/>
          <w:bCs/>
          <w:sz w:val="32"/>
          <w:szCs w:val="32"/>
        </w:rPr>
        <w:t>节能环保支出</w:t>
      </w:r>
      <w:r>
        <w:rPr>
          <w:rStyle w:val="15"/>
          <w:rFonts w:hint="default" w:ascii="Times New Roman" w:hAnsi="Times New Roman" w:eastAsia="仿宋" w:cs="Times New Roman"/>
          <w:bCs/>
          <w:sz w:val="32"/>
          <w:szCs w:val="32"/>
        </w:rPr>
        <w:t>211：</w:t>
      </w:r>
      <w:r>
        <w:rPr>
          <w:rFonts w:hint="default" w:ascii="Times New Roman" w:hAnsi="Times New Roman" w:eastAsia="仿宋" w:cs="Times New Roman"/>
          <w:sz w:val="32"/>
          <w:szCs w:val="32"/>
        </w:rPr>
        <w:t>157.09万元，占79.9%；住房保障支出</w:t>
      </w:r>
      <w:r>
        <w:rPr>
          <w:rStyle w:val="15"/>
          <w:rFonts w:hint="default" w:ascii="Times New Roman" w:hAnsi="Times New Roman" w:eastAsia="仿宋" w:cs="Times New Roman"/>
          <w:bCs/>
          <w:sz w:val="32"/>
          <w:szCs w:val="32"/>
        </w:rPr>
        <w:t>221：</w:t>
      </w:r>
      <w:r>
        <w:rPr>
          <w:rFonts w:hint="default" w:ascii="Times New Roman" w:hAnsi="Times New Roman" w:eastAsia="仿宋" w:cs="Times New Roman"/>
          <w:sz w:val="32"/>
          <w:szCs w:val="32"/>
        </w:rPr>
        <w:t>20.58万元，占10.5 %。</w:t>
      </w:r>
    </w:p>
    <w:p>
      <w:pPr>
        <w:rPr>
          <w:rFonts w:hint="default" w:ascii="Times New Roman" w:hAnsi="Times New Roman" w:eastAsia="仿宋" w:cs="Times New Roman"/>
          <w:sz w:val="32"/>
          <w:szCs w:val="32"/>
        </w:rPr>
      </w:pPr>
      <w:r>
        <w:rPr>
          <w:rFonts w:hint="default" w:ascii="Times New Roman" w:hAnsi="Times New Roman" w:cs="Times New Roman"/>
        </w:rPr>
        <w:drawing>
          <wp:anchor distT="0" distB="0" distL="114300" distR="114300" simplePos="0" relativeHeight="251663360" behindDoc="1" locked="0" layoutInCell="1" allowOverlap="1">
            <wp:simplePos x="0" y="0"/>
            <wp:positionH relativeFrom="column">
              <wp:posOffset>404495</wp:posOffset>
            </wp:positionH>
            <wp:positionV relativeFrom="paragraph">
              <wp:posOffset>102235</wp:posOffset>
            </wp:positionV>
            <wp:extent cx="4467225" cy="2562225"/>
            <wp:effectExtent l="4445" t="4445" r="11430" b="11430"/>
            <wp:wrapThrough wrapText="bothSides">
              <wp:wrapPolygon>
                <wp:start x="-21" y="-37"/>
                <wp:lineTo x="-21" y="21482"/>
                <wp:lineTo x="21532" y="21482"/>
                <wp:lineTo x="21532" y="-37"/>
                <wp:lineTo x="-21" y="-37"/>
              </wp:wrapPolygon>
            </wp:wrapThrough>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960" w:firstLineChars="300"/>
        <w:rPr>
          <w:rFonts w:hint="default" w:ascii="Times New Roman" w:hAnsi="Times New Roman" w:eastAsia="仿宋" w:cs="Times New Roman"/>
          <w:sz w:val="32"/>
          <w:szCs w:val="32"/>
        </w:rPr>
      </w:pPr>
    </w:p>
    <w:p>
      <w:pPr>
        <w:spacing w:line="600" w:lineRule="exact"/>
        <w:ind w:firstLine="960" w:firstLineChars="3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图6一般公共预算财政拨款支出决算结构</w:t>
      </w:r>
    </w:p>
    <w:p>
      <w:pPr>
        <w:spacing w:line="600" w:lineRule="exact"/>
        <w:ind w:firstLine="643" w:firstLineChars="200"/>
        <w:outlineLvl w:val="2"/>
        <w:rPr>
          <w:rFonts w:hint="default" w:ascii="Times New Roman" w:hAnsi="Times New Roman" w:eastAsia="仿宋" w:cs="Times New Roman"/>
          <w:b/>
          <w:sz w:val="32"/>
          <w:szCs w:val="32"/>
        </w:rPr>
      </w:pPr>
      <w:bookmarkStart w:id="30" w:name="_Toc15377212"/>
      <w:r>
        <w:rPr>
          <w:rFonts w:hint="default" w:ascii="Times New Roman" w:hAnsi="Times New Roman" w:eastAsia="仿宋" w:cs="Times New Roman"/>
          <w:b/>
          <w:sz w:val="32"/>
          <w:szCs w:val="32"/>
        </w:rPr>
        <w:t>（三）一般公共预算财政拨款支出决算具体情况</w:t>
      </w:r>
      <w:bookmarkEnd w:id="30"/>
    </w:p>
    <w:p>
      <w:pPr>
        <w:spacing w:line="600" w:lineRule="exact"/>
        <w:ind w:firstLine="643" w:firstLineChars="200"/>
        <w:outlineLvl w:val="2"/>
        <w:rPr>
          <w:rFonts w:hint="default" w:ascii="Times New Roman" w:hAnsi="Times New Roman" w:eastAsia="仿宋" w:cs="Times New Roman"/>
          <w:sz w:val="32"/>
          <w:szCs w:val="32"/>
        </w:rPr>
      </w:pPr>
      <w:bookmarkStart w:id="31" w:name="_Toc15378460"/>
      <w:bookmarkStart w:id="32" w:name="_Toc15377213"/>
      <w:bookmarkStart w:id="33" w:name="_Toc15377444"/>
      <w:r>
        <w:rPr>
          <w:rFonts w:hint="default" w:ascii="Times New Roman" w:hAnsi="Times New Roman" w:eastAsia="仿宋" w:cs="Times New Roman"/>
          <w:b/>
          <w:sz w:val="32"/>
          <w:szCs w:val="32"/>
        </w:rPr>
        <w:t>2021年一般公共预算支出决算数为196.58万元</w:t>
      </w:r>
      <w:r>
        <w:rPr>
          <w:rFonts w:hint="default" w:ascii="Times New Roman" w:hAnsi="Times New Roman" w:eastAsia="仿宋" w:cs="Times New Roman"/>
          <w:sz w:val="32"/>
          <w:szCs w:val="32"/>
        </w:rPr>
        <w:t>，</w:t>
      </w:r>
      <w:r>
        <w:rPr>
          <w:rStyle w:val="15"/>
          <w:rFonts w:hint="default" w:ascii="Times New Roman" w:hAnsi="Times New Roman" w:eastAsia="仿宋" w:cs="Times New Roman"/>
          <w:bCs/>
          <w:sz w:val="32"/>
          <w:szCs w:val="32"/>
        </w:rPr>
        <w:t>完成预算71%。其中：</w:t>
      </w:r>
      <w:bookmarkEnd w:id="31"/>
      <w:bookmarkEnd w:id="32"/>
      <w:bookmarkEnd w:id="33"/>
    </w:p>
    <w:p>
      <w:pPr>
        <w:spacing w:line="600" w:lineRule="exact"/>
        <w:ind w:firstLine="643" w:firstLineChars="200"/>
        <w:rPr>
          <w:rFonts w:hint="default" w:ascii="Times New Roman" w:hAnsi="Times New Roman" w:eastAsia="仿宋" w:cs="Times New Roman"/>
          <w:b/>
          <w:sz w:val="32"/>
          <w:szCs w:val="32"/>
        </w:rPr>
      </w:pPr>
      <w:r>
        <w:rPr>
          <w:rStyle w:val="15"/>
          <w:rFonts w:hint="default" w:ascii="Times New Roman" w:hAnsi="Times New Roman" w:eastAsia="仿宋" w:cs="Times New Roman"/>
          <w:bCs/>
          <w:sz w:val="32"/>
          <w:szCs w:val="32"/>
        </w:rPr>
        <w:t>1.社会保障和就业208（类）20805（款）2080505（项）:</w:t>
      </w:r>
      <w:r>
        <w:rPr>
          <w:rStyle w:val="15"/>
          <w:rFonts w:hint="default" w:ascii="Times New Roman" w:hAnsi="Times New Roman" w:eastAsia="仿宋" w:cs="Times New Roman"/>
          <w:b w:val="0"/>
          <w:bCs/>
          <w:sz w:val="32"/>
          <w:szCs w:val="32"/>
        </w:rPr>
        <w:t>支出决算为18.91万元，完成预算84.45%。</w:t>
      </w:r>
    </w:p>
    <w:p>
      <w:pPr>
        <w:spacing w:line="600" w:lineRule="exact"/>
        <w:ind w:firstLine="643" w:firstLineChars="200"/>
        <w:rPr>
          <w:rStyle w:val="15"/>
          <w:rFonts w:hint="default" w:ascii="Times New Roman" w:hAnsi="Times New Roman" w:eastAsia="仿宋" w:cs="Times New Roman"/>
          <w:b w:val="0"/>
          <w:bCs/>
          <w:sz w:val="32"/>
          <w:szCs w:val="32"/>
        </w:rPr>
      </w:pPr>
      <w:r>
        <w:rPr>
          <w:rStyle w:val="15"/>
          <w:rFonts w:hint="default" w:ascii="Times New Roman" w:hAnsi="Times New Roman" w:eastAsia="仿宋" w:cs="Times New Roman"/>
          <w:bCs/>
          <w:sz w:val="32"/>
          <w:szCs w:val="32"/>
        </w:rPr>
        <w:t>2.节能环保支出211（类）21101（款）2110101（项）：</w:t>
      </w:r>
      <w:r>
        <w:rPr>
          <w:rStyle w:val="15"/>
          <w:rFonts w:hint="default" w:ascii="Times New Roman" w:hAnsi="Times New Roman" w:eastAsia="仿宋" w:cs="Times New Roman"/>
          <w:b w:val="0"/>
          <w:bCs/>
          <w:sz w:val="32"/>
          <w:szCs w:val="32"/>
        </w:rPr>
        <w:t>支出决算为157.09万元，完成预算67%。</w:t>
      </w:r>
    </w:p>
    <w:p>
      <w:pPr>
        <w:spacing w:line="600" w:lineRule="exact"/>
        <w:ind w:firstLine="643" w:firstLineChars="200"/>
        <w:rPr>
          <w:rFonts w:hint="default" w:ascii="Times New Roman" w:hAnsi="Times New Roman" w:eastAsia="仿宋" w:cs="Times New Roman"/>
          <w:b/>
          <w:sz w:val="32"/>
          <w:szCs w:val="32"/>
        </w:rPr>
      </w:pPr>
      <w:r>
        <w:rPr>
          <w:rStyle w:val="15"/>
          <w:rFonts w:hint="default" w:ascii="Times New Roman" w:hAnsi="Times New Roman" w:eastAsia="仿宋" w:cs="Times New Roman"/>
          <w:bCs/>
          <w:sz w:val="32"/>
          <w:szCs w:val="32"/>
        </w:rPr>
        <w:t>3.住房保障支出221（类）22102（款）2210201（项）:</w:t>
      </w:r>
      <w:r>
        <w:rPr>
          <w:rStyle w:val="15"/>
          <w:rFonts w:hint="default" w:ascii="Times New Roman" w:hAnsi="Times New Roman" w:eastAsia="仿宋" w:cs="Times New Roman"/>
          <w:b w:val="0"/>
          <w:bCs/>
          <w:sz w:val="32"/>
          <w:szCs w:val="32"/>
        </w:rPr>
        <w:t>支出决算为20.58万元，完成预算94%。</w:t>
      </w:r>
    </w:p>
    <w:p>
      <w:pPr>
        <w:tabs>
          <w:tab w:val="right" w:pos="8306"/>
        </w:tabs>
        <w:spacing w:line="600" w:lineRule="exact"/>
        <w:ind w:firstLine="640"/>
        <w:outlineLvl w:val="1"/>
        <w:rPr>
          <w:rStyle w:val="26"/>
          <w:rFonts w:hint="default" w:ascii="Times New Roman" w:hAnsi="Times New Roman" w:cs="Times New Roman"/>
        </w:rPr>
      </w:pPr>
      <w:bookmarkStart w:id="34" w:name="_Toc15377214"/>
      <w:bookmarkStart w:id="35" w:name="_Toc15396608"/>
      <w:r>
        <w:rPr>
          <w:rFonts w:hint="default" w:ascii="Times New Roman" w:hAnsi="Times New Roman" w:eastAsia="黑体" w:cs="Times New Roman"/>
          <w:sz w:val="32"/>
          <w:szCs w:val="32"/>
        </w:rPr>
        <w:t>六</w:t>
      </w:r>
      <w:r>
        <w:rPr>
          <w:rFonts w:hint="default" w:ascii="Times New Roman" w:hAnsi="Times New Roman" w:eastAsia="黑体" w:cs="Times New Roman"/>
          <w:b/>
          <w:sz w:val="32"/>
          <w:szCs w:val="32"/>
        </w:rPr>
        <w:t>、一</w:t>
      </w:r>
      <w:r>
        <w:rPr>
          <w:rStyle w:val="26"/>
          <w:rFonts w:hint="default" w:ascii="Times New Roman" w:hAnsi="Times New Roman" w:eastAsia="黑体" w:cs="Times New Roman"/>
          <w:b w:val="0"/>
        </w:rPr>
        <w:t>般公共预算财政拨款基本支出决算情况说明</w:t>
      </w:r>
      <w:bookmarkEnd w:id="34"/>
      <w:bookmarkEnd w:id="35"/>
      <w:r>
        <w:rPr>
          <w:rStyle w:val="26"/>
          <w:rFonts w:hint="default" w:ascii="Times New Roman" w:hAnsi="Times New Roman" w:eastAsia="黑体" w:cs="Times New Roman"/>
          <w:b w:val="0"/>
        </w:rPr>
        <w:tab/>
      </w:r>
    </w:p>
    <w:p>
      <w:pPr>
        <w:spacing w:line="600" w:lineRule="exact"/>
        <w:ind w:firstLine="645"/>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2021年一般公共预算财政拨款基本支出187.93万元，其中：</w:t>
      </w:r>
    </w:p>
    <w:p>
      <w:pPr>
        <w:spacing w:line="600" w:lineRule="exact"/>
        <w:ind w:firstLine="645"/>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人员经费170.71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用经费17.21万元，主要包括：办公费、印刷费、咨询费、手续费、水费、电费、邮电费、差旅费、因公出国（境）费用、维修（护）费、租赁费、会议费、培训费、公务接待费、劳务费、委托业务费、工会经费、福利费、公务用车运行维护费、其他交通费、税金及附加费用、其他商品和服务支出、办公设备购置。</w:t>
      </w:r>
    </w:p>
    <w:p>
      <w:pPr>
        <w:spacing w:line="600" w:lineRule="exact"/>
        <w:ind w:firstLine="640"/>
        <w:outlineLvl w:val="1"/>
        <w:rPr>
          <w:rStyle w:val="26"/>
          <w:rFonts w:hint="default" w:ascii="Times New Roman" w:hAnsi="Times New Roman" w:eastAsia="黑体" w:cs="Times New Roman"/>
          <w:b w:val="0"/>
        </w:rPr>
      </w:pPr>
      <w:bookmarkStart w:id="36" w:name="_Toc15377215"/>
      <w:bookmarkStart w:id="37" w:name="_Toc15396609"/>
      <w:r>
        <w:rPr>
          <w:rFonts w:hint="default" w:ascii="Times New Roman" w:hAnsi="Times New Roman" w:eastAsia="黑体" w:cs="Times New Roman"/>
          <w:sz w:val="32"/>
          <w:szCs w:val="32"/>
        </w:rPr>
        <w:t>七、</w:t>
      </w:r>
      <w:r>
        <w:rPr>
          <w:rStyle w:val="26"/>
          <w:rFonts w:hint="default" w:ascii="Times New Roman" w:hAnsi="Times New Roman" w:eastAsia="黑体" w:cs="Times New Roman"/>
        </w:rPr>
        <w:t>“</w:t>
      </w:r>
      <w:r>
        <w:rPr>
          <w:rStyle w:val="26"/>
          <w:rFonts w:hint="default" w:ascii="Times New Roman" w:hAnsi="Times New Roman" w:eastAsia="黑体" w:cs="Times New Roman"/>
          <w:b w:val="0"/>
        </w:rPr>
        <w:t>三公”经费财政拨款支出决算情况说明</w:t>
      </w:r>
      <w:bookmarkEnd w:id="36"/>
      <w:bookmarkEnd w:id="37"/>
    </w:p>
    <w:p>
      <w:pPr>
        <w:spacing w:line="600" w:lineRule="exact"/>
        <w:ind w:firstLine="640"/>
        <w:outlineLvl w:val="2"/>
        <w:rPr>
          <w:rFonts w:hint="default" w:ascii="Times New Roman" w:hAnsi="Times New Roman" w:eastAsia="仿宋" w:cs="Times New Roman"/>
          <w:b/>
          <w:sz w:val="32"/>
          <w:szCs w:val="32"/>
        </w:rPr>
      </w:pPr>
      <w:bookmarkStart w:id="38" w:name="_Toc15377216"/>
      <w:r>
        <w:rPr>
          <w:rFonts w:hint="default" w:ascii="Times New Roman" w:hAnsi="Times New Roman" w:eastAsia="仿宋" w:cs="Times New Roman"/>
          <w:b/>
          <w:sz w:val="32"/>
          <w:szCs w:val="32"/>
        </w:rPr>
        <w:t>（一）“三公”经费财政拨款支出决算总体情况说明</w:t>
      </w:r>
      <w:bookmarkEnd w:id="38"/>
    </w:p>
    <w:p>
      <w:pPr>
        <w:spacing w:line="600" w:lineRule="exact"/>
        <w:ind w:firstLine="640"/>
        <w:rPr>
          <w:rFonts w:hint="default" w:ascii="Times New Roman" w:hAnsi="Times New Roman" w:eastAsia="仿宋" w:cs="Times New Roman"/>
          <w:b/>
          <w:sz w:val="32"/>
          <w:szCs w:val="32"/>
        </w:rPr>
      </w:pPr>
      <w:r>
        <w:rPr>
          <w:rFonts w:hint="default" w:ascii="Times New Roman" w:hAnsi="Times New Roman" w:eastAsia="仿宋" w:cs="Times New Roman"/>
          <w:sz w:val="32"/>
          <w:szCs w:val="32"/>
        </w:rPr>
        <w:t>2021年“三公”经费财政拨款支出决算为0万元，完成预算0%。</w:t>
      </w:r>
    </w:p>
    <w:p>
      <w:pPr>
        <w:spacing w:line="600" w:lineRule="exact"/>
        <w:ind w:firstLine="640"/>
        <w:outlineLvl w:val="2"/>
        <w:rPr>
          <w:rFonts w:hint="default" w:ascii="Times New Roman" w:hAnsi="Times New Roman" w:eastAsia="仿宋" w:cs="Times New Roman"/>
          <w:b/>
          <w:sz w:val="32"/>
          <w:szCs w:val="32"/>
        </w:rPr>
      </w:pPr>
      <w:bookmarkStart w:id="39" w:name="_Toc15377217"/>
      <w:r>
        <w:rPr>
          <w:rFonts w:hint="default" w:ascii="Times New Roman" w:hAnsi="Times New Roman" w:eastAsia="仿宋" w:cs="Times New Roman"/>
          <w:b/>
          <w:sz w:val="32"/>
          <w:szCs w:val="32"/>
        </w:rPr>
        <w:t>（二）“三公”经费财政拨款支出决算具体情况说明</w:t>
      </w:r>
      <w:bookmarkEnd w:id="39"/>
    </w:p>
    <w:p>
      <w:pPr>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2021年“三公”经费财政拨款支出决算中，因公出国（境）费支出决算0万元，占0%；公务用车购置及运行维护费支出决算0万元，占0%；公务接待费支出决算0万元，占0%。具体情况如下：</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1.因公出国（境）经费支出0</w:t>
      </w:r>
      <w:r>
        <w:rPr>
          <w:rFonts w:hint="default" w:ascii="Times New Roman" w:hAnsi="Times New Roman" w:eastAsia="仿宋_GB2312" w:cs="Times New Roman"/>
          <w:sz w:val="32"/>
          <w:szCs w:val="32"/>
        </w:rPr>
        <w:t>万元，</w:t>
      </w:r>
      <w:r>
        <w:rPr>
          <w:rStyle w:val="15"/>
          <w:rFonts w:hint="default" w:ascii="Times New Roman" w:hAnsi="Times New Roman" w:eastAsia="仿宋" w:cs="Times New Roman"/>
          <w:b w:val="0"/>
          <w:bCs/>
          <w:sz w:val="32"/>
          <w:szCs w:val="32"/>
        </w:rPr>
        <w:t>完成预算0%。</w:t>
      </w:r>
      <w:r>
        <w:rPr>
          <w:rFonts w:hint="default" w:ascii="Times New Roman" w:hAnsi="Times New Roman" w:eastAsia="仿宋_GB2312" w:cs="Times New Roman"/>
          <w:sz w:val="32"/>
          <w:szCs w:val="32"/>
        </w:rPr>
        <w:t>全年安排因公出国（境）团组0次，出国（境）0人。因公出国（境）支出决算与2020年持平。</w:t>
      </w:r>
    </w:p>
    <w:p>
      <w:pPr>
        <w:spacing w:line="600" w:lineRule="exact"/>
        <w:ind w:firstLine="64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2.公务用车购置及运行维护费支出</w:t>
      </w:r>
      <w:r>
        <w:rPr>
          <w:rFonts w:hint="default" w:ascii="Times New Roman" w:hAnsi="Times New Roman" w:eastAsia="仿宋_GB2312" w:cs="Times New Roman"/>
          <w:sz w:val="32"/>
          <w:szCs w:val="32"/>
        </w:rPr>
        <w:t>0万元,</w:t>
      </w:r>
      <w:r>
        <w:rPr>
          <w:rStyle w:val="15"/>
          <w:rFonts w:hint="default" w:ascii="Times New Roman" w:hAnsi="Times New Roman" w:eastAsia="仿宋" w:cs="Times New Roman"/>
          <w:b w:val="0"/>
          <w:bCs/>
          <w:sz w:val="32"/>
          <w:szCs w:val="32"/>
        </w:rPr>
        <w:t>完成预算0%。</w:t>
      </w:r>
      <w:r>
        <w:rPr>
          <w:rFonts w:hint="default" w:ascii="Times New Roman" w:hAnsi="Times New Roman" w:eastAsia="仿宋_GB2312" w:cs="Times New Roman"/>
          <w:sz w:val="32"/>
          <w:szCs w:val="32"/>
        </w:rPr>
        <w:t>公务用车购置及运行维护费支出决算与2020年持平。</w:t>
      </w:r>
    </w:p>
    <w:p>
      <w:pPr>
        <w:spacing w:line="60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其中：</w:t>
      </w:r>
      <w:r>
        <w:rPr>
          <w:rFonts w:hint="default" w:ascii="Times New Roman" w:hAnsi="Times New Roman" w:eastAsia="仿宋_GB2312" w:cs="Times New Roman"/>
          <w:b/>
          <w:sz w:val="32"/>
          <w:szCs w:val="32"/>
        </w:rPr>
        <w:t>公务用车购置支出</w:t>
      </w:r>
      <w:r>
        <w:rPr>
          <w:rFonts w:hint="default" w:ascii="Times New Roman" w:hAnsi="Times New Roman" w:eastAsia="仿宋_GB2312" w:cs="Times New Roman"/>
          <w:sz w:val="32"/>
          <w:szCs w:val="32"/>
        </w:rPr>
        <w:t>0万元。全年按规定更新购置公务用车0辆，其中：轿车0辆、金额0万元，越野车0辆、金额0万元，载客汽车0辆、金额0万元。截至2021年12月底，单位共有公务用车0辆，其中：轿车0辆、越野车0辆、载客汽车0辆。</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公务用车运行维护费支出</w:t>
      </w:r>
      <w:r>
        <w:rPr>
          <w:rFonts w:hint="default" w:ascii="Times New Roman" w:hAnsi="Times New Roman" w:eastAsia="仿宋_GB2312" w:cs="Times New Roman"/>
          <w:sz w:val="32"/>
          <w:szCs w:val="32"/>
        </w:rPr>
        <w:t>0万元。</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3.公务接待费支出</w:t>
      </w:r>
      <w:r>
        <w:rPr>
          <w:rFonts w:hint="default" w:ascii="Times New Roman" w:hAnsi="Times New Roman" w:eastAsia="仿宋_GB2312" w:cs="Times New Roman"/>
          <w:sz w:val="32"/>
          <w:szCs w:val="32"/>
        </w:rPr>
        <w:t>0万元，</w:t>
      </w:r>
      <w:r>
        <w:rPr>
          <w:rStyle w:val="15"/>
          <w:rFonts w:hint="default" w:ascii="Times New Roman" w:hAnsi="Times New Roman" w:eastAsia="仿宋" w:cs="Times New Roman"/>
          <w:b w:val="0"/>
          <w:bCs/>
          <w:sz w:val="32"/>
          <w:szCs w:val="32"/>
        </w:rPr>
        <w:t>完成预算0%。</w:t>
      </w:r>
      <w:r>
        <w:rPr>
          <w:rFonts w:hint="default" w:ascii="Times New Roman" w:hAnsi="Times New Roman" w:eastAsia="仿宋_GB2312" w:cs="Times New Roman"/>
          <w:sz w:val="32"/>
          <w:szCs w:val="32"/>
        </w:rPr>
        <w:t>公务接待费支出决算与2020年持平。其中：</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 w:cs="Times New Roman"/>
          <w:b/>
          <w:sz w:val="32"/>
          <w:szCs w:val="32"/>
        </w:rPr>
        <w:t>国内公务接待支出</w:t>
      </w:r>
      <w:r>
        <w:rPr>
          <w:rFonts w:hint="default" w:ascii="Times New Roman" w:hAnsi="Times New Roman" w:eastAsia="仿宋" w:cs="Times New Roman"/>
          <w:sz w:val="32"/>
          <w:szCs w:val="32"/>
        </w:rPr>
        <w:t>0</w:t>
      </w:r>
      <w:r>
        <w:rPr>
          <w:rFonts w:hint="default" w:ascii="Times New Roman" w:hAnsi="Times New Roman" w:eastAsia="仿宋_GB2312" w:cs="Times New Roman"/>
          <w:sz w:val="32"/>
          <w:szCs w:val="32"/>
        </w:rPr>
        <w:t>万元，国内公务接待0批次，0人次（不包括陪同人员），共计支出0万元。</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 w:cs="Times New Roman"/>
          <w:b/>
          <w:sz w:val="32"/>
          <w:szCs w:val="32"/>
        </w:rPr>
        <w:t>外事接待支出</w:t>
      </w:r>
      <w:r>
        <w:rPr>
          <w:rFonts w:hint="default" w:ascii="Times New Roman" w:hAnsi="Times New Roman" w:eastAsia="仿宋" w:cs="Times New Roman"/>
          <w:sz w:val="32"/>
          <w:szCs w:val="32"/>
        </w:rPr>
        <w:t>0</w:t>
      </w:r>
      <w:r>
        <w:rPr>
          <w:rFonts w:hint="default" w:ascii="Times New Roman" w:hAnsi="Times New Roman" w:eastAsia="仿宋_GB2312" w:cs="Times New Roman"/>
          <w:sz w:val="32"/>
          <w:szCs w:val="32"/>
        </w:rPr>
        <w:t>万元，外事接待0批次，0人，共计支出0万元。</w:t>
      </w:r>
    </w:p>
    <w:p>
      <w:pPr>
        <w:spacing w:line="600" w:lineRule="exact"/>
        <w:ind w:firstLine="640"/>
        <w:outlineLvl w:val="1"/>
        <w:rPr>
          <w:rStyle w:val="26"/>
          <w:rFonts w:hint="default" w:ascii="Times New Roman" w:hAnsi="Times New Roman" w:eastAsia="黑体" w:cs="Times New Roman"/>
        </w:rPr>
      </w:pPr>
      <w:bookmarkStart w:id="40" w:name="_Toc15377218"/>
      <w:bookmarkStart w:id="41" w:name="_Toc15396610"/>
      <w:r>
        <w:rPr>
          <w:rFonts w:hint="default" w:ascii="Times New Roman" w:hAnsi="Times New Roman" w:eastAsia="黑体" w:cs="Times New Roman"/>
          <w:sz w:val="32"/>
          <w:szCs w:val="32"/>
        </w:rPr>
        <w:t>八、</w:t>
      </w:r>
      <w:r>
        <w:rPr>
          <w:rStyle w:val="26"/>
          <w:rFonts w:hint="default" w:ascii="Times New Roman" w:hAnsi="Times New Roman" w:eastAsia="黑体" w:cs="Times New Roman"/>
          <w:b w:val="0"/>
        </w:rPr>
        <w:t>政府性基金预算支出决算情况说明</w:t>
      </w:r>
      <w:bookmarkEnd w:id="40"/>
      <w:bookmarkEnd w:id="41"/>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2021年政府性基金预算财政拨款支出0万元。</w:t>
      </w:r>
    </w:p>
    <w:p>
      <w:pPr>
        <w:numPr>
          <w:ilvl w:val="0"/>
          <w:numId w:val="1"/>
        </w:numPr>
        <w:spacing w:line="600" w:lineRule="exact"/>
        <w:ind w:firstLine="640"/>
        <w:outlineLvl w:val="1"/>
        <w:rPr>
          <w:rStyle w:val="26"/>
          <w:rFonts w:hint="default" w:ascii="Times New Roman" w:hAnsi="Times New Roman" w:eastAsia="黑体" w:cs="Times New Roman"/>
          <w:b w:val="0"/>
        </w:rPr>
      </w:pPr>
      <w:bookmarkStart w:id="42" w:name="_Toc15377219"/>
      <w:bookmarkStart w:id="43" w:name="_Toc15396611"/>
      <w:r>
        <w:rPr>
          <w:rStyle w:val="26"/>
          <w:rFonts w:hint="default" w:ascii="Times New Roman" w:hAnsi="Times New Roman" w:eastAsia="黑体" w:cs="Times New Roman"/>
          <w:b w:val="0"/>
        </w:rPr>
        <w:t>国有资本经营预算支出决算情况说明</w:t>
      </w:r>
      <w:bookmarkEnd w:id="42"/>
      <w:bookmarkEnd w:id="43"/>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2021年国有资本经营预算财政拨款支出0万元。</w:t>
      </w:r>
    </w:p>
    <w:p>
      <w:pPr>
        <w:numPr>
          <w:ilvl w:val="0"/>
          <w:numId w:val="1"/>
        </w:numPr>
        <w:spacing w:line="600" w:lineRule="exact"/>
        <w:ind w:firstLine="640"/>
        <w:outlineLvl w:val="1"/>
        <w:rPr>
          <w:rStyle w:val="26"/>
          <w:rFonts w:hint="default" w:ascii="Times New Roman" w:hAnsi="Times New Roman" w:eastAsia="黑体" w:cs="Times New Roman"/>
          <w:b w:val="0"/>
        </w:rPr>
      </w:pPr>
      <w:bookmarkStart w:id="44" w:name="_Toc15396612"/>
      <w:bookmarkStart w:id="45" w:name="_Toc15377221"/>
      <w:r>
        <w:rPr>
          <w:rStyle w:val="26"/>
          <w:rFonts w:hint="default" w:ascii="Times New Roman" w:hAnsi="Times New Roman" w:eastAsia="黑体" w:cs="Times New Roman"/>
          <w:b w:val="0"/>
        </w:rPr>
        <w:t>其他重要事项的情况说明</w:t>
      </w:r>
      <w:bookmarkEnd w:id="44"/>
      <w:bookmarkEnd w:id="45"/>
    </w:p>
    <w:p>
      <w:pPr>
        <w:spacing w:line="600" w:lineRule="exact"/>
        <w:ind w:firstLine="643" w:firstLineChars="200"/>
        <w:outlineLvl w:val="2"/>
        <w:rPr>
          <w:rFonts w:hint="default" w:ascii="Times New Roman" w:hAnsi="Times New Roman" w:eastAsia="仿宋" w:cs="Times New Roman"/>
          <w:sz w:val="32"/>
          <w:szCs w:val="32"/>
        </w:rPr>
      </w:pPr>
      <w:bookmarkStart w:id="46" w:name="_Toc15377222"/>
      <w:r>
        <w:rPr>
          <w:rFonts w:hint="default" w:ascii="Times New Roman" w:hAnsi="Times New Roman" w:eastAsia="仿宋" w:cs="Times New Roman"/>
          <w:b/>
          <w:sz w:val="32"/>
          <w:szCs w:val="32"/>
        </w:rPr>
        <w:t>（一）机关运行经费支出情况</w:t>
      </w:r>
      <w:bookmarkEnd w:id="46"/>
    </w:p>
    <w:p>
      <w:pPr>
        <w:spacing w:line="600" w:lineRule="exact"/>
        <w:ind w:firstLine="64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2021年，攀枝花市盐边生态环境局机关运行经费支出17.21万元，</w:t>
      </w:r>
      <w:r>
        <w:rPr>
          <w:rFonts w:hint="default" w:ascii="Times New Roman" w:hAnsi="Times New Roman" w:eastAsia="仿宋" w:cs="Times New Roman"/>
          <w:sz w:val="32"/>
          <w:szCs w:val="32"/>
        </w:rPr>
        <w:t>因盐边生态环境监测站2021年新成为独立核算单位，无上年对比数。</w:t>
      </w:r>
    </w:p>
    <w:p>
      <w:pPr>
        <w:spacing w:line="600" w:lineRule="exact"/>
        <w:ind w:firstLine="643" w:firstLineChars="200"/>
        <w:rPr>
          <w:rFonts w:hint="default" w:ascii="Times New Roman" w:hAnsi="Times New Roman" w:eastAsia="仿宋" w:cs="Times New Roman"/>
          <w:b/>
          <w:sz w:val="32"/>
          <w:szCs w:val="32"/>
        </w:rPr>
      </w:pPr>
      <w:bookmarkStart w:id="47" w:name="_Toc15377223"/>
      <w:r>
        <w:rPr>
          <w:rFonts w:hint="default" w:ascii="Times New Roman" w:hAnsi="Times New Roman" w:eastAsia="仿宋" w:cs="Times New Roman"/>
          <w:b/>
          <w:sz w:val="32"/>
          <w:szCs w:val="32"/>
        </w:rPr>
        <w:t>（二）政府采购支出情况</w:t>
      </w:r>
      <w:bookmarkEnd w:id="47"/>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攀枝花市盐边生态环境局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autoSpaceDE w:val="0"/>
        <w:autoSpaceDN w:val="0"/>
        <w:adjustRightInd w:val="0"/>
        <w:spacing w:line="600" w:lineRule="exact"/>
        <w:ind w:firstLine="643" w:firstLineChars="200"/>
        <w:jc w:val="left"/>
        <w:outlineLvl w:val="2"/>
        <w:rPr>
          <w:rFonts w:hint="default" w:ascii="Times New Roman" w:hAnsi="Times New Roman" w:eastAsia="仿宋" w:cs="Times New Roman"/>
          <w:b/>
          <w:sz w:val="32"/>
          <w:szCs w:val="32"/>
        </w:rPr>
      </w:pPr>
      <w:bookmarkStart w:id="48" w:name="_Toc15377224"/>
      <w:r>
        <w:rPr>
          <w:rFonts w:hint="default" w:ascii="Times New Roman" w:hAnsi="Times New Roman" w:eastAsia="仿宋" w:cs="Times New Roman"/>
          <w:b/>
          <w:sz w:val="32"/>
          <w:szCs w:val="32"/>
        </w:rPr>
        <w:t>（三）国有资产占有使用情况</w:t>
      </w:r>
      <w:bookmarkEnd w:id="48"/>
    </w:p>
    <w:p>
      <w:pPr>
        <w:autoSpaceDE w:val="0"/>
        <w:autoSpaceDN w:val="0"/>
        <w:adjustRightInd w:val="0"/>
        <w:spacing w:line="6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截至2021年12月31日，攀枝花市盐边生态环境局共有车辆0辆，其中：主要领导干部用车0辆、机要通信用车0辆、应急保障用车0辆、其他用车0辆。单价50万元以上通用设备0台（套），单价100万元以上专用设备0台（套）。</w:t>
      </w:r>
    </w:p>
    <w:p>
      <w:pPr>
        <w:autoSpaceDE w:val="0"/>
        <w:autoSpaceDN w:val="0"/>
        <w:adjustRightInd w:val="0"/>
        <w:spacing w:line="600" w:lineRule="exact"/>
        <w:ind w:firstLine="643" w:firstLineChars="200"/>
        <w:jc w:val="left"/>
        <w:outlineLvl w:val="2"/>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（四）预算绩效管理情况</w:t>
      </w:r>
    </w:p>
    <w:p>
      <w:pPr>
        <w:spacing w:line="5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预算绩效管理要求，本单位在2021年度预算编制阶段，组织对开展的监测、执法监测、生态环境质量监测工作保障经费1个项目开展了预算事前绩效评估，对1个项目编制了绩效目标，预算执行过程中，选取1个项目开展绩效监控，年终执行完毕后，对1个项目开展了绩效自评，2021年特定目标类部门预算项目绩效目标自评表见附件（第四部分）。</w:t>
      </w:r>
    </w:p>
    <w:p>
      <w:pPr>
        <w:pStyle w:val="2"/>
        <w:spacing w:before="93"/>
        <w:rPr>
          <w:rFonts w:hint="default" w:ascii="Times New Roman" w:hAnsi="Times New Roman" w:cs="Times New Roman"/>
          <w:highlight w:val="yellow"/>
        </w:rPr>
      </w:pPr>
    </w:p>
    <w:p>
      <w:pPr>
        <w:widowControl/>
        <w:jc w:val="left"/>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br w:type="page"/>
      </w:r>
    </w:p>
    <w:p>
      <w:pPr>
        <w:numPr>
          <w:ilvl w:val="0"/>
          <w:numId w:val="2"/>
        </w:numPr>
        <w:spacing w:line="600" w:lineRule="exact"/>
        <w:ind w:firstLine="660" w:firstLineChars="150"/>
        <w:jc w:val="center"/>
        <w:outlineLvl w:val="0"/>
        <w:rPr>
          <w:rStyle w:val="25"/>
          <w:rFonts w:hint="default" w:ascii="Times New Roman" w:hAnsi="Times New Roman" w:eastAsia="黑体" w:cs="Times New Roman"/>
          <w:b w:val="0"/>
        </w:rPr>
      </w:pPr>
      <w:bookmarkStart w:id="49" w:name="_Toc15377225"/>
      <w:bookmarkStart w:id="50" w:name="_Toc15396613"/>
      <w:r>
        <w:rPr>
          <w:rFonts w:hint="default" w:ascii="Times New Roman" w:hAnsi="Times New Roman" w:eastAsia="黑体" w:cs="Times New Roman"/>
          <w:sz w:val="44"/>
          <w:szCs w:val="44"/>
        </w:rPr>
        <w:t>名</w:t>
      </w:r>
      <w:r>
        <w:rPr>
          <w:rStyle w:val="25"/>
          <w:rFonts w:hint="default" w:ascii="Times New Roman" w:hAnsi="Times New Roman" w:eastAsia="黑体" w:cs="Times New Roman"/>
          <w:b w:val="0"/>
        </w:rPr>
        <w:t>词解释</w:t>
      </w:r>
      <w:bookmarkEnd w:id="49"/>
      <w:bookmarkEnd w:id="50"/>
    </w:p>
    <w:p>
      <w:pPr>
        <w:spacing w:line="600" w:lineRule="exact"/>
        <w:jc w:val="left"/>
        <w:rPr>
          <w:rFonts w:hint="default" w:ascii="Times New Roman" w:hAnsi="Times New Roman" w:cs="Times New Roman"/>
          <w:b/>
          <w:sz w:val="44"/>
          <w:szCs w:val="44"/>
        </w:rPr>
      </w:pPr>
    </w:p>
    <w:p>
      <w:pPr>
        <w:pStyle w:val="23"/>
        <w:spacing w:line="560" w:lineRule="exact"/>
        <w:ind w:firstLine="640" w:firstLineChars="2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1.财政拨款收入：指单位从同级财政部门取得的财政预算资金。</w:t>
      </w:r>
    </w:p>
    <w:p>
      <w:pPr>
        <w:pStyle w:val="23"/>
        <w:spacing w:line="560" w:lineRule="exact"/>
        <w:ind w:firstLine="640" w:firstLineChars="2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2.其他收入：指单位取得的除上述收入以外的各项收入。主要是仁和区财政安排资金收入等。</w:t>
      </w:r>
    </w:p>
    <w:p>
      <w:pPr>
        <w:pStyle w:val="23"/>
        <w:spacing w:line="560" w:lineRule="exact"/>
        <w:ind w:firstLine="640" w:firstLineChars="2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3.使用非财政拨款结余：指事业单位使用以前年度积累的非财政拨款结余弥补当年收支差额的金额。</w:t>
      </w:r>
    </w:p>
    <w:p>
      <w:pPr>
        <w:pStyle w:val="23"/>
        <w:spacing w:line="560" w:lineRule="exact"/>
        <w:ind w:firstLine="640" w:firstLineChars="2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4.年初结转和结余：指以前年度尚未完成、结转到本年按有关规定继续使用的资金。</w:t>
      </w:r>
    </w:p>
    <w:p>
      <w:pPr>
        <w:pStyle w:val="23"/>
        <w:spacing w:line="560" w:lineRule="exact"/>
        <w:ind w:firstLine="640" w:firstLineChars="2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5、年末结转和结余：指单位按有关规定结转到下年或以后年度继续使用的资金。</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 w:cs="Times New Roman"/>
          <w:sz w:val="32"/>
          <w:szCs w:val="32"/>
        </w:rPr>
        <w:t>6.社会保障和就业（类）行政事业单位养老（款）事业单位离退休（项）：指</w:t>
      </w:r>
      <w:r>
        <w:rPr>
          <w:rFonts w:hint="default" w:ascii="Times New Roman" w:hAnsi="Times New Roman" w:eastAsia="仿宋" w:cs="Times New Roman"/>
          <w:color w:val="000000"/>
          <w:sz w:val="32"/>
          <w:szCs w:val="32"/>
        </w:rPr>
        <w:t>事业开支的离退休经费</w:t>
      </w:r>
      <w:r>
        <w:rPr>
          <w:rFonts w:hint="default" w:ascii="Times New Roman" w:hAnsi="Times New Roman" w:eastAsia="仿宋_GB2312" w:cs="Times New Roman"/>
          <w:sz w:val="32"/>
          <w:szCs w:val="32"/>
        </w:rPr>
        <w:t>。</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cs="Times New Roman"/>
          <w:sz w:val="32"/>
          <w:szCs w:val="32"/>
        </w:rPr>
        <w:t>7</w:t>
      </w:r>
      <w:r>
        <w:rPr>
          <w:rFonts w:hint="default" w:ascii="Times New Roman" w:hAnsi="Times New Roman" w:cs="Times New Roman"/>
        </w:rPr>
        <w:t>.</w:t>
      </w:r>
      <w:r>
        <w:rPr>
          <w:rFonts w:hint="default" w:ascii="Times New Roman" w:hAnsi="Times New Roman" w:eastAsia="仿宋" w:cs="Times New Roman"/>
          <w:color w:val="000000"/>
          <w:sz w:val="32"/>
          <w:szCs w:val="32"/>
        </w:rPr>
        <w:t>社会保障和就业（类）行政事业单位养老（款）机关事业单位基本养老保险缴费支出（项）：指机关事业单位实施养老保险制度由单位缴纳的基本养老保险支出。</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8.社会保障和就业（类）行政事业单位养老（款）机关事业单位职业年金缴费（项）：指机关事业单位实施养老保险制度由单位实际缴纳的职业年金支出。</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9.卫生健康（类）行政事业单位医疗（款）公务员医疗补助（项）：指财政部门集中安排的公务员医疗补助经费。</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10.节能环保（类）环境保护管理事务（款）其他环境保护管理事务支出（项）：指除行政运行、一般行政管理事务、环境保护宣传、环境保护法规规划及标准、环境国际合作及履约、环境保护行政许可以外其他用于环境保护管理事务方面的支出。</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11.节能环保（类）污染防治（款）其他污染防治支出（项）：指除大气、水体、噪声、固体废弃物与化学品、放射源和放射性废物监管、辐射以外其他用于污染防治方面的支出。</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12.住房保障（类）住房改革（款）住房公积金（项）：指行政事业单位按人力资源和社会保障部、财政部规定的基本工资和津贴补贴以及规定比例为职工缴纳的住房公积金。</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13.基本支出：指为保障机构正常运转、完成日常工作任务而发生的人员支出和公用支出。</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14.项目支出：指在基本支出之外为完成特定行政任务和事业发展目标所发生的支出。</w:t>
      </w:r>
    </w:p>
    <w:p>
      <w:pPr>
        <w:pStyle w:val="23"/>
        <w:spacing w:line="560" w:lineRule="exact"/>
        <w:ind w:firstLine="640" w:firstLineChars="2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15.“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643" w:firstLineChars="200"/>
        <w:rPr>
          <w:rFonts w:hint="default" w:ascii="Times New Roman" w:hAnsi="Times New Roman" w:eastAsia="仿宋" w:cs="Times New Roman"/>
          <w:b/>
          <w:sz w:val="32"/>
          <w:szCs w:val="32"/>
        </w:rPr>
      </w:pPr>
    </w:p>
    <w:p>
      <w:pPr>
        <w:spacing w:line="600" w:lineRule="exact"/>
        <w:jc w:val="center"/>
        <w:outlineLvl w:val="0"/>
        <w:rPr>
          <w:rStyle w:val="25"/>
          <w:rFonts w:hint="default" w:ascii="Times New Roman" w:hAnsi="Times New Roman" w:eastAsia="黑体" w:cs="Times New Roman"/>
          <w:b w:val="0"/>
        </w:rPr>
      </w:pPr>
      <w:bookmarkStart w:id="51" w:name="_Toc15377226"/>
      <w:r>
        <w:rPr>
          <w:rFonts w:hint="default" w:ascii="Times New Roman" w:hAnsi="Times New Roman" w:cs="Times New Roman"/>
          <w:b/>
          <w:sz w:val="44"/>
          <w:szCs w:val="44"/>
        </w:rPr>
        <w:br w:type="page"/>
      </w:r>
      <w:bookmarkStart w:id="52" w:name="_Toc15396614"/>
      <w:r>
        <w:rPr>
          <w:rFonts w:hint="default" w:ascii="Times New Roman" w:hAnsi="Times New Roman" w:eastAsia="黑体" w:cs="Times New Roman"/>
          <w:sz w:val="44"/>
          <w:szCs w:val="44"/>
        </w:rPr>
        <w:t>第</w:t>
      </w:r>
      <w:r>
        <w:rPr>
          <w:rStyle w:val="25"/>
          <w:rFonts w:hint="default" w:ascii="Times New Roman" w:hAnsi="Times New Roman" w:eastAsia="黑体" w:cs="Times New Roman"/>
          <w:b w:val="0"/>
        </w:rPr>
        <w:t>四部分 附件</w:t>
      </w:r>
      <w:bookmarkEnd w:id="52"/>
    </w:p>
    <w:p>
      <w:pPr>
        <w:spacing w:line="572" w:lineRule="exact"/>
        <w:jc w:val="left"/>
        <w:outlineLvl w:val="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附件</w:t>
      </w: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sz w:val="32"/>
                <w:szCs w:val="32"/>
              </w:rPr>
            </w:pPr>
            <w:bookmarkStart w:id="53" w:name="_Toc15396618"/>
            <w:r>
              <w:rPr>
                <w:rFonts w:hint="default" w:ascii="Times New Roman" w:hAnsi="Times New Roman" w:cs="Times New Roman"/>
                <w:b/>
                <w:sz w:val="32"/>
                <w:szCs w:val="32"/>
              </w:rPr>
              <w:t>2021年部门预算项目绩效目标自评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sz w:val="24"/>
              </w:rPr>
              <w:t>攀枝花市生态环境监测站651000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攀枝花市盐边生态环境局</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4"/>
              </w:rPr>
            </w:pPr>
            <w:r>
              <w:rPr>
                <w:rFonts w:hint="default" w:ascii="Times New Roman" w:hAnsi="Times New Roman" w:cs="Times New Roman"/>
                <w:kern w:val="0"/>
                <w:sz w:val="24"/>
              </w:rPr>
              <w:t>项目预算</w:t>
            </w:r>
          </w:p>
          <w:p>
            <w:pPr>
              <w:widowControl/>
              <w:spacing w:line="320" w:lineRule="exact"/>
              <w:jc w:val="center"/>
              <w:textAlignment w:val="center"/>
              <w:rPr>
                <w:rFonts w:hint="default" w:ascii="Times New Roman" w:hAnsi="Times New Roman" w:cs="Times New Roman"/>
                <w:kern w:val="0"/>
                <w:sz w:val="24"/>
              </w:rPr>
            </w:pPr>
            <w:r>
              <w:rPr>
                <w:rFonts w:hint="default" w:ascii="Times New Roman" w:hAnsi="Times New Roman" w:cs="Times New Roman"/>
                <w:kern w:val="0"/>
                <w:sz w:val="24"/>
              </w:rPr>
              <w:t>执行情况</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sz w:val="24"/>
              </w:rPr>
              <w:t>20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default" w:ascii="Times New Roman" w:hAnsi="Times New Roman" w:cs="Times New Roman"/>
                <w:sz w:val="24"/>
              </w:rPr>
            </w:pPr>
            <w:r>
              <w:rPr>
                <w:rFonts w:hint="default" w:ascii="Times New Roman" w:hAnsi="Times New Roman" w:cs="Times New Roman"/>
                <w:sz w:val="24"/>
              </w:rPr>
              <w:t>8.66</w:t>
            </w: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sz w:val="24"/>
              </w:rPr>
              <w:t>20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sz w:val="24"/>
              </w:rPr>
              <w:t>8.66</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sz w:val="24"/>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0</w:t>
            </w: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4"/>
              </w:rPr>
            </w:pPr>
            <w:r>
              <w:rPr>
                <w:rFonts w:hint="default" w:ascii="Times New Roman" w:hAnsi="Times New Roman" w:cs="Times New Roman"/>
                <w:kern w:val="0"/>
                <w:sz w:val="24"/>
              </w:rPr>
              <w:t>年度总体目标</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完成监测站部分仪器设备、药品试剂、玻璃仪器的补充采购。完成了市级部门下达的监测任务。完成了2021年度中央、省生态环境保护督察工作中的投诉、信访等执法监测工作。持续关注辖区范围内地表水、饮用水、环境空气、土壤等情况，及时掌握重点污染源污染物排放状况，及时提出治理要求。</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完成监测站部分仪器设备、药品试剂、玻璃仪器的补充采购。完成了市级部门下达的监测任务。完成了2021年度中央、省生态环境保护督察工作中的投诉、信访等执法监测工作。持续关注辖区范围内地表水、饮用水、环境空气、土壤等情况，及时掌握重点污染源污染物排放状况，及时提出治理要求。</w:t>
            </w:r>
          </w:p>
        </w:tc>
      </w:tr>
    </w:tbl>
    <w:p>
      <w:pPr>
        <w:widowControl/>
        <w:adjustRightInd w:val="0"/>
        <w:snapToGrid w:val="0"/>
        <w:spacing w:line="580" w:lineRule="exact"/>
        <w:contextualSpacing/>
        <w:jc w:val="left"/>
        <w:rPr>
          <w:rFonts w:hint="default" w:ascii="Times New Roman" w:hAnsi="Times New Roman" w:eastAsia="仿宋_GB2312" w:cs="Times New Roman"/>
          <w:color w:val="000000"/>
          <w:kern w:val="0"/>
          <w:sz w:val="32"/>
          <w:szCs w:val="32"/>
          <w:shd w:val="clear" w:color="auto" w:fill="FFFFFF"/>
        </w:rPr>
      </w:pP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2024"/>
        <w:gridCol w:w="952"/>
        <w:gridCol w:w="1159"/>
        <w:gridCol w:w="1953"/>
        <w:gridCol w:w="1254"/>
        <w:gridCol w:w="2469"/>
      </w:tblGrid>
      <w:tr>
        <w:tblPrEx>
          <w:tblCellMar>
            <w:top w:w="0" w:type="dxa"/>
            <w:left w:w="108" w:type="dxa"/>
            <w:bottom w:w="0" w:type="dxa"/>
            <w:right w:w="108" w:type="dxa"/>
          </w:tblCellMar>
        </w:tblPrEx>
        <w:trPr>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年度绩效指标完成情况</w:t>
            </w:r>
          </w:p>
        </w:tc>
        <w:tc>
          <w:tcPr>
            <w:tcW w:w="929"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三级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实际完成指标值</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完成</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131"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数量指标</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县级集中式饮用水水源地每季度1次水质监测</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出具或收集相关报告4份</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出具或收集相关报告4份</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929"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p>
        </w:tc>
        <w:tc>
          <w:tcPr>
            <w:tcW w:w="1131" w:type="dxa"/>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安宁河地表水水质监测</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出具相关报告4份</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出具相关报告4份</w:t>
            </w:r>
          </w:p>
        </w:tc>
      </w:tr>
      <w:tr>
        <w:tblPrEx>
          <w:tblCellMar>
            <w:top w:w="0" w:type="dxa"/>
            <w:left w:w="108" w:type="dxa"/>
            <w:bottom w:w="0" w:type="dxa"/>
            <w:right w:w="108" w:type="dxa"/>
          </w:tblCellMar>
        </w:tblPrEx>
        <w:trPr>
          <w:trHeight w:val="90" w:hRule="atLeast"/>
        </w:trPr>
        <w:tc>
          <w:tcPr>
            <w:tcW w:w="1977" w:type="dxa"/>
            <w:vMerge w:val="continue"/>
            <w:tcBorders>
              <w:left w:val="single" w:color="000000" w:sz="4" w:space="0"/>
              <w:bottom w:val="single" w:color="auto"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929" w:type="dxa"/>
            <w:vMerge w:val="continue"/>
            <w:tcBorders>
              <w:left w:val="single" w:color="000000" w:sz="4" w:space="0"/>
              <w:bottom w:val="single" w:color="auto"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p>
        </w:tc>
        <w:tc>
          <w:tcPr>
            <w:tcW w:w="1131" w:type="dxa"/>
            <w:vMerge w:val="continue"/>
            <w:tcBorders>
              <w:left w:val="single" w:color="000000" w:sz="4" w:space="0"/>
              <w:bottom w:val="single" w:color="auto"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p>
        </w:tc>
        <w:tc>
          <w:tcPr>
            <w:tcW w:w="1906"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Style w:val="32"/>
                <w:rFonts w:hint="default" w:ascii="Times New Roman" w:hAnsi="Times New Roman" w:cs="Times New Roman"/>
              </w:rPr>
              <w:t>其他乡镇集中式饮用水水源地每半年</w:t>
            </w:r>
            <w:r>
              <w:rPr>
                <w:rStyle w:val="31"/>
                <w:rFonts w:hint="default" w:ascii="Times New Roman" w:hAnsi="Times New Roman" w:cs="Times New Roman"/>
              </w:rPr>
              <w:t>1</w:t>
            </w:r>
            <w:r>
              <w:rPr>
                <w:rStyle w:val="32"/>
                <w:rFonts w:hint="default" w:ascii="Times New Roman" w:hAnsi="Times New Roman" w:cs="Times New Roman"/>
              </w:rPr>
              <w:t>次水质监测</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出具相关报告2份</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出具相关报告2份</w:t>
            </w:r>
          </w:p>
        </w:tc>
      </w:tr>
      <w:tr>
        <w:tblPrEx>
          <w:tblCellMar>
            <w:top w:w="0" w:type="dxa"/>
            <w:left w:w="108" w:type="dxa"/>
            <w:bottom w:w="0" w:type="dxa"/>
            <w:right w:w="108" w:type="dxa"/>
          </w:tblCellMar>
        </w:tblPrEx>
        <w:trPr>
          <w:trHeight w:val="1592" w:hRule="atLeast"/>
        </w:trPr>
        <w:tc>
          <w:tcPr>
            <w:tcW w:w="1977" w:type="dxa"/>
            <w:vMerge w:val="continue"/>
            <w:tcBorders>
              <w:top w:val="single" w:color="auto" w:sz="4" w:space="0"/>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929" w:type="dxa"/>
            <w:vMerge w:val="continue"/>
            <w:tcBorders>
              <w:top w:val="single" w:color="auto"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p>
        </w:tc>
        <w:tc>
          <w:tcPr>
            <w:tcW w:w="1131" w:type="dxa"/>
            <w:vMerge w:val="continue"/>
            <w:tcBorders>
              <w:top w:val="single" w:color="auto"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p>
        </w:tc>
        <w:tc>
          <w:tcPr>
            <w:tcW w:w="190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重点污染源每年一次执法监测</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出具相关报告大于20份</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出具相关报告大于20份</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131"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质</w:t>
            </w:r>
          </w:p>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量</w:t>
            </w:r>
          </w:p>
          <w:p>
            <w:pPr>
              <w:widowControl/>
              <w:spacing w:line="320" w:lineRule="exact"/>
              <w:jc w:val="center"/>
              <w:textAlignment w:val="bottom"/>
              <w:rPr>
                <w:rFonts w:hint="default" w:ascii="Times New Roman" w:hAnsi="Times New Roman" w:eastAsia="仿宋_GB2312" w:cs="Times New Roman"/>
                <w:kern w:val="0"/>
                <w:sz w:val="28"/>
                <w:szCs w:val="28"/>
              </w:rPr>
            </w:pPr>
          </w:p>
          <w:p>
            <w:pPr>
              <w:widowControl/>
              <w:spacing w:line="320" w:lineRule="exact"/>
              <w:jc w:val="center"/>
              <w:textAlignment w:val="bottom"/>
              <w:rPr>
                <w:rFonts w:hint="default" w:ascii="Times New Roman" w:hAnsi="Times New Roman" w:eastAsia="仿宋_GB2312" w:cs="Times New Roman"/>
                <w:kern w:val="0"/>
                <w:sz w:val="28"/>
                <w:szCs w:val="28"/>
              </w:rPr>
            </w:pPr>
          </w:p>
          <w:p>
            <w:pPr>
              <w:widowControl/>
              <w:spacing w:line="320" w:lineRule="exact"/>
              <w:jc w:val="center"/>
              <w:textAlignment w:val="bottom"/>
              <w:rPr>
                <w:rFonts w:hint="default" w:ascii="Times New Roman" w:hAnsi="Times New Roman" w:eastAsia="仿宋_GB2312" w:cs="Times New Roman"/>
                <w:kern w:val="0"/>
                <w:sz w:val="28"/>
                <w:szCs w:val="28"/>
              </w:rPr>
            </w:pPr>
          </w:p>
          <w:p>
            <w:pPr>
              <w:widowControl/>
              <w:spacing w:line="320" w:lineRule="exact"/>
              <w:jc w:val="center"/>
              <w:textAlignment w:val="bottom"/>
              <w:rPr>
                <w:rFonts w:hint="default" w:ascii="Times New Roman" w:hAnsi="Times New Roman" w:eastAsia="仿宋_GB2312" w:cs="Times New Roman"/>
                <w:kern w:val="0"/>
                <w:sz w:val="28"/>
                <w:szCs w:val="28"/>
              </w:rPr>
            </w:pPr>
          </w:p>
          <w:p>
            <w:pPr>
              <w:widowControl/>
              <w:spacing w:line="320" w:lineRule="exact"/>
              <w:jc w:val="center"/>
              <w:textAlignment w:val="bottom"/>
              <w:rPr>
                <w:rFonts w:hint="default" w:ascii="Times New Roman" w:hAnsi="Times New Roman" w:eastAsia="仿宋_GB2312" w:cs="Times New Roman"/>
                <w:kern w:val="0"/>
                <w:sz w:val="28"/>
                <w:szCs w:val="28"/>
              </w:rPr>
            </w:pPr>
          </w:p>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指</w:t>
            </w:r>
          </w:p>
          <w:p>
            <w:pPr>
              <w:widowControl/>
              <w:spacing w:line="320" w:lineRule="exact"/>
              <w:jc w:val="center"/>
              <w:textAlignment w:val="bottom"/>
              <w:rPr>
                <w:rFonts w:hint="default" w:ascii="Times New Roman" w:hAnsi="Times New Roman" w:eastAsia="仿宋_GB2312" w:cs="Times New Roman"/>
                <w:kern w:val="0"/>
                <w:sz w:val="28"/>
                <w:szCs w:val="28"/>
              </w:rPr>
            </w:pPr>
          </w:p>
          <w:p>
            <w:pPr>
              <w:widowControl/>
              <w:spacing w:line="320" w:lineRule="exact"/>
              <w:jc w:val="center"/>
              <w:textAlignment w:val="bottom"/>
              <w:rPr>
                <w:rFonts w:hint="default" w:ascii="Times New Roman" w:hAnsi="Times New Roman" w:eastAsia="仿宋_GB2312" w:cs="Times New Roman"/>
                <w:kern w:val="0"/>
                <w:sz w:val="28"/>
                <w:szCs w:val="28"/>
              </w:rPr>
            </w:pPr>
          </w:p>
          <w:p>
            <w:pPr>
              <w:widowControl/>
              <w:spacing w:line="320" w:lineRule="exact"/>
              <w:jc w:val="center"/>
              <w:textAlignment w:val="bottom"/>
              <w:rPr>
                <w:rFonts w:hint="default" w:ascii="Times New Roman" w:hAnsi="Times New Roman" w:eastAsia="仿宋_GB2312" w:cs="Times New Roman"/>
                <w:kern w:val="0"/>
                <w:sz w:val="28"/>
                <w:szCs w:val="28"/>
              </w:rPr>
            </w:pPr>
          </w:p>
          <w:p>
            <w:pPr>
              <w:widowControl/>
              <w:spacing w:line="320" w:lineRule="exact"/>
              <w:jc w:val="center"/>
              <w:textAlignment w:val="bottom"/>
              <w:rPr>
                <w:rFonts w:hint="default" w:ascii="Times New Roman" w:hAnsi="Times New Roman" w:eastAsia="仿宋_GB2312" w:cs="Times New Roman"/>
                <w:kern w:val="0"/>
                <w:sz w:val="28"/>
                <w:szCs w:val="28"/>
              </w:rPr>
            </w:pPr>
          </w:p>
          <w:p>
            <w:pPr>
              <w:widowControl/>
              <w:spacing w:line="320" w:lineRule="exact"/>
              <w:jc w:val="center"/>
              <w:textAlignment w:val="bottom"/>
              <w:rPr>
                <w:rFonts w:hint="default" w:ascii="Times New Roman" w:hAnsi="Times New Roman" w:eastAsia="仿宋_GB2312" w:cs="Times New Roman"/>
                <w:kern w:val="0"/>
                <w:sz w:val="28"/>
                <w:szCs w:val="28"/>
              </w:rPr>
            </w:pPr>
          </w:p>
          <w:p>
            <w:pPr>
              <w:widowControl/>
              <w:spacing w:line="320" w:lineRule="exact"/>
              <w:jc w:val="center"/>
              <w:textAlignment w:val="bottom"/>
              <w:rPr>
                <w:rFonts w:hint="default" w:ascii="Times New Roman" w:hAnsi="Times New Roman" w:eastAsia="仿宋_GB2312" w:cs="Times New Roman"/>
                <w:kern w:val="0"/>
                <w:sz w:val="28"/>
                <w:szCs w:val="28"/>
              </w:rPr>
            </w:pPr>
          </w:p>
          <w:p>
            <w:pPr>
              <w:widowControl/>
              <w:spacing w:line="320" w:lineRule="exact"/>
              <w:jc w:val="center"/>
              <w:textAlignment w:val="bottom"/>
              <w:rPr>
                <w:rFonts w:hint="default" w:ascii="Times New Roman" w:hAnsi="Times New Roman" w:eastAsia="仿宋_GB2312" w:cs="Times New Roman"/>
                <w:kern w:val="0"/>
                <w:sz w:val="28"/>
                <w:szCs w:val="28"/>
              </w:rPr>
            </w:pPr>
          </w:p>
          <w:p>
            <w:pPr>
              <w:widowControl/>
              <w:spacing w:line="320" w:lineRule="exact"/>
              <w:jc w:val="center"/>
              <w:textAlignment w:val="bottom"/>
              <w:rPr>
                <w:rFonts w:hint="default" w:ascii="Times New Roman" w:hAnsi="Times New Roman" w:eastAsia="仿宋_GB2312" w:cs="Times New Roman"/>
                <w:kern w:val="0"/>
                <w:sz w:val="28"/>
                <w:szCs w:val="28"/>
              </w:rPr>
            </w:pP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标</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完成市级部门下达的监测任务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开展的监测、执法监测、生态环境质量监测工作</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开展的监测、执法监测、生态环境质量监测工作</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131" w:type="dxa"/>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迎接2021年度中央生态环境保护督察工作</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开展投诉、信访等执法监测</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开展投诉、信访等执法监测</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131"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出具的监测报告及时上报市环境监测中心站业务科，集中式饮用水水源地水质监测结果及时公示，执法监测报告出具后5个工作日内上报相关部门</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不因未及时上报数据被通报</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不因未及时上报数据被通报</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131"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时效指标</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县级集中式饮用水水源地每季度第一个月开展监测</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分别于1月、4月、7月、10月完成</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分别于1月、4月、7月、10月完成</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131" w:type="dxa"/>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晃桥水库、乡镇集中式饮用水水源地每季度开展监测</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分别于1月、4月、7月、10月完成</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分别于1月、4月、7月、10月完成</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131" w:type="dxa"/>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重点污染源12月31日前完成1次执法监测</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12月31日前完成</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12月31日前完成</w:t>
            </w:r>
          </w:p>
        </w:tc>
      </w:tr>
      <w:tr>
        <w:tblPrEx>
          <w:tblCellMar>
            <w:top w:w="0" w:type="dxa"/>
            <w:left w:w="108" w:type="dxa"/>
            <w:bottom w:w="0" w:type="dxa"/>
            <w:right w:w="108" w:type="dxa"/>
          </w:tblCellMar>
        </w:tblPrEx>
        <w:trPr>
          <w:trHeight w:val="1162"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131"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其他乡镇集中式饮用水水源地每半年开展监测</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分别于1月、7月完成</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分别于1月、7月完成</w:t>
            </w:r>
          </w:p>
        </w:tc>
      </w:tr>
      <w:tr>
        <w:tblPrEx>
          <w:tblCellMar>
            <w:top w:w="0" w:type="dxa"/>
            <w:left w:w="108" w:type="dxa"/>
            <w:bottom w:w="0" w:type="dxa"/>
            <w:right w:w="108" w:type="dxa"/>
          </w:tblCellMar>
        </w:tblPrEx>
        <w:trPr>
          <w:trHeight w:val="1145" w:hRule="atLeast"/>
        </w:trPr>
        <w:tc>
          <w:tcPr>
            <w:tcW w:w="1977" w:type="dxa"/>
            <w:vMerge w:val="continue"/>
            <w:tcBorders>
              <w:left w:val="single" w:color="000000" w:sz="4" w:space="0"/>
              <w:bottom w:val="single" w:color="auto"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929" w:type="dxa"/>
            <w:vMerge w:val="continue"/>
            <w:tcBorders>
              <w:top w:val="single" w:color="000000" w:sz="4" w:space="0"/>
              <w:left w:val="single" w:color="000000" w:sz="4" w:space="0"/>
              <w:bottom w:val="single" w:color="auto"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131" w:type="dxa"/>
            <w:tcBorders>
              <w:top w:val="single" w:color="000000" w:sz="4" w:space="0"/>
              <w:left w:val="single" w:color="000000" w:sz="4" w:space="0"/>
              <w:bottom w:val="single" w:color="auto" w:sz="4" w:space="0"/>
              <w:right w:val="single" w:color="auto"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成本指标</w:t>
            </w:r>
          </w:p>
        </w:tc>
        <w:tc>
          <w:tcPr>
            <w:tcW w:w="1906"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包括开展监测差旅费、仪器检定费、仪器耗材及维修费等</w:t>
            </w:r>
          </w:p>
        </w:tc>
        <w:tc>
          <w:tcPr>
            <w:tcW w:w="122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不超过20万元</w:t>
            </w:r>
          </w:p>
        </w:tc>
        <w:tc>
          <w:tcPr>
            <w:tcW w:w="241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实际成本8.66万元</w:t>
            </w:r>
          </w:p>
        </w:tc>
      </w:tr>
      <w:tr>
        <w:tblPrEx>
          <w:tblCellMar>
            <w:top w:w="0" w:type="dxa"/>
            <w:left w:w="108" w:type="dxa"/>
            <w:bottom w:w="0" w:type="dxa"/>
            <w:right w:w="108" w:type="dxa"/>
          </w:tblCellMar>
        </w:tblPrEx>
        <w:trPr>
          <w:trHeight w:val="670" w:hRule="atLeast"/>
        </w:trPr>
        <w:tc>
          <w:tcPr>
            <w:tcW w:w="1977" w:type="dxa"/>
            <w:vMerge w:val="continue"/>
            <w:tcBorders>
              <w:top w:val="single" w:color="auto" w:sz="4" w:space="0"/>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929"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效益</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131" w:type="dxa"/>
            <w:tcBorders>
              <w:top w:val="single" w:color="auto"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经济效益指标</w:t>
            </w:r>
          </w:p>
        </w:tc>
        <w:tc>
          <w:tcPr>
            <w:tcW w:w="190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22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241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社会效益指标</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及时公布集中式饮用水水源地水质状况信息，满足人民群众知情权，让人民群众喝上放心水，掌握重点污染源污染物排放状况，及时提出治理要求，确保环境质量持续稳定改善，提群众高获得感和幸福感。</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按季度公示相关信息</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按季度公示相关信息</w:t>
            </w:r>
          </w:p>
        </w:tc>
      </w:tr>
      <w:tr>
        <w:tblPrEx>
          <w:tblCellMar>
            <w:top w:w="0" w:type="dxa"/>
            <w:left w:w="108" w:type="dxa"/>
            <w:bottom w:w="0" w:type="dxa"/>
            <w:right w:w="108" w:type="dxa"/>
          </w:tblCellMar>
        </w:tblPrEx>
        <w:trPr>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生态效益指标</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持续关注区域范围内的地表水、饮用水、环境空气、土壤、植被情况，使环境质量持续向好稳定发展</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按季度公示相关信息</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按季度公示相关信息</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可持续影响指标</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掌握集中式饮用水水源地水质状况及变化趋势，掌握重点污染源污染物排放状况，为环保管理提高科学支撑，确保环境质量持续稳定改善。</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按季度公示相关信息</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按季度公示相关信息</w:t>
            </w:r>
          </w:p>
        </w:tc>
      </w:tr>
      <w:tr>
        <w:tblPrEx>
          <w:tblCellMar>
            <w:top w:w="0" w:type="dxa"/>
            <w:left w:w="108" w:type="dxa"/>
            <w:bottom w:w="0" w:type="dxa"/>
            <w:right w:w="108" w:type="dxa"/>
          </w:tblCellMar>
        </w:tblPrEx>
        <w:trPr>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满意</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度指标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满意度</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大于80%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24"/>
              </w:rPr>
              <w:t>大于80%</w:t>
            </w:r>
          </w:p>
        </w:tc>
      </w:tr>
    </w:tbl>
    <w:p>
      <w:pPr>
        <w:spacing w:line="600" w:lineRule="exact"/>
        <w:jc w:val="center"/>
        <w:outlineLvl w:val="0"/>
        <w:rPr>
          <w:rFonts w:hint="default" w:ascii="Times New Roman" w:hAnsi="Times New Roman" w:eastAsia="黑体" w:cs="Times New Roman"/>
          <w:sz w:val="44"/>
          <w:szCs w:val="44"/>
        </w:rPr>
      </w:pPr>
    </w:p>
    <w:p>
      <w:pPr>
        <w:widowControl/>
        <w:adjustRightInd w:val="0"/>
        <w:snapToGrid w:val="0"/>
        <w:spacing w:line="580" w:lineRule="exact"/>
        <w:contextualSpacing/>
        <w:jc w:val="left"/>
        <w:rPr>
          <w:rFonts w:hint="default" w:ascii="Times New Roman" w:hAnsi="Times New Roman" w:eastAsia="仿宋_GB2312" w:cs="Times New Roman"/>
          <w:color w:val="000000"/>
          <w:kern w:val="0"/>
          <w:sz w:val="32"/>
          <w:szCs w:val="32"/>
          <w:shd w:val="clear" w:color="auto" w:fill="FFFFFF"/>
        </w:rPr>
      </w:pPr>
    </w:p>
    <w:p>
      <w:pPr>
        <w:widowControl/>
        <w:adjustRightInd w:val="0"/>
        <w:snapToGrid w:val="0"/>
        <w:spacing w:line="580" w:lineRule="exact"/>
        <w:contextualSpacing/>
        <w:jc w:val="left"/>
        <w:rPr>
          <w:rFonts w:hint="default" w:ascii="Times New Roman" w:hAnsi="Times New Roman" w:cs="Times New Roman"/>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ind w:firstLine="3080" w:firstLineChars="700"/>
        <w:outlineLvl w:val="0"/>
        <w:rPr>
          <w:rFonts w:hint="default" w:ascii="Times New Roman" w:hAnsi="Times New Roman" w:eastAsia="仿宋" w:cs="Times New Roman"/>
        </w:rPr>
      </w:pPr>
      <w:r>
        <w:rPr>
          <w:rFonts w:hint="default" w:ascii="Times New Roman" w:hAnsi="Times New Roman" w:eastAsia="黑体" w:cs="Times New Roman"/>
          <w:sz w:val="44"/>
          <w:szCs w:val="44"/>
        </w:rPr>
        <w:t>第</w:t>
      </w:r>
      <w:r>
        <w:rPr>
          <w:rStyle w:val="25"/>
          <w:rFonts w:hint="default" w:ascii="Times New Roman" w:hAnsi="Times New Roman" w:eastAsia="黑体" w:cs="Times New Roman"/>
          <w:b w:val="0"/>
        </w:rPr>
        <w:t>五部分 附表</w:t>
      </w:r>
      <w:bookmarkEnd w:id="51"/>
      <w:bookmarkEnd w:id="53"/>
      <w:bookmarkStart w:id="54" w:name="_Toc15396619"/>
    </w:p>
    <w:p>
      <w:pPr>
        <w:pStyle w:val="4"/>
        <w:rPr>
          <w:rFonts w:hint="default" w:ascii="Times New Roman" w:hAnsi="Times New Roman" w:eastAsia="仿宋" w:cs="Times New Roman"/>
        </w:rPr>
      </w:pPr>
      <w:r>
        <w:rPr>
          <w:rFonts w:hint="default" w:ascii="Times New Roman" w:hAnsi="Times New Roman" w:eastAsia="仿宋" w:cs="Times New Roman"/>
          <w:b w:val="0"/>
        </w:rPr>
        <w:t>一、收</w:t>
      </w:r>
      <w:r>
        <w:rPr>
          <w:rStyle w:val="26"/>
          <w:rFonts w:hint="default" w:ascii="Times New Roman" w:hAnsi="Times New Roman" w:eastAsia="仿宋" w:cs="Times New Roman"/>
          <w:b w:val="0"/>
          <w:bCs w:val="0"/>
        </w:rPr>
        <w:t>入支出决算总表</w:t>
      </w:r>
      <w:bookmarkEnd w:id="54"/>
    </w:p>
    <w:p>
      <w:pPr>
        <w:pStyle w:val="4"/>
        <w:rPr>
          <w:rFonts w:hint="default" w:ascii="Times New Roman" w:hAnsi="Times New Roman" w:eastAsia="仿宋" w:cs="Times New Roman"/>
        </w:rPr>
      </w:pPr>
      <w:bookmarkStart w:id="55" w:name="_Toc15396620"/>
      <w:r>
        <w:rPr>
          <w:rFonts w:hint="default" w:ascii="Times New Roman" w:hAnsi="Times New Roman" w:eastAsia="仿宋" w:cs="Times New Roman"/>
          <w:b w:val="0"/>
        </w:rPr>
        <w:t>二、收</w:t>
      </w:r>
      <w:r>
        <w:rPr>
          <w:rStyle w:val="26"/>
          <w:rFonts w:hint="default" w:ascii="Times New Roman" w:hAnsi="Times New Roman" w:eastAsia="仿宋" w:cs="Times New Roman"/>
          <w:b w:val="0"/>
          <w:bCs w:val="0"/>
        </w:rPr>
        <w:t>入决算表</w:t>
      </w:r>
      <w:bookmarkEnd w:id="55"/>
    </w:p>
    <w:p>
      <w:pPr>
        <w:pStyle w:val="4"/>
        <w:rPr>
          <w:rFonts w:hint="default" w:ascii="Times New Roman" w:hAnsi="Times New Roman" w:eastAsia="仿宋" w:cs="Times New Roman"/>
        </w:rPr>
      </w:pPr>
      <w:bookmarkStart w:id="56" w:name="_Toc15396621"/>
      <w:r>
        <w:rPr>
          <w:rStyle w:val="26"/>
          <w:rFonts w:hint="default" w:ascii="Times New Roman" w:hAnsi="Times New Roman" w:eastAsia="仿宋" w:cs="Times New Roman"/>
          <w:b w:val="0"/>
          <w:bCs w:val="0"/>
        </w:rPr>
        <w:t>三、</w:t>
      </w:r>
      <w:r>
        <w:rPr>
          <w:rFonts w:hint="default" w:ascii="Times New Roman" w:hAnsi="Times New Roman" w:eastAsia="仿宋" w:cs="Times New Roman"/>
          <w:b w:val="0"/>
        </w:rPr>
        <w:t>支</w:t>
      </w:r>
      <w:r>
        <w:rPr>
          <w:rStyle w:val="26"/>
          <w:rFonts w:hint="default" w:ascii="Times New Roman" w:hAnsi="Times New Roman" w:eastAsia="仿宋" w:cs="Times New Roman"/>
          <w:b w:val="0"/>
          <w:bCs w:val="0"/>
        </w:rPr>
        <w:t>出决算表</w:t>
      </w:r>
      <w:bookmarkEnd w:id="56"/>
    </w:p>
    <w:p>
      <w:pPr>
        <w:pStyle w:val="4"/>
        <w:rPr>
          <w:rFonts w:hint="default" w:ascii="Times New Roman" w:hAnsi="Times New Roman" w:eastAsia="仿宋" w:cs="Times New Roman"/>
          <w:b w:val="0"/>
        </w:rPr>
      </w:pPr>
      <w:bookmarkStart w:id="57" w:name="_Toc15396622"/>
      <w:r>
        <w:rPr>
          <w:rStyle w:val="26"/>
          <w:rFonts w:hint="default" w:ascii="Times New Roman" w:hAnsi="Times New Roman" w:eastAsia="仿宋" w:cs="Times New Roman"/>
          <w:b w:val="0"/>
          <w:bCs w:val="0"/>
        </w:rPr>
        <w:t>四、</w:t>
      </w:r>
      <w:r>
        <w:rPr>
          <w:rFonts w:hint="default" w:ascii="Times New Roman" w:hAnsi="Times New Roman" w:eastAsia="仿宋" w:cs="Times New Roman"/>
          <w:b w:val="0"/>
        </w:rPr>
        <w:t>财</w:t>
      </w:r>
      <w:r>
        <w:rPr>
          <w:rStyle w:val="26"/>
          <w:rFonts w:hint="default" w:ascii="Times New Roman" w:hAnsi="Times New Roman" w:eastAsia="仿宋" w:cs="Times New Roman"/>
          <w:b w:val="0"/>
          <w:bCs w:val="0"/>
        </w:rPr>
        <w:t>政拨款收入支出决算总表</w:t>
      </w:r>
      <w:bookmarkEnd w:id="57"/>
    </w:p>
    <w:p>
      <w:pPr>
        <w:pStyle w:val="4"/>
        <w:rPr>
          <w:rStyle w:val="26"/>
          <w:rFonts w:hint="default" w:ascii="Times New Roman" w:hAnsi="Times New Roman" w:eastAsia="仿宋" w:cs="Times New Roman"/>
          <w:b w:val="0"/>
          <w:bCs w:val="0"/>
        </w:rPr>
      </w:pPr>
      <w:bookmarkStart w:id="58" w:name="_Toc15396623"/>
      <w:r>
        <w:rPr>
          <w:rStyle w:val="26"/>
          <w:rFonts w:hint="default" w:ascii="Times New Roman" w:hAnsi="Times New Roman" w:eastAsia="仿宋" w:cs="Times New Roman"/>
          <w:b w:val="0"/>
          <w:bCs w:val="0"/>
        </w:rPr>
        <w:t>五、</w:t>
      </w:r>
      <w:r>
        <w:rPr>
          <w:rFonts w:hint="default" w:ascii="Times New Roman" w:hAnsi="Times New Roman" w:eastAsia="仿宋" w:cs="Times New Roman"/>
          <w:b w:val="0"/>
        </w:rPr>
        <w:t>财</w:t>
      </w:r>
      <w:r>
        <w:rPr>
          <w:rStyle w:val="26"/>
          <w:rFonts w:hint="default" w:ascii="Times New Roman" w:hAnsi="Times New Roman" w:eastAsia="仿宋" w:cs="Times New Roman"/>
          <w:b w:val="0"/>
          <w:bCs w:val="0"/>
        </w:rPr>
        <w:t>政拨款支出决算明细表</w:t>
      </w:r>
      <w:bookmarkEnd w:id="58"/>
      <w:bookmarkStart w:id="59" w:name="_Toc15396624"/>
    </w:p>
    <w:p>
      <w:pPr>
        <w:pStyle w:val="4"/>
        <w:rPr>
          <w:rFonts w:hint="default" w:ascii="Times New Roman" w:hAnsi="Times New Roman" w:eastAsia="仿宋" w:cs="Times New Roman"/>
        </w:rPr>
      </w:pPr>
      <w:r>
        <w:rPr>
          <w:rStyle w:val="26"/>
          <w:rFonts w:hint="default" w:ascii="Times New Roman" w:hAnsi="Times New Roman" w:eastAsia="仿宋" w:cs="Times New Roman"/>
          <w:b w:val="0"/>
          <w:bCs w:val="0"/>
        </w:rPr>
        <w:t>六、</w:t>
      </w:r>
      <w:r>
        <w:rPr>
          <w:rFonts w:hint="default" w:ascii="Times New Roman" w:hAnsi="Times New Roman" w:eastAsia="仿宋" w:cs="Times New Roman"/>
          <w:b w:val="0"/>
        </w:rPr>
        <w:t>一</w:t>
      </w:r>
      <w:r>
        <w:rPr>
          <w:rStyle w:val="26"/>
          <w:rFonts w:hint="default" w:ascii="Times New Roman" w:hAnsi="Times New Roman" w:eastAsia="仿宋" w:cs="Times New Roman"/>
          <w:b w:val="0"/>
          <w:bCs w:val="0"/>
        </w:rPr>
        <w:t>般公共预算财政拨款支出决算表</w:t>
      </w:r>
      <w:bookmarkEnd w:id="59"/>
    </w:p>
    <w:p>
      <w:pPr>
        <w:pStyle w:val="4"/>
        <w:rPr>
          <w:rFonts w:hint="default" w:ascii="Times New Roman" w:hAnsi="Times New Roman" w:eastAsia="仿宋" w:cs="Times New Roman"/>
        </w:rPr>
      </w:pPr>
      <w:bookmarkStart w:id="60" w:name="_Toc15396625"/>
      <w:r>
        <w:rPr>
          <w:rStyle w:val="26"/>
          <w:rFonts w:hint="default" w:ascii="Times New Roman" w:hAnsi="Times New Roman" w:eastAsia="仿宋" w:cs="Times New Roman"/>
          <w:b w:val="0"/>
          <w:bCs w:val="0"/>
        </w:rPr>
        <w:t>七、</w:t>
      </w:r>
      <w:r>
        <w:rPr>
          <w:rFonts w:hint="default" w:ascii="Times New Roman" w:hAnsi="Times New Roman" w:eastAsia="仿宋" w:cs="Times New Roman"/>
          <w:b w:val="0"/>
        </w:rPr>
        <w:t>一</w:t>
      </w:r>
      <w:r>
        <w:rPr>
          <w:rStyle w:val="26"/>
          <w:rFonts w:hint="default" w:ascii="Times New Roman" w:hAnsi="Times New Roman" w:eastAsia="仿宋" w:cs="Times New Roman"/>
          <w:b w:val="0"/>
          <w:bCs w:val="0"/>
        </w:rPr>
        <w:t>般公共预算财政拨款支出决算明细表</w:t>
      </w:r>
      <w:bookmarkEnd w:id="60"/>
    </w:p>
    <w:p>
      <w:pPr>
        <w:pStyle w:val="4"/>
        <w:rPr>
          <w:rFonts w:hint="default" w:ascii="Times New Roman" w:hAnsi="Times New Roman" w:eastAsia="仿宋" w:cs="Times New Roman"/>
        </w:rPr>
      </w:pPr>
      <w:bookmarkStart w:id="61" w:name="_Toc15396626"/>
      <w:r>
        <w:rPr>
          <w:rStyle w:val="26"/>
          <w:rFonts w:hint="default" w:ascii="Times New Roman" w:hAnsi="Times New Roman" w:eastAsia="仿宋" w:cs="Times New Roman"/>
          <w:b w:val="0"/>
          <w:bCs w:val="0"/>
        </w:rPr>
        <w:t>八、</w:t>
      </w:r>
      <w:r>
        <w:rPr>
          <w:rFonts w:hint="default" w:ascii="Times New Roman" w:hAnsi="Times New Roman" w:eastAsia="仿宋" w:cs="Times New Roman"/>
          <w:b w:val="0"/>
        </w:rPr>
        <w:t>一</w:t>
      </w:r>
      <w:r>
        <w:rPr>
          <w:rStyle w:val="26"/>
          <w:rFonts w:hint="default" w:ascii="Times New Roman" w:hAnsi="Times New Roman" w:eastAsia="仿宋" w:cs="Times New Roman"/>
          <w:b w:val="0"/>
          <w:bCs w:val="0"/>
        </w:rPr>
        <w:t>般公共预算财政拨款基本支出决算表</w:t>
      </w:r>
      <w:bookmarkEnd w:id="61"/>
    </w:p>
    <w:p>
      <w:pPr>
        <w:pStyle w:val="4"/>
        <w:rPr>
          <w:rFonts w:hint="default" w:ascii="Times New Roman" w:hAnsi="Times New Roman" w:eastAsia="仿宋" w:cs="Times New Roman"/>
        </w:rPr>
      </w:pPr>
      <w:bookmarkStart w:id="62" w:name="_Toc15396627"/>
      <w:r>
        <w:rPr>
          <w:rStyle w:val="26"/>
          <w:rFonts w:hint="default" w:ascii="Times New Roman" w:hAnsi="Times New Roman" w:eastAsia="仿宋" w:cs="Times New Roman"/>
          <w:b w:val="0"/>
          <w:bCs w:val="0"/>
        </w:rPr>
        <w:t>九、</w:t>
      </w:r>
      <w:r>
        <w:rPr>
          <w:rFonts w:hint="default" w:ascii="Times New Roman" w:hAnsi="Times New Roman" w:eastAsia="仿宋" w:cs="Times New Roman"/>
          <w:b w:val="0"/>
        </w:rPr>
        <w:t>一</w:t>
      </w:r>
      <w:r>
        <w:rPr>
          <w:rStyle w:val="26"/>
          <w:rFonts w:hint="default" w:ascii="Times New Roman" w:hAnsi="Times New Roman" w:eastAsia="仿宋" w:cs="Times New Roman"/>
          <w:b w:val="0"/>
          <w:bCs w:val="0"/>
        </w:rPr>
        <w:t>般公共预算财政拨款项目支出决算表</w:t>
      </w:r>
      <w:bookmarkEnd w:id="62"/>
    </w:p>
    <w:p>
      <w:pPr>
        <w:pStyle w:val="4"/>
        <w:rPr>
          <w:rFonts w:hint="default" w:ascii="Times New Roman" w:hAnsi="Times New Roman" w:eastAsia="仿宋" w:cs="Times New Roman"/>
        </w:rPr>
      </w:pPr>
      <w:bookmarkStart w:id="63" w:name="_Toc15396628"/>
      <w:r>
        <w:rPr>
          <w:rStyle w:val="26"/>
          <w:rFonts w:hint="default" w:ascii="Times New Roman" w:hAnsi="Times New Roman" w:eastAsia="仿宋" w:cs="Times New Roman"/>
          <w:b w:val="0"/>
          <w:bCs w:val="0"/>
        </w:rPr>
        <w:t>十、</w:t>
      </w:r>
      <w:r>
        <w:rPr>
          <w:rFonts w:hint="default" w:ascii="Times New Roman" w:hAnsi="Times New Roman" w:eastAsia="仿宋" w:cs="Times New Roman"/>
          <w:b w:val="0"/>
        </w:rPr>
        <w:t>一</w:t>
      </w:r>
      <w:r>
        <w:rPr>
          <w:rStyle w:val="26"/>
          <w:rFonts w:hint="default" w:ascii="Times New Roman" w:hAnsi="Times New Roman" w:eastAsia="仿宋" w:cs="Times New Roman"/>
          <w:b w:val="0"/>
          <w:bCs w:val="0"/>
        </w:rPr>
        <w:t>般公共预算财政拨款“三公”经费支出决算表</w:t>
      </w:r>
      <w:bookmarkEnd w:id="63"/>
    </w:p>
    <w:p>
      <w:pPr>
        <w:pStyle w:val="4"/>
        <w:rPr>
          <w:rFonts w:hint="default" w:ascii="Times New Roman" w:hAnsi="Times New Roman" w:eastAsia="仿宋" w:cs="Times New Roman"/>
        </w:rPr>
      </w:pPr>
      <w:bookmarkStart w:id="64" w:name="_Toc15396629"/>
      <w:r>
        <w:rPr>
          <w:rStyle w:val="26"/>
          <w:rFonts w:hint="default" w:ascii="Times New Roman" w:hAnsi="Times New Roman" w:eastAsia="仿宋" w:cs="Times New Roman"/>
          <w:b w:val="0"/>
          <w:bCs w:val="0"/>
        </w:rPr>
        <w:t>十一、</w:t>
      </w:r>
      <w:r>
        <w:rPr>
          <w:rFonts w:hint="default" w:ascii="Times New Roman" w:hAnsi="Times New Roman" w:eastAsia="仿宋" w:cs="Times New Roman"/>
          <w:b w:val="0"/>
        </w:rPr>
        <w:t>政</w:t>
      </w:r>
      <w:r>
        <w:rPr>
          <w:rStyle w:val="26"/>
          <w:rFonts w:hint="default" w:ascii="Times New Roman" w:hAnsi="Times New Roman" w:eastAsia="仿宋" w:cs="Times New Roman"/>
          <w:b w:val="0"/>
          <w:bCs w:val="0"/>
        </w:rPr>
        <w:t>府性基金预算财政拨款收入支出决算表</w:t>
      </w:r>
      <w:bookmarkEnd w:id="64"/>
    </w:p>
    <w:p>
      <w:pPr>
        <w:pStyle w:val="4"/>
        <w:rPr>
          <w:rFonts w:hint="default" w:ascii="Times New Roman" w:hAnsi="Times New Roman" w:eastAsia="仿宋" w:cs="Times New Roman"/>
        </w:rPr>
      </w:pPr>
      <w:bookmarkStart w:id="65" w:name="_Toc15396630"/>
      <w:r>
        <w:rPr>
          <w:rStyle w:val="26"/>
          <w:rFonts w:hint="default" w:ascii="Times New Roman" w:hAnsi="Times New Roman" w:eastAsia="仿宋" w:cs="Times New Roman"/>
          <w:b w:val="0"/>
          <w:bCs w:val="0"/>
        </w:rPr>
        <w:t>十二、</w:t>
      </w:r>
      <w:r>
        <w:rPr>
          <w:rFonts w:hint="default" w:ascii="Times New Roman" w:hAnsi="Times New Roman" w:eastAsia="仿宋" w:cs="Times New Roman"/>
          <w:b w:val="0"/>
        </w:rPr>
        <w:t>政</w:t>
      </w:r>
      <w:r>
        <w:rPr>
          <w:rStyle w:val="26"/>
          <w:rFonts w:hint="default" w:ascii="Times New Roman" w:hAnsi="Times New Roman" w:eastAsia="仿宋" w:cs="Times New Roman"/>
          <w:b w:val="0"/>
          <w:bCs w:val="0"/>
        </w:rPr>
        <w:t>府性基金预算财政拨款“三公”经费支出决算表</w:t>
      </w:r>
      <w:bookmarkEnd w:id="65"/>
    </w:p>
    <w:p>
      <w:pPr>
        <w:pStyle w:val="4"/>
        <w:rPr>
          <w:rStyle w:val="26"/>
          <w:rFonts w:hint="default" w:ascii="Times New Roman" w:hAnsi="Times New Roman" w:eastAsia="仿宋" w:cs="Times New Roman"/>
          <w:b w:val="0"/>
          <w:bCs w:val="0"/>
        </w:rPr>
      </w:pPr>
      <w:bookmarkStart w:id="66" w:name="_Toc15396631"/>
      <w:r>
        <w:rPr>
          <w:rStyle w:val="26"/>
          <w:rFonts w:hint="default" w:ascii="Times New Roman" w:hAnsi="Times New Roman" w:eastAsia="仿宋" w:cs="Times New Roman"/>
          <w:b w:val="0"/>
          <w:bCs w:val="0"/>
        </w:rPr>
        <w:t>十三、</w:t>
      </w:r>
      <w:r>
        <w:rPr>
          <w:rFonts w:hint="default" w:ascii="Times New Roman" w:hAnsi="Times New Roman" w:eastAsia="仿宋" w:cs="Times New Roman"/>
          <w:b w:val="0"/>
        </w:rPr>
        <w:t>国</w:t>
      </w:r>
      <w:r>
        <w:rPr>
          <w:rStyle w:val="26"/>
          <w:rFonts w:hint="default" w:ascii="Times New Roman" w:hAnsi="Times New Roman" w:eastAsia="仿宋" w:cs="Times New Roman"/>
          <w:b w:val="0"/>
          <w:bCs w:val="0"/>
        </w:rPr>
        <w:t>有资本经营预算财政拨款收入支出决算表</w:t>
      </w:r>
      <w:bookmarkEnd w:id="66"/>
    </w:p>
    <w:p>
      <w:pPr>
        <w:rPr>
          <w:rFonts w:hint="default" w:ascii="Times New Roman" w:hAnsi="Times New Roman" w:eastAsia="仿宋" w:cs="Times New Roman"/>
        </w:rPr>
      </w:pPr>
      <w:r>
        <w:rPr>
          <w:rStyle w:val="26"/>
          <w:rFonts w:hint="default" w:ascii="Times New Roman" w:hAnsi="Times New Roman" w:eastAsia="仿宋" w:cs="Times New Roman"/>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10" w:usb3="00000000" w:csb0="00040000" w:csb1="00000000"/>
  </w:font>
  <w:font w:name="Calibri">
    <w:panose1 w:val="020F0502020204030204"/>
    <w:charset w:val="86"/>
    <w:family w:val="auto"/>
    <w:pitch w:val="default"/>
    <w:sig w:usb0="E10002FF" w:usb1="4000ACFF" w:usb2="00000009"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19</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WY1N2FlNjhlNjQwMGE3Njk3NTU0Y2UxMjQyMjI5OTA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1118"/>
    <w:rsid w:val="002A31DE"/>
    <w:rsid w:val="002B2613"/>
    <w:rsid w:val="002D6D05"/>
    <w:rsid w:val="002F1818"/>
    <w:rsid w:val="002F567B"/>
    <w:rsid w:val="003216A9"/>
    <w:rsid w:val="00335A74"/>
    <w:rsid w:val="00355616"/>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92A1C"/>
    <w:rsid w:val="004A711F"/>
    <w:rsid w:val="004B199D"/>
    <w:rsid w:val="004B4690"/>
    <w:rsid w:val="004B6687"/>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5F268E"/>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960C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9702E"/>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0966"/>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4B40"/>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6E678D"/>
    <w:rsid w:val="020532D0"/>
    <w:rsid w:val="02A2314B"/>
    <w:rsid w:val="05B216C8"/>
    <w:rsid w:val="07DE5E9E"/>
    <w:rsid w:val="08010705"/>
    <w:rsid w:val="0A2032A3"/>
    <w:rsid w:val="0B5911A6"/>
    <w:rsid w:val="0B8A37D8"/>
    <w:rsid w:val="0F662505"/>
    <w:rsid w:val="10C055FF"/>
    <w:rsid w:val="118107EC"/>
    <w:rsid w:val="11DD6519"/>
    <w:rsid w:val="14372491"/>
    <w:rsid w:val="14F84A3C"/>
    <w:rsid w:val="15767436"/>
    <w:rsid w:val="15BF4B75"/>
    <w:rsid w:val="16BB723D"/>
    <w:rsid w:val="18015F3F"/>
    <w:rsid w:val="1BE8440E"/>
    <w:rsid w:val="1D155CEE"/>
    <w:rsid w:val="203678B3"/>
    <w:rsid w:val="20F57F95"/>
    <w:rsid w:val="240371BF"/>
    <w:rsid w:val="254256A6"/>
    <w:rsid w:val="25C741E6"/>
    <w:rsid w:val="27842671"/>
    <w:rsid w:val="2879797C"/>
    <w:rsid w:val="298816DC"/>
    <w:rsid w:val="29FD04D3"/>
    <w:rsid w:val="2ABE7A3E"/>
    <w:rsid w:val="2EFA178C"/>
    <w:rsid w:val="30B46D73"/>
    <w:rsid w:val="319F7F4E"/>
    <w:rsid w:val="31F71B8D"/>
    <w:rsid w:val="339E1C7C"/>
    <w:rsid w:val="33F8181D"/>
    <w:rsid w:val="34304C33"/>
    <w:rsid w:val="36D93A99"/>
    <w:rsid w:val="37A265E4"/>
    <w:rsid w:val="39AE70AB"/>
    <w:rsid w:val="3A6C0324"/>
    <w:rsid w:val="3C0C0783"/>
    <w:rsid w:val="3E7569E0"/>
    <w:rsid w:val="3F9F3A96"/>
    <w:rsid w:val="40970E43"/>
    <w:rsid w:val="472B2616"/>
    <w:rsid w:val="48DD3E14"/>
    <w:rsid w:val="493C27E9"/>
    <w:rsid w:val="496F39ED"/>
    <w:rsid w:val="49FF41D3"/>
    <w:rsid w:val="4BE068DB"/>
    <w:rsid w:val="4BF6002B"/>
    <w:rsid w:val="4ECE2238"/>
    <w:rsid w:val="51797F99"/>
    <w:rsid w:val="51DB4B86"/>
    <w:rsid w:val="52A27448"/>
    <w:rsid w:val="55333C3E"/>
    <w:rsid w:val="5B6D636E"/>
    <w:rsid w:val="64CA39A1"/>
    <w:rsid w:val="6C4A05C8"/>
    <w:rsid w:val="6F1D0501"/>
    <w:rsid w:val="72734D90"/>
    <w:rsid w:val="79E7B28D"/>
    <w:rsid w:val="7D491780"/>
    <w:rsid w:val="7F9F20EE"/>
    <w:rsid w:val="9E3A10E2"/>
    <w:rsid w:val="F2E1F9D4"/>
    <w:rsid w:val="F78808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Salutation"/>
    <w:basedOn w:val="1"/>
    <w:next w:val="1"/>
    <w:qFormat/>
    <w:uiPriority w:val="0"/>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1">
    <w:name w:val="font21"/>
    <w:basedOn w:val="14"/>
    <w:qFormat/>
    <w:uiPriority w:val="0"/>
    <w:rPr>
      <w:rFonts w:hint="eastAsia" w:ascii="宋体" w:hAnsi="宋体" w:eastAsia="宋体" w:cs="宋体"/>
      <w:color w:val="000000"/>
      <w:sz w:val="24"/>
      <w:szCs w:val="24"/>
      <w:u w:val="none"/>
    </w:rPr>
  </w:style>
  <w:style w:type="character" w:customStyle="1" w:styleId="32">
    <w:name w:val="font11"/>
    <w:basedOn w:val="14"/>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ocuments\tencent%20files\616184509\filerecv\&#22270;&#34920;&#65288;&#26412;&#32423;&#6528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ocuments\tencent%20files\616184509\filerecv\&#22270;&#34920;&#65288;&#26412;&#32423;&#65289;.xls"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ocuments\tencent%20files\616184509\filerecv\&#22270;&#34920;&#65288;&#26412;&#32423;&#6528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收入（万元）</c:v>
                </c:pt>
              </c:strCache>
            </c:strRef>
          </c:tx>
          <c:spPr>
            <a:solidFill>
              <a:schemeClr val="accent1"/>
            </a:solidFill>
            <a:ln>
              <a:noFill/>
            </a:ln>
            <a:effectLst/>
          </c:spPr>
          <c:invertIfNegative val="0"/>
          <c:dLbls>
            <c:delete val="1"/>
          </c:dLbls>
          <c:cat>
            <c:numRef>
              <c:extLst>
                <c:ext xmlns:c15="http://schemas.microsoft.com/office/drawing/2012/chart" uri="{02D57815-91ED-43cb-92C2-25804820EDAC}">
                  <c15:fullRef>
                    <c15:sqref>Sheet1!$A$2</c15:sqref>
                  </c15:fullRef>
                </c:ext>
              </c:extLst>
              <c:f>Sheet1!$A$2</c:f>
              <c:numCache>
                <c:formatCode>General</c:formatCode>
                <c:ptCount val="1"/>
                <c:pt idx="0">
                  <c:v>2021</c:v>
                </c:pt>
              </c:numCache>
            </c:numRef>
          </c:cat>
          <c:val>
            <c:numRef>
              <c:extLst>
                <c:ext xmlns:c15="http://schemas.microsoft.com/office/drawing/2012/chart" uri="{02D57815-91ED-43cb-92C2-25804820EDAC}">
                  <c15:fullRef>
                    <c15:sqref>Sheet1!$B$2</c15:sqref>
                  </c15:fullRef>
                </c:ext>
              </c:extLst>
              <c:f>Sheet1!$B$2</c:f>
              <c:numCache>
                <c:formatCode>General</c:formatCode>
                <c:ptCount val="1"/>
                <c:pt idx="0">
                  <c:v>196.58</c:v>
                </c:pt>
              </c:numCache>
            </c:numRef>
          </c:val>
        </c:ser>
        <c:ser>
          <c:idx val="1"/>
          <c:order val="1"/>
          <c:tx>
            <c:strRef>
              <c:f>Sheet1!$C$1</c:f>
              <c:strCache>
                <c:ptCount val="1"/>
                <c:pt idx="0">
                  <c:v>支出（万元）</c:v>
                </c:pt>
              </c:strCache>
            </c:strRef>
          </c:tx>
          <c:spPr>
            <a:solidFill>
              <a:schemeClr val="accent2"/>
            </a:solidFill>
            <a:ln>
              <a:noFill/>
            </a:ln>
            <a:effectLst/>
          </c:spPr>
          <c:invertIfNegative val="0"/>
          <c:dLbls>
            <c:delete val="1"/>
          </c:dLbls>
          <c:cat>
            <c:numRef>
              <c:extLst>
                <c:ext xmlns:c15="http://schemas.microsoft.com/office/drawing/2012/chart" uri="{02D57815-91ED-43cb-92C2-25804820EDAC}">
                  <c15:fullRef>
                    <c15:sqref>Sheet1!$A$2</c15:sqref>
                  </c15:fullRef>
                </c:ext>
              </c:extLst>
              <c:f>Sheet1!$A$2</c:f>
              <c:numCache>
                <c:formatCode>General</c:formatCode>
                <c:ptCount val="1"/>
                <c:pt idx="0">
                  <c:v>2021</c:v>
                </c:pt>
              </c:numCache>
            </c:numRef>
          </c:cat>
          <c:val>
            <c:numRef>
              <c:extLst>
                <c:ext xmlns:c15="http://schemas.microsoft.com/office/drawing/2012/chart" uri="{02D57815-91ED-43cb-92C2-25804820EDAC}">
                  <c15:fullRef>
                    <c15:sqref>Sheet1!$C$2</c15:sqref>
                  </c15:fullRef>
                </c:ext>
              </c:extLst>
              <c:f>Sheet1!$C$2</c:f>
              <c:numCache>
                <c:formatCode>General</c:formatCode>
                <c:ptCount val="1"/>
                <c:pt idx="0">
                  <c:v>196.58</c:v>
                </c:pt>
              </c:numCache>
            </c:numRef>
          </c:val>
        </c:ser>
        <c:dLbls>
          <c:showLegendKey val="0"/>
          <c:showVal val="0"/>
          <c:showCatName val="0"/>
          <c:showSerName val="0"/>
          <c:showPercent val="0"/>
          <c:showBubbleSize val="0"/>
        </c:dLbls>
        <c:gapWidth val="219"/>
        <c:overlap val="-27"/>
        <c:axId val="186448896"/>
        <c:axId val="187912960"/>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系列 3</c:v>
                      </c:pt>
                    </c:strCache>
                  </c:strRef>
                </c:tx>
                <c:spPr>
                  <a:solidFill>
                    <a:schemeClr val="accent3"/>
                  </a:solidFill>
                  <a:ln>
                    <a:noFill/>
                  </a:ln>
                  <a:effectLst/>
                </c:spPr>
                <c:invertIfNegative val="0"/>
                <c:dLbls>
                  <c:delete val="1"/>
                </c:dLbls>
                <c:cat>
                  <c:numRef>
                    <c:extLst>
                      <c:ext uri="{02D57815-91ED-43cb-92C2-25804820EDAC}">
                        <c15:fullRef>
                          <c15:sqref>Sheet1!$A$2</c15:sqref>
                        </c15:fullRef>
                        <c15:formulaRef>
                          <c15:sqref>Sheet1!$A$2</c15:sqref>
                        </c15:formulaRef>
                      </c:ext>
                    </c:extLst>
                    <c:numCache>
                      <c:formatCode>General</c:formatCode>
                      <c:ptCount val="1"/>
                      <c:pt idx="0">
                        <c:v>2021</c:v>
                      </c:pt>
                    </c:numCache>
                  </c:numRef>
                </c:cat>
                <c:val>
                  <c:numRef>
                    <c:extLst>
                      <c:ext uri="{02D57815-91ED-43cb-92C2-25804820EDAC}">
                        <c15:fullRef>
                          <c15:sqref>Sheet1!$D$2</c15:sqref>
                        </c15:fullRef>
                        <c15:formulaRef>
                          <c15:sqref>Sheet1!$D$2</c15:sqref>
                        </c15:formulaRef>
                      </c:ext>
                    </c:extLst>
                    <c:numCache>
                      <c:formatCode>General</c:formatCode>
                      <c:ptCount val="1"/>
                      <c:pt idx="0">
                        <c:v>2</c:v>
                      </c:pt>
                    </c:numCache>
                  </c:numRef>
                </c:val>
              </c15:ser>
            </c15:filteredBarSeries>
          </c:ext>
        </c:extLst>
      </c:barChart>
      <c:catAx>
        <c:axId val="186448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7912960"/>
        <c:crosses val="autoZero"/>
        <c:auto val="1"/>
        <c:lblAlgn val="ctr"/>
        <c:lblOffset val="100"/>
        <c:noMultiLvlLbl val="0"/>
      </c:catAx>
      <c:valAx>
        <c:axId val="18791296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64488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lang="en-US" altLang="zh-CN" sz="1200" b="1" i="0" u="none" strike="noStrike" baseline="0">
                <a:solidFill>
                  <a:srgbClr val="000000"/>
                </a:solidFill>
                <a:latin typeface="Calibri" panose="020F0502020204030204" charset="-122"/>
                <a:ea typeface="Calibri" panose="020F0502020204030204" charset="-122"/>
                <a:cs typeface="Calibri" panose="020F0502020204030204" charset="-122"/>
              </a:rPr>
              <a:t> </a:t>
            </a:r>
            <a:r>
              <a:rPr lang="zh-CN" altLang="en-US" sz="1200" b="1" i="0" u="none" strike="noStrike" baseline="0">
                <a:solidFill>
                  <a:srgbClr val="000000"/>
                </a:solidFill>
                <a:latin typeface="Calibri" panose="020F0502020204030204" charset="-122"/>
                <a:ea typeface="Calibri" panose="020F0502020204030204" charset="-122"/>
                <a:cs typeface="Calibri" panose="020F0502020204030204" charset="-122"/>
              </a:rPr>
              <a:t>   收入决算结构</a:t>
            </a:r>
            <a:endParaRPr lang="en-US" altLang="zh-CN" sz="1200" b="1"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endParaRPr>
          </a:p>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lang="zh-CN" altLang="en-US" sz="1050" b="1" i="0" u="none" strike="noStrike" baseline="0">
                <a:solidFill>
                  <a:srgbClr val="000000"/>
                </a:solidFill>
                <a:latin typeface="Calibri" panose="020F0502020204030204" charset="-122"/>
                <a:ea typeface="Calibri" panose="020F0502020204030204" charset="-122"/>
                <a:cs typeface="Calibri" panose="020F0502020204030204" charset="-122"/>
              </a:rPr>
              <a:t>                                                                      单位：万元</a:t>
            </a:r>
            <a:endParaRPr lang="zh-CN" altLang="en-US"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overlay val="0"/>
    </c:title>
    <c:autoTitleDeleted val="0"/>
    <c:plotArea>
      <c:layout/>
      <c:pieChart>
        <c:varyColors val="1"/>
        <c:ser>
          <c:idx val="0"/>
          <c:order val="0"/>
          <c:explosion val="0"/>
          <c:dPt>
            <c:idx val="0"/>
            <c:bubble3D val="0"/>
            <c:spPr>
              <a:solidFill>
                <a:srgbClr val="00B0F0"/>
              </a:solidFill>
            </c:spPr>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000000">
                          <a:alpha val="100000"/>
                        </a:srgbClr>
                      </a:solidFill>
                      <a:prstDash val="solid"/>
                      <a:round/>
                    </a:ln>
                  </c:spPr>
                </c15:leaderLines>
              </c:ext>
            </c:extLst>
          </c:dLbls>
          <c:cat>
            <c:strRef>
              <c:f>'[图表（本级）.xls]市本级'!$C$20:$C$21</c:f>
              <c:strCache>
                <c:ptCount val="2"/>
                <c:pt idx="0">
                  <c:v>一般公共预算财政拨款</c:v>
                </c:pt>
              </c:strCache>
            </c:strRef>
          </c:cat>
          <c:val>
            <c:numRef>
              <c:f>'[图表（本级）.xls]市本级'!$D$20:$D$21</c:f>
              <c:numCache>
                <c:formatCode>General</c:formatCode>
                <c:ptCount val="2"/>
                <c:pt idx="0">
                  <c:v>220.03</c:v>
                </c:pt>
              </c:numCache>
            </c:numRef>
          </c:val>
        </c:ser>
        <c:ser>
          <c:idx val="1"/>
          <c:order val="1"/>
          <c:explosion val="0"/>
          <c:dPt>
            <c:idx val="0"/>
            <c:bubble3D val="0"/>
          </c:dPt>
          <c:dLbls>
            <c:delete val="1"/>
          </c:dLbls>
          <c:cat>
            <c:strRef>
              <c:f>'[图表（本级）.xls]市本级'!$C$20:$C$21</c:f>
              <c:strCache>
                <c:ptCount val="2"/>
                <c:pt idx="0">
                  <c:v>一般公共预算财政拨款</c:v>
                </c:pt>
              </c:strCache>
            </c:strRef>
          </c:cat>
          <c:val>
            <c:numRef>
              <c:f>'[图表（本级）.xls]市本级'!#REF!</c:f>
              <c:numCache>
                <c:formatCode>General</c:formatCode>
                <c:ptCount val="1"/>
              </c:numCache>
            </c:numRef>
          </c:val>
        </c:ser>
        <c:ser>
          <c:idx val="2"/>
          <c:order val="2"/>
          <c:explosion val="0"/>
          <c:dPt>
            <c:idx val="0"/>
            <c:bubble3D val="0"/>
          </c:dPt>
          <c:dPt>
            <c:idx val="1"/>
            <c:bubble3D val="0"/>
          </c:dPt>
          <c:dLbls>
            <c:delete val="1"/>
          </c:dLbls>
          <c:cat>
            <c:strRef>
              <c:f>'[图表（本级）.xls]市本级'!$C$20:$C$21</c:f>
              <c:strCache>
                <c:ptCount val="2"/>
                <c:pt idx="0">
                  <c:v>一般公共预算财政拨款</c:v>
                </c:pt>
              </c:strCache>
            </c:strRef>
          </c:cat>
          <c:val>
            <c:numRef>
              <c:f>'[图表（本级）.xls]市本级'!$C$21:$D$21</c:f>
              <c:numCache>
                <c:formatCode>General</c:formatCode>
                <c:ptCount val="2"/>
              </c:numCache>
            </c:numRef>
          </c:val>
        </c:ser>
        <c:ser>
          <c:idx val="3"/>
          <c:order val="3"/>
          <c:tx>
            <c:strRef>
              <c:f>'[图表（本级）.xls]市本级'!$D$20:$D$21</c:f>
              <c:strCache>
                <c:ptCount val="1"/>
                <c:pt idx="0">
                  <c:v>220.03</c:v>
                </c:pt>
              </c:strCache>
            </c:strRef>
          </c:tx>
          <c:explosion val="0"/>
          <c:dPt>
            <c:idx val="0"/>
            <c:bubble3D val="0"/>
          </c:dPt>
          <c:dLbls>
            <c:delete val="1"/>
          </c:dLbls>
          <c:cat>
            <c:strRef>
              <c:f>'[图表（本级）.xls]市本级'!$C$20:$C$21</c:f>
              <c:strCache>
                <c:ptCount val="2"/>
                <c:pt idx="0">
                  <c:v>一般公共预算财政拨款</c:v>
                </c:pt>
              </c:strCache>
            </c:strRef>
          </c:cat>
          <c:val>
            <c:numRef>
              <c:f>{1}</c:f>
              <c:numCache>
                <c:formatCode>General</c:formatCode>
                <c:ptCount val="1"/>
                <c:pt idx="0">
                  <c:v>1</c:v>
                </c:pt>
              </c:numCache>
            </c:numRef>
          </c:val>
        </c:ser>
        <c:dLbls>
          <c:showLegendKey val="0"/>
          <c:showVal val="0"/>
          <c:showCatName val="0"/>
          <c:showSerName val="0"/>
          <c:showPercent val="0"/>
          <c:showBubbleSize val="0"/>
          <c:showLeaderLines val="1"/>
        </c:dLbls>
        <c:firstSliceAng val="0"/>
      </c:pieChart>
      <c:spPr>
        <a:noFill/>
        <a:ln w="3175">
          <a:noFill/>
        </a:ln>
      </c:spPr>
    </c:plotArea>
    <c:legend>
      <c:legendPos val="r"/>
      <c:legendEntry>
        <c:idx val="1"/>
        <c:delete val="1"/>
      </c:legendEntry>
      <c:layout>
        <c:manualLayout>
          <c:xMode val="edge"/>
          <c:yMode val="edge"/>
          <c:x val="0.747"/>
          <c:y val="0.5035"/>
          <c:w val="0.238888888888889"/>
          <c:h val="0.444444444444444"/>
        </c:manualLayout>
      </c:layout>
      <c:overlay val="0"/>
      <c:spPr>
        <a:ln>
          <a:solidFill>
            <a:schemeClr val="accent1"/>
          </a:solidFill>
        </a:ln>
      </c:spP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wrap="square"/>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lang="zh-CN" sz="1200" b="1" i="0" u="none" strike="noStrike" baseline="0">
                <a:solidFill>
                  <a:srgbClr val="000000"/>
                </a:solidFill>
                <a:latin typeface="Calibri" panose="020F0502020204030204" charset="-122"/>
                <a:ea typeface="Calibri" panose="020F0502020204030204" charset="-122"/>
                <a:cs typeface="Calibri" panose="020F0502020204030204" charset="-122"/>
              </a:rPr>
              <a:t>图</a:t>
            </a:r>
            <a:r>
              <a:rPr lang="en-US" sz="1200" b="1"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3</a:t>
            </a:r>
            <a:r>
              <a:rPr lang="zh-CN" sz="1200" b="1" i="0" u="none" strike="noStrike" baseline="0">
                <a:solidFill>
                  <a:srgbClr val="000000"/>
                </a:solidFill>
                <a:latin typeface="Calibri" panose="020F0502020204030204" charset="-122"/>
                <a:ea typeface="Calibri" panose="020F0502020204030204" charset="-122"/>
                <a:cs typeface="Calibri" panose="020F0502020204030204" charset="-122"/>
              </a:rPr>
              <a:t>     支出决算结构图</a:t>
            </a:r>
            <a:endParaRPr lang="en-US" sz="1200" b="1"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endParaRPr>
          </a:p>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lang="en-US" sz="1000" b="1"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                                                               </a:t>
            </a:r>
            <a:r>
              <a:rPr lang="zh-CN" sz="1000" b="1" i="0" u="none" strike="noStrike" baseline="0">
                <a:solidFill>
                  <a:srgbClr val="000000"/>
                </a:solidFill>
                <a:latin typeface="Calibri" panose="020F0502020204030204" charset="-122"/>
                <a:ea typeface="Calibri" panose="020F0502020204030204" charset="-122"/>
                <a:cs typeface="Calibri" panose="020F0502020204030204" charset="-122"/>
              </a:rPr>
              <a:t>单位：万元</a:t>
            </a:r>
            <a:endParaRPr lang="zh-CN"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overlay val="0"/>
    </c:title>
    <c:autoTitleDeleted val="0"/>
    <c:plotArea>
      <c:layout/>
      <c:pieChart>
        <c:varyColors val="1"/>
        <c:ser>
          <c:idx val="0"/>
          <c:order val="0"/>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000000">
                          <a:alpha val="100000"/>
                        </a:srgbClr>
                      </a:solidFill>
                      <a:prstDash val="solid"/>
                      <a:round/>
                    </a:ln>
                  </c:spPr>
                </c15:leaderLines>
              </c:ext>
            </c:extLst>
          </c:dLbls>
          <c:cat>
            <c:strRef>
              <c:f>'[图表（本级）.xls]市本级'!$C$40:$C$41</c:f>
              <c:strCache>
                <c:ptCount val="2"/>
                <c:pt idx="0">
                  <c:v>基本支出</c:v>
                </c:pt>
                <c:pt idx="1">
                  <c:v>项目支出</c:v>
                </c:pt>
              </c:strCache>
            </c:strRef>
          </c:cat>
          <c:val>
            <c:numRef>
              <c:f>'[图表（本级）.xls]市本级'!$D$40:$D$41</c:f>
              <c:numCache>
                <c:formatCode>General</c:formatCode>
                <c:ptCount val="2"/>
                <c:pt idx="0">
                  <c:v>187.93</c:v>
                </c:pt>
                <c:pt idx="1">
                  <c:v>8.66</c:v>
                </c:pt>
              </c:numCache>
            </c:numRef>
          </c:val>
        </c:ser>
        <c:dLbls>
          <c:showLegendKey val="0"/>
          <c:showVal val="1"/>
          <c:showCatName val="0"/>
          <c:showSerName val="0"/>
          <c:showPercent val="0"/>
          <c:showBubbleSize val="0"/>
          <c:showLeaderLines val="1"/>
        </c:dLbls>
        <c:firstSliceAng val="0"/>
      </c:pieChart>
      <c:spPr>
        <a:noFill/>
        <a:ln w="3175">
          <a:noFill/>
        </a:ln>
      </c:spPr>
    </c:plotArea>
    <c:legend>
      <c:legendPos val="r"/>
      <c:layout>
        <c:manualLayout>
          <c:xMode val="edge"/>
          <c:yMode val="edge"/>
          <c:x val="0.815"/>
          <c:y val="0.486"/>
          <c:w val="0.167"/>
          <c:h val="0.20875"/>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wrap="square"/>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8575"/>
          <c:y val="0.0423333333333334"/>
          <c:w val="0.905175"/>
          <c:h val="0.807233333333333"/>
        </c:manualLayout>
      </c:layout>
      <c:barChart>
        <c:barDir val="col"/>
        <c:grouping val="clustered"/>
        <c:varyColors val="0"/>
        <c:ser>
          <c:idx val="0"/>
          <c:order val="0"/>
          <c:tx>
            <c:strRef>
              <c:f>Sheet1!$B$1</c:f>
              <c:strCache>
                <c:ptCount val="1"/>
                <c:pt idx="0">
                  <c:v>收入（万元）</c:v>
                </c:pt>
              </c:strCache>
            </c:strRef>
          </c:tx>
          <c:spPr>
            <a:solidFill>
              <a:schemeClr val="accent1"/>
            </a:solidFill>
            <a:ln>
              <a:noFill/>
            </a:ln>
            <a:effectLst/>
          </c:spPr>
          <c:invertIfNegative val="0"/>
          <c:dLbls>
            <c:delete val="1"/>
          </c:dLbls>
          <c:cat>
            <c:numRef>
              <c:extLst>
                <c:ext xmlns:c15="http://schemas.microsoft.com/office/drawing/2012/chart" uri="{02D57815-91ED-43cb-92C2-25804820EDAC}">
                  <c15:fullRef>
                    <c15:sqref>Sheet1!$A$2</c15:sqref>
                  </c15:fullRef>
                </c:ext>
              </c:extLst>
              <c:f>Sheet1!$A$2</c:f>
              <c:numCache>
                <c:formatCode>General</c:formatCode>
                <c:ptCount val="1"/>
                <c:pt idx="0">
                  <c:v>2021</c:v>
                </c:pt>
              </c:numCache>
            </c:numRef>
          </c:cat>
          <c:val>
            <c:numRef>
              <c:extLst>
                <c:ext xmlns:c15="http://schemas.microsoft.com/office/drawing/2012/chart" uri="{02D57815-91ED-43cb-92C2-25804820EDAC}">
                  <c15:fullRef>
                    <c15:sqref>Sheet1!$B$2</c15:sqref>
                  </c15:fullRef>
                </c:ext>
              </c:extLst>
              <c:f>Sheet1!$B$2</c:f>
              <c:numCache>
                <c:formatCode>General</c:formatCode>
                <c:ptCount val="1"/>
                <c:pt idx="0">
                  <c:v>196.58</c:v>
                </c:pt>
              </c:numCache>
            </c:numRef>
          </c:val>
        </c:ser>
        <c:ser>
          <c:idx val="1"/>
          <c:order val="1"/>
          <c:tx>
            <c:strRef>
              <c:f>Sheet1!$C$1</c:f>
              <c:strCache>
                <c:ptCount val="1"/>
                <c:pt idx="0">
                  <c:v>支出（万元）</c:v>
                </c:pt>
              </c:strCache>
            </c:strRef>
          </c:tx>
          <c:spPr>
            <a:solidFill>
              <a:schemeClr val="accent2"/>
            </a:solidFill>
            <a:ln>
              <a:noFill/>
            </a:ln>
            <a:effectLst/>
          </c:spPr>
          <c:invertIfNegative val="0"/>
          <c:dLbls>
            <c:delete val="1"/>
          </c:dLbls>
          <c:cat>
            <c:numRef>
              <c:extLst>
                <c:ext xmlns:c15="http://schemas.microsoft.com/office/drawing/2012/chart" uri="{02D57815-91ED-43cb-92C2-25804820EDAC}">
                  <c15:fullRef>
                    <c15:sqref>Sheet1!$A$2</c15:sqref>
                  </c15:fullRef>
                </c:ext>
              </c:extLst>
              <c:f>Sheet1!$A$2</c:f>
              <c:numCache>
                <c:formatCode>General</c:formatCode>
                <c:ptCount val="1"/>
                <c:pt idx="0">
                  <c:v>2021</c:v>
                </c:pt>
              </c:numCache>
            </c:numRef>
          </c:cat>
          <c:val>
            <c:numRef>
              <c:extLst>
                <c:ext xmlns:c15="http://schemas.microsoft.com/office/drawing/2012/chart" uri="{02D57815-91ED-43cb-92C2-25804820EDAC}">
                  <c15:fullRef>
                    <c15:sqref>Sheet1!$C$2</c15:sqref>
                  </c15:fullRef>
                </c:ext>
              </c:extLst>
              <c:f>Sheet1!$C$2</c:f>
              <c:numCache>
                <c:formatCode>General</c:formatCode>
                <c:ptCount val="1"/>
                <c:pt idx="0">
                  <c:v>196.58</c:v>
                </c:pt>
              </c:numCache>
            </c:numRef>
          </c:val>
        </c:ser>
        <c:dLbls>
          <c:showLegendKey val="0"/>
          <c:showVal val="0"/>
          <c:showCatName val="0"/>
          <c:showSerName val="0"/>
          <c:showPercent val="0"/>
          <c:showBubbleSize val="0"/>
        </c:dLbls>
        <c:gapWidth val="219"/>
        <c:overlap val="-27"/>
        <c:axId val="186526336"/>
        <c:axId val="186536320"/>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系列 3</c:v>
                      </c:pt>
                    </c:strCache>
                  </c:strRef>
                </c:tx>
                <c:spPr>
                  <a:solidFill>
                    <a:schemeClr val="accent3"/>
                  </a:solidFill>
                  <a:ln>
                    <a:noFill/>
                  </a:ln>
                  <a:effectLst/>
                </c:spPr>
                <c:invertIfNegative val="0"/>
                <c:dLbls>
                  <c:delete val="1"/>
                </c:dLbls>
                <c:cat>
                  <c:numRef>
                    <c:extLst>
                      <c:ext uri="{02D57815-91ED-43cb-92C2-25804820EDAC}">
                        <c15:fullRef>
                          <c15:sqref>Sheet1!$A$2</c15:sqref>
                        </c15:fullRef>
                        <c15:formulaRef>
                          <c15:sqref>Sheet1!$A$2</c15:sqref>
                        </c15:formulaRef>
                      </c:ext>
                    </c:extLst>
                    <c:numCache>
                      <c:formatCode>General</c:formatCode>
                      <c:ptCount val="1"/>
                      <c:pt idx="0">
                        <c:v>2021</c:v>
                      </c:pt>
                    </c:numCache>
                  </c:numRef>
                </c:cat>
                <c:val>
                  <c:numRef>
                    <c:extLst>
                      <c:ext uri="{02D57815-91ED-43cb-92C2-25804820EDAC}">
                        <c15:fullRef>
                          <c15:sqref>Sheet1!$D$2</c15:sqref>
                        </c15:fullRef>
                        <c15:formulaRef>
                          <c15:sqref>Sheet1!$D$2</c15:sqref>
                        </c15:formulaRef>
                      </c:ext>
                    </c:extLst>
                    <c:numCache>
                      <c:formatCode>General</c:formatCode>
                      <c:ptCount val="1"/>
                      <c:pt idx="0">
                        <c:v>2</c:v>
                      </c:pt>
                    </c:numCache>
                  </c:numRef>
                </c:val>
              </c15:ser>
            </c15:filteredBarSeries>
          </c:ext>
        </c:extLst>
      </c:barChart>
      <c:catAx>
        <c:axId val="18652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6536320"/>
        <c:crosses val="autoZero"/>
        <c:auto val="1"/>
        <c:lblAlgn val="ctr"/>
        <c:lblOffset val="100"/>
        <c:noMultiLvlLbl val="0"/>
      </c:catAx>
      <c:valAx>
        <c:axId val="18653632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65263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一般公共预算财政拨款支出(万元）</c:v>
                </c:pt>
              </c:strCache>
            </c:strRef>
          </c:tx>
          <c:spPr>
            <a:solidFill>
              <a:schemeClr val="accent1"/>
            </a:solidFill>
            <a:ln>
              <a:noFill/>
            </a:ln>
            <a:effectLst/>
          </c:spPr>
          <c:invertIfNegative val="0"/>
          <c:dLbls>
            <c:delete val="1"/>
          </c:dLbls>
          <c:cat>
            <c:numRef>
              <c:f>Sheet1!$A$2</c:f>
              <c:numCache>
                <c:formatCode>General</c:formatCode>
                <c:ptCount val="1"/>
                <c:pt idx="0">
                  <c:v>2021</c:v>
                </c:pt>
              </c:numCache>
            </c:numRef>
          </c:cat>
          <c:val>
            <c:numRef>
              <c:f>Sheet1!$B$2</c:f>
              <c:numCache>
                <c:formatCode>General</c:formatCode>
                <c:ptCount val="1"/>
                <c:pt idx="0">
                  <c:v>196.58</c:v>
                </c:pt>
              </c:numCache>
            </c:numRef>
          </c:val>
        </c:ser>
        <c:dLbls>
          <c:showLegendKey val="0"/>
          <c:showVal val="0"/>
          <c:showCatName val="0"/>
          <c:showSerName val="0"/>
          <c:showPercent val="0"/>
          <c:showBubbleSize val="0"/>
        </c:dLbls>
        <c:gapWidth val="219"/>
        <c:overlap val="-27"/>
        <c:axId val="186551680"/>
        <c:axId val="186565760"/>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系列 2</c:v>
                      </c:pt>
                    </c:strCache>
                  </c:strRef>
                </c:tx>
                <c:spPr>
                  <a:solidFill>
                    <a:schemeClr val="accent2"/>
                  </a:solidFill>
                  <a:ln>
                    <a:noFill/>
                  </a:ln>
                  <a:effectLst/>
                </c:spPr>
                <c:invertIfNegative val="0"/>
                <c:dLbls>
                  <c:delete val="1"/>
                </c:dLbls>
                <c:cat>
                  <c:numRef>
                    <c:extLst>
                      <c:ext uri="{02D57815-91ED-43cb-92C2-25804820EDAC}">
                        <c15:fullRef>
                          <c15:sqref/>
                        </c15:fullRef>
                        <c15:formulaRef>
                          <c15:sqref>Sheet1!$A$2</c15:sqref>
                        </c15:formulaRef>
                      </c:ext>
                    </c:extLst>
                    <c:numCache>
                      <c:formatCode>General</c:formatCode>
                      <c:ptCount val="1"/>
                      <c:pt idx="0">
                        <c:v>2021</c:v>
                      </c:pt>
                    </c:numCache>
                  </c:numRef>
                </c:cat>
                <c:val>
                  <c:numRef>
                    <c:extLst>
                      <c:ext uri="{02D57815-91ED-43cb-92C2-25804820EDAC}">
                        <c15:formulaRef>
                          <c15:sqref>Sheet1!$C$2</c15:sqref>
                        </c15:formulaRef>
                      </c:ext>
                    </c:extLst>
                    <c:numCache>
                      <c:formatCode>General</c:formatCode>
                      <c:ptCount val="1"/>
                      <c:pt idx="0">
                        <c:v>2.4</c:v>
                      </c:pt>
                    </c:numCache>
                  </c:numRef>
                </c:val>
              </c15:ser>
            </c15:filteredBarSeries>
            <c15:filteredBarSeries>
              <c15:ser>
                <c:idx val="2"/>
                <c:order val="2"/>
                <c:tx>
                  <c:strRef>
                    <c:extLst>
                      <c:ext uri="{02D57815-91ED-43cb-92C2-25804820EDAC}">
                        <c15:formulaRef>
                          <c15:sqref>Sheet1!$D$1</c15:sqref>
                        </c15:formulaRef>
                      </c:ext>
                    </c:extLst>
                    <c:strCache>
                      <c:ptCount val="1"/>
                      <c:pt idx="0">
                        <c:v>系列 3</c:v>
                      </c:pt>
                    </c:strCache>
                  </c:strRef>
                </c:tx>
                <c:spPr>
                  <a:solidFill>
                    <a:schemeClr val="accent3"/>
                  </a:solidFill>
                  <a:ln>
                    <a:noFill/>
                  </a:ln>
                  <a:effectLst/>
                </c:spPr>
                <c:invertIfNegative val="0"/>
                <c:dLbls>
                  <c:delete val="1"/>
                </c:dLbls>
                <c:cat>
                  <c:numRef>
                    <c:extLst>
                      <c:ext uri="{02D57815-91ED-43cb-92C2-25804820EDAC}">
                        <c15:fullRef>
                          <c15:sqref/>
                        </c15:fullRef>
                        <c15:formulaRef>
                          <c15:sqref>Sheet1!$A$2</c15:sqref>
                        </c15:formulaRef>
                      </c:ext>
                    </c:extLst>
                    <c:numCache>
                      <c:formatCode>General</c:formatCode>
                      <c:ptCount val="1"/>
                      <c:pt idx="0">
                        <c:v>2021</c:v>
                      </c:pt>
                    </c:numCache>
                  </c:numRef>
                </c:cat>
                <c:val>
                  <c:numRef>
                    <c:extLst>
                      <c:ext uri="{02D57815-91ED-43cb-92C2-25804820EDAC}">
                        <c15:formulaRef>
                          <c15:sqref>Sheet1!$D$2</c15:sqref>
                        </c15:formulaRef>
                      </c:ext>
                    </c:extLst>
                    <c:numCache>
                      <c:formatCode>General</c:formatCode>
                      <c:ptCount val="1"/>
                      <c:pt idx="0">
                        <c:v>2</c:v>
                      </c:pt>
                    </c:numCache>
                  </c:numRef>
                </c:val>
              </c15:ser>
            </c15:filteredBarSeries>
          </c:ext>
        </c:extLst>
      </c:barChart>
      <c:catAx>
        <c:axId val="186551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6565760"/>
        <c:crosses val="autoZero"/>
        <c:auto val="1"/>
        <c:lblAlgn val="ctr"/>
        <c:lblOffset val="100"/>
        <c:noMultiLvlLbl val="0"/>
      </c:catAx>
      <c:valAx>
        <c:axId val="18656576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65516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lang="zh-CN" sz="1200" b="1" i="0" u="none" strike="noStrike" baseline="0">
                <a:solidFill>
                  <a:srgbClr val="000000"/>
                </a:solidFill>
                <a:latin typeface="Calibri" panose="020F0502020204030204" charset="-122"/>
                <a:ea typeface="Calibri" panose="020F0502020204030204" charset="-122"/>
                <a:cs typeface="Calibri" panose="020F0502020204030204" charset="-122"/>
              </a:rPr>
              <a:t>图</a:t>
            </a:r>
            <a:r>
              <a:rPr lang="en-US" sz="1200" b="1"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6</a:t>
            </a:r>
            <a:r>
              <a:rPr lang="zh-CN" sz="1200" b="1" i="0" u="none" strike="noStrike" baseline="0">
                <a:solidFill>
                  <a:srgbClr val="000000"/>
                </a:solidFill>
                <a:latin typeface="Calibri" panose="020F0502020204030204" charset="-122"/>
                <a:ea typeface="Calibri" panose="020F0502020204030204" charset="-122"/>
                <a:cs typeface="Calibri" panose="020F0502020204030204" charset="-122"/>
              </a:rPr>
              <a:t>：一般公共预算财政拨款支出决算结构</a:t>
            </a:r>
            <a:endParaRPr lang="en-US" sz="1200" b="1"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endParaRPr>
          </a:p>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lang="en-US" sz="1200" b="1"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                                                               </a:t>
            </a:r>
            <a:r>
              <a:rPr lang="zh-CN" sz="1000" b="1" i="0" u="none" strike="noStrike" baseline="0">
                <a:solidFill>
                  <a:srgbClr val="000000"/>
                </a:solidFill>
                <a:latin typeface="Calibri" panose="020F0502020204030204" charset="-122"/>
                <a:ea typeface="Calibri" panose="020F0502020204030204" charset="-122"/>
                <a:cs typeface="Calibri" panose="020F0502020204030204" charset="-122"/>
              </a:rPr>
              <a:t>单位：万元</a:t>
            </a:r>
            <a:endParaRPr lang="zh-CN"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overlay val="0"/>
    </c:title>
    <c:autoTitleDeleted val="0"/>
    <c:plotArea>
      <c:layout/>
      <c:pieChart>
        <c:varyColors val="1"/>
        <c:ser>
          <c:idx val="0"/>
          <c:order val="0"/>
          <c:explosion val="0"/>
          <c:dPt>
            <c:idx val="0"/>
            <c:bubble3D val="0"/>
          </c:dPt>
          <c:dPt>
            <c:idx val="1"/>
            <c:bubble3D val="0"/>
          </c:dPt>
          <c:dPt>
            <c:idx val="2"/>
            <c:bubble3D val="0"/>
          </c:dPt>
          <c:dPt>
            <c:idx val="3"/>
            <c:bubble3D val="0"/>
          </c:dPt>
          <c:dLbls>
            <c:dLbl>
              <c:idx val="0"/>
              <c:layout>
                <c:manualLayout>
                  <c:x val="0.00284292821606254"/>
                  <c:y val="-0.04687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68585643212509"/>
                  <c:y val="0.026041666666666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796019900497513"/>
                  <c:y val="0.0312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000000">
                          <a:alpha val="100000"/>
                        </a:srgbClr>
                      </a:solidFill>
                      <a:prstDash val="solid"/>
                      <a:round/>
                    </a:ln>
                  </c:spPr>
                </c15:leaderLines>
              </c:ext>
            </c:extLst>
          </c:dLbls>
          <c:cat>
            <c:strRef>
              <c:f>'[图表（本级）.xls]市本级'!$B$96:$B$99</c:f>
              <c:strCache>
                <c:ptCount val="4"/>
                <c:pt idx="1">
                  <c:v>社会保障和就业支出</c:v>
                </c:pt>
                <c:pt idx="2">
                  <c:v>节能环保支出</c:v>
                </c:pt>
                <c:pt idx="3">
                  <c:v>住房保障支出</c:v>
                </c:pt>
              </c:strCache>
            </c:strRef>
          </c:cat>
          <c:val>
            <c:numRef>
              <c:f>'[图表（本级）.xls]市本级'!$C$96:$C$99</c:f>
              <c:numCache>
                <c:formatCode>General</c:formatCode>
                <c:ptCount val="4"/>
                <c:pt idx="1">
                  <c:v>18.91</c:v>
                </c:pt>
                <c:pt idx="2">
                  <c:v>157.09</c:v>
                </c:pt>
                <c:pt idx="3">
                  <c:v>20.58</c:v>
                </c:pt>
              </c:numCache>
            </c:numRef>
          </c:val>
        </c:ser>
        <c:dLbls>
          <c:showLegendKey val="0"/>
          <c:showVal val="1"/>
          <c:showCatName val="0"/>
          <c:showSerName val="0"/>
          <c:showPercent val="0"/>
          <c:showBubbleSize val="0"/>
          <c:showLeaderLines val="1"/>
        </c:dLbls>
        <c:firstSliceAng val="0"/>
      </c:pieChart>
      <c:spPr>
        <a:noFill/>
        <a:ln w="3175">
          <a:noFill/>
        </a:ln>
      </c:spPr>
    </c:plotArea>
    <c:legend>
      <c:legendPos val="r"/>
      <c:legendEntry>
        <c:idx val="0"/>
        <c:delete val="1"/>
      </c:legendEntry>
      <c:layout>
        <c:manualLayout>
          <c:xMode val="edge"/>
          <c:yMode val="edge"/>
          <c:x val="0.7435"/>
          <c:y val="0.353"/>
          <c:w val="0.233120113717129"/>
          <c:h val="0.651041666666668"/>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wrap="square"/>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19</Pages>
  <Words>1165</Words>
  <Characters>6641</Characters>
  <Lines>55</Lines>
  <Paragraphs>15</Paragraphs>
  <TotalTime>0</TotalTime>
  <ScaleCrop>false</ScaleCrop>
  <LinksUpToDate>false</LinksUpToDate>
  <CharactersWithSpaces>7791</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王顺莉</cp:lastModifiedBy>
  <cp:lastPrinted>2022-08-06T02:23:00Z</cp:lastPrinted>
  <dcterms:modified xsi:type="dcterms:W3CDTF">2023-09-27T02:34:04Z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B5E4669546D34E7A809AE1B4BF47D414</vt:lpwstr>
  </property>
</Properties>
</file>