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1" w:name="_Toc15378441"/>
      <w:bookmarkStart w:id="2" w:name="_Toc15396597"/>
      <w:bookmarkStart w:id="3" w:name="_Toc15377193"/>
      <w:bookmarkStart w:id="4" w:name="_Toc15396475"/>
      <w:bookmarkStart w:id="5" w:name="_Toc15377425"/>
      <w:r>
        <w:rPr>
          <w:rFonts w:hint="default" w:ascii="Times New Roman" w:hAnsi="Times New Roman" w:eastAsia="方正小标宋简体" w:cs="Times New Roman"/>
          <w:sz w:val="72"/>
          <w:szCs w:val="72"/>
        </w:rPr>
        <w:t>2021年度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96476"/>
      <w:bookmarkStart w:id="7" w:name="_Toc15377426"/>
      <w:bookmarkStart w:id="8" w:name="_Toc15378442"/>
      <w:bookmarkStart w:id="9" w:name="_Toc15377194"/>
      <w:bookmarkStart w:id="10" w:name="_Toc15396598"/>
      <w:r>
        <w:rPr>
          <w:rFonts w:hint="default" w:ascii="Times New Roman" w:hAnsi="Times New Roman" w:eastAsia="方正小标宋简体" w:cs="Times New Roman"/>
          <w:sz w:val="72"/>
          <w:szCs w:val="72"/>
        </w:rPr>
        <w:t>四川省</w:t>
      </w:r>
      <w:bookmarkEnd w:id="0"/>
      <w:bookmarkStart w:id="11" w:name="_Toc15306268"/>
      <w:r>
        <w:rPr>
          <w:rFonts w:hint="default" w:ascii="Times New Roman" w:hAnsi="Times New Roman" w:eastAsia="方正小标宋简体" w:cs="Times New Roman"/>
          <w:sz w:val="72"/>
          <w:szCs w:val="72"/>
        </w:rPr>
        <w:t>攀枝花市西区生态环境局</w:t>
      </w:r>
      <w:r>
        <w:rPr>
          <w:rFonts w:hint="default" w:ascii="Times New Roman" w:hAnsi="Times New Roman" w:eastAsia="方正小标宋简体" w:cs="Times New Roman"/>
          <w:b/>
          <w:bCs/>
          <w:sz w:val="72"/>
          <w:szCs w:val="72"/>
        </w:rPr>
        <w:t>单位</w:t>
      </w:r>
      <w:r>
        <w:rPr>
          <w:rFonts w:hint="default" w:ascii="Times New Roman" w:hAnsi="Times New Roman" w:eastAsia="方正小标宋简体" w:cs="Times New Roman"/>
          <w:sz w:val="72"/>
          <w:szCs w:val="72"/>
        </w:rPr>
        <w:t>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rPr>
      </w:pPr>
      <w:bookmarkStart w:id="12" w:name="_Toc15396599"/>
      <w:bookmarkStart w:id="13" w:name="_Toc15377196"/>
      <w:r>
        <w:rPr>
          <w:rFonts w:hint="default" w:ascii="Times New Roman" w:hAnsi="Times New Roman" w:cs="Times New Roman"/>
        </w:rPr>
        <w:t>公开时间：2022年9月14日</w:t>
      </w:r>
    </w:p>
    <w:p>
      <w:pPr>
        <w:rPr>
          <w:rFonts w:hint="default" w:ascii="Times New Roman" w:hAnsi="Times New Roman" w:cs="Times New Roman"/>
        </w:rPr>
      </w:pPr>
    </w:p>
    <w:p>
      <w:pPr>
        <w:pStyle w:val="11"/>
        <w:adjustRightInd w:val="0"/>
        <w:snapToGrid w:val="0"/>
        <w:spacing w:before="0" w:line="440" w:lineRule="exact"/>
        <w:jc w:val="left"/>
        <w:rPr>
          <w:rFonts w:hint="default" w:ascii="Times New Roman" w:hAnsi="Times New Roman" w:cs="Times New Roman"/>
        </w:rPr>
      </w:pPr>
      <w:r>
        <w:rPr>
          <w:rFonts w:hint="default" w:ascii="Times New Roman" w:hAnsi="Times New Roman" w:cs="Times New Roman"/>
        </w:rPr>
        <w:t>第一部分单位概况…………………………………………4</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一、职能简介……………………………………………4</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二、2021年重点工作完成情况…………………………7</w:t>
      </w:r>
    </w:p>
    <w:p>
      <w:pPr>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 xml:space="preserve">   三、机构设置情况</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12</w:t>
      </w:r>
    </w:p>
    <w:p>
      <w:pPr>
        <w:pStyle w:val="11"/>
        <w:adjustRightInd w:val="0"/>
        <w:snapToGrid w:val="0"/>
        <w:spacing w:before="0" w:line="440" w:lineRule="exact"/>
        <w:jc w:val="left"/>
        <w:rPr>
          <w:rFonts w:hint="default" w:ascii="Times New Roman" w:hAnsi="Times New Roman" w:cs="Times New Roman"/>
        </w:rPr>
      </w:pPr>
      <w:r>
        <w:rPr>
          <w:rFonts w:hint="default" w:ascii="Times New Roman" w:hAnsi="Times New Roman" w:cs="Times New Roman"/>
        </w:rPr>
        <w:t>第二部分 2021年度单位决算情况说明……………………13</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一、收入支出决算总体情况说明………………………13</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二、收入决算情况说明…………………………………13</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三、支出决算情况说明…………………………………14</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四、财政拨款收入支出决算总体情况说明……………14</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五、一般公共预算财政拨款支出决算情况说明………16</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六、一般公共预算财政拨款基本支出决算情况说明……17</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七、“三公”经费财政拨款支出决算情况说明…………17</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八、政府性基金预算支出决算情况说明…………………19</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九、国有资本经营预算支出决算情况说明………………19</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十、其他重要事项的情况说明……………………………19</w:t>
      </w:r>
    </w:p>
    <w:p>
      <w:pPr>
        <w:pStyle w:val="11"/>
        <w:adjustRightInd w:val="0"/>
        <w:snapToGrid w:val="0"/>
        <w:spacing w:before="0" w:line="440" w:lineRule="exact"/>
        <w:jc w:val="left"/>
        <w:rPr>
          <w:rFonts w:hint="default" w:ascii="Times New Roman" w:hAnsi="Times New Roman" w:cs="Times New Roman"/>
        </w:rPr>
      </w:pPr>
      <w:r>
        <w:rPr>
          <w:rFonts w:hint="default" w:ascii="Times New Roman" w:hAnsi="Times New Roman" w:cs="Times New Roman"/>
        </w:rPr>
        <w:t>第三部分名词解释……………………………………………21</w:t>
      </w:r>
    </w:p>
    <w:p>
      <w:pPr>
        <w:pStyle w:val="11"/>
        <w:adjustRightInd w:val="0"/>
        <w:snapToGrid w:val="0"/>
        <w:spacing w:before="0" w:line="440" w:lineRule="exact"/>
        <w:jc w:val="left"/>
        <w:rPr>
          <w:rFonts w:hint="default" w:ascii="Times New Roman" w:hAnsi="Times New Roman" w:cs="Times New Roman"/>
        </w:rPr>
      </w:pPr>
      <w:r>
        <w:rPr>
          <w:rFonts w:hint="default" w:ascii="Times New Roman" w:hAnsi="Times New Roman" w:cs="Times New Roman"/>
        </w:rPr>
        <w:t>第四部分附件…………………………………………………24</w:t>
      </w:r>
    </w:p>
    <w:p>
      <w:pPr>
        <w:pStyle w:val="11"/>
        <w:adjustRightInd w:val="0"/>
        <w:snapToGrid w:val="0"/>
        <w:spacing w:before="0" w:line="440" w:lineRule="exact"/>
        <w:jc w:val="left"/>
        <w:rPr>
          <w:rFonts w:hint="default" w:ascii="Times New Roman" w:hAnsi="Times New Roman" w:cs="Times New Roman"/>
        </w:rPr>
      </w:pPr>
      <w:r>
        <w:rPr>
          <w:rFonts w:hint="default" w:ascii="Times New Roman" w:hAnsi="Times New Roman" w:cs="Times New Roman"/>
        </w:rPr>
        <w:t>第五部分附表…………………………………………………41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一、收入支出决算总表……………………………………41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二、收入决算表……………………………………………41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四、财政拨款收入支出决算总表…………………………41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五、财政拨款支出决算明细表……………………………41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六、一般公共预算财政拨款支出决算表…………………41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七、一般公共预算财政拨款支出决算明细表……………41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八、一般公共预算财政拨款基本支出决算表……………41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九、一般公共预算财政拨款项目支出决算表…………….41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十、一般公共预算财政拨款“三公”经费支出决算表………41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十一、政府性基金预算财政拨款收入支出决算表……………41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十二、政府性基金预算财政拨款“三公”经费支出决算表…41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十三、国有资本经营预算财政拨款收入支出决算表…………41</w:t>
      </w:r>
    </w:p>
    <w:p>
      <w:pPr>
        <w:pStyle w:val="12"/>
        <w:adjustRightInd w:val="0"/>
        <w:snapToGrid w:val="0"/>
        <w:spacing w:line="44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十四、国有资本经营预算财政拨款支出决算表………………41</w:t>
      </w:r>
    </w:p>
    <w:p>
      <w:pPr>
        <w:widowControl/>
        <w:spacing w:line="440" w:lineRule="exact"/>
        <w:jc w:val="left"/>
        <w:rPr>
          <w:rFonts w:hint="default" w:ascii="Times New Roman" w:hAnsi="Times New Roman" w:eastAsia="仿宋" w:cs="Times New Roman"/>
          <w:bCs/>
          <w:kern w:val="44"/>
          <w:sz w:val="24"/>
        </w:rPr>
      </w:pPr>
      <w:r>
        <w:rPr>
          <w:rFonts w:hint="default" w:ascii="Times New Roman" w:hAnsi="Times New Roman" w:eastAsia="仿宋" w:cs="Times New Roman"/>
          <w:b/>
          <w:sz w:val="24"/>
        </w:rPr>
        <w:br w:type="page"/>
      </w:r>
    </w:p>
    <w:p>
      <w:pPr>
        <w:pStyle w:val="3"/>
        <w:jc w:val="center"/>
        <w:rPr>
          <w:rStyle w:val="26"/>
          <w:rFonts w:hint="default" w:ascii="Times New Roman" w:hAnsi="Times New Roman" w:eastAsia="黑体" w:cs="Times New Roman"/>
          <w:b/>
          <w:bCs w:val="0"/>
        </w:rPr>
      </w:pPr>
      <w:r>
        <w:rPr>
          <w:rFonts w:hint="default" w:ascii="Times New Roman" w:hAnsi="Times New Roman" w:eastAsia="黑体" w:cs="Times New Roman"/>
          <w:b w:val="0"/>
        </w:rPr>
        <w:t>第一部分 单位</w:t>
      </w:r>
      <w:r>
        <w:rPr>
          <w:rStyle w:val="26"/>
          <w:rFonts w:hint="default" w:ascii="Times New Roman" w:hAnsi="Times New Roman" w:eastAsia="黑体" w:cs="Times New Roman"/>
          <w:b w:val="0"/>
          <w:bCs w:val="0"/>
        </w:rPr>
        <w:t>概况</w:t>
      </w:r>
      <w:bookmarkEnd w:id="12"/>
      <w:bookmarkEnd w:id="13"/>
    </w:p>
    <w:p>
      <w:pPr>
        <w:widowControl/>
        <w:jc w:val="left"/>
        <w:rPr>
          <w:rFonts w:hint="default" w:ascii="Times New Roman" w:hAnsi="Times New Roman" w:eastAsia="黑体" w:cs="Times New Roman"/>
          <w:sz w:val="32"/>
          <w:szCs w:val="32"/>
        </w:rPr>
      </w:pPr>
    </w:p>
    <w:p>
      <w:pPr>
        <w:pStyle w:val="4"/>
        <w:spacing w:before="0" w:after="0" w:line="560" w:lineRule="exact"/>
        <w:ind w:firstLine="640" w:firstLineChars="200"/>
        <w:rPr>
          <w:rFonts w:hint="default" w:ascii="Times New Roman" w:hAnsi="Times New Roman" w:cs="Times New Roman"/>
        </w:rPr>
      </w:pPr>
      <w:bookmarkStart w:id="14" w:name="_Toc15377197"/>
      <w:bookmarkStart w:id="15" w:name="_Toc15396600"/>
      <w:r>
        <w:rPr>
          <w:rStyle w:val="27"/>
          <w:rFonts w:hint="default" w:ascii="Times New Roman" w:hAnsi="Times New Roman" w:eastAsia="黑体" w:cs="Times New Roman"/>
          <w:b w:val="0"/>
          <w:bCs w:val="0"/>
        </w:rPr>
        <w:t>一、职能简介</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2.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3.负责监督管理区域内减排目标的落实。组织实施区域内各类污染物排放总量控制和排污许可证制度，提出实施总量控制的污染物控制指标，督查、督办、核查污染物减排任务完成情况。实施生态环境目标责任制。</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4.负责提出区域内生态环境领域财政专项资金安排的建议。参与指导推动区域内循环经济和生态环保产业发展。</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5.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6.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7.负责区域内核与辐射安全的监督管理。贯彻执行国家、省核与辐射安全法律、法规、规章、政策、规划和技术标准。负责辐射环境事故应急处理工作，参与核事故应急处理。监督管理放射源与射线装置安全，监督管理区域内核技术应 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8.负责区域内生态环境准入的监督管理。根据授权对建设项目环境影响评价文件进行审批，按规定审查开发建设区域、规划、项目环境影响评价文件。组织实施区域内生态环境准入清单。</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9.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10.负责应对气候变化工作。组织实施国家、省应对气候变化及温室气体减排重大战略、规划和政策，组织实施区域内应对气候变化的规划和政策措施。</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11.组织开展中央、省环保督察反馈问题的整改。贯彻执行中央、省生态环境保护督察制度。督促协调产业园区、乡镇（街道）和区域内有关部门整改突出环境问题。</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12.负责区域内生态环境监督执法。组织开展区域内生态环境保护执法检查，根据授权查处生态环境违法问题。监督实施建设项目生态环境保护设施“三同时”制度。</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13.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14.开展生态环境科技工作。管理区域内生态环境保护科技成果并推广应用。组织开展生态环境重大科学研究和技术工程示范，推动生态环境技术管理体系建设。</w:t>
      </w:r>
    </w:p>
    <w:p>
      <w:pPr>
        <w:pStyle w:val="13"/>
        <w:spacing w:before="0" w:beforeAutospacing="0" w:after="0" w:afterAutospacing="0" w:line="560" w:lineRule="exact"/>
        <w:ind w:firstLine="640" w:firstLineChars="200"/>
        <w:jc w:val="both"/>
        <w:rPr>
          <w:rFonts w:hint="default" w:ascii="Times New Roman" w:hAnsi="Times New Roman" w:cs="Times New Roman"/>
          <w:color w:val="333333"/>
          <w:sz w:val="32"/>
          <w:szCs w:val="32"/>
        </w:rPr>
      </w:pPr>
      <w:r>
        <w:rPr>
          <w:rFonts w:hint="default" w:ascii="Times New Roman" w:hAnsi="Times New Roman" w:eastAsia="仿宋_GB2312" w:cs="Times New Roman"/>
          <w:color w:val="333333"/>
          <w:sz w:val="32"/>
          <w:szCs w:val="32"/>
        </w:rPr>
        <w:t>15.负责职责范围内安全生产和职业健康等工作。</w:t>
      </w:r>
    </w:p>
    <w:p>
      <w:pPr>
        <w:pStyle w:val="13"/>
        <w:spacing w:before="0" w:beforeAutospacing="0" w:after="0" w:afterAutospacing="0" w:line="56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color w:val="333333"/>
          <w:sz w:val="32"/>
          <w:szCs w:val="32"/>
        </w:rPr>
        <w:t>16.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 坚决打好污染防治攻坚战，筑牢长江上游生态屏障，保障生态安全。</w:t>
      </w:r>
    </w:p>
    <w:p>
      <w:pPr>
        <w:pStyle w:val="4"/>
        <w:spacing w:before="0" w:after="0" w:line="560" w:lineRule="exact"/>
        <w:ind w:firstLine="640" w:firstLineChars="200"/>
        <w:rPr>
          <w:rFonts w:hint="default" w:ascii="Times New Roman" w:hAnsi="Times New Roman" w:eastAsia="黑体" w:cs="Times New Roman"/>
          <w:b w:val="0"/>
        </w:rPr>
      </w:pPr>
      <w:r>
        <w:rPr>
          <w:rFonts w:hint="default" w:ascii="Times New Roman" w:hAnsi="Times New Roman" w:eastAsia="黑体" w:cs="Times New Roman"/>
          <w:b w:val="0"/>
        </w:rPr>
        <w:t>二、2021年重点工作</w:t>
      </w:r>
      <w:bookmarkEnd w:id="14"/>
      <w:bookmarkEnd w:id="15"/>
      <w:r>
        <w:rPr>
          <w:rFonts w:hint="default" w:ascii="Times New Roman" w:hAnsi="Times New Roman" w:eastAsia="黑体" w:cs="Times New Roman"/>
          <w:b w:val="0"/>
        </w:rPr>
        <w:t>完成情况</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（一）生态环境质量持续改善。</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环境质量稳中见好，环境风险可控。环境空气质量污染综合指数3.92，低于全市综合指数4.06，6项环境空气质量指标均达到国家二级标准，其中，二氧化氮（NO2）浓度较去年同期下降14.76%、可吸入颗粒物（PM10）浓度较去年同期下降1.97%、二氧化硫（SO2）、一氧化碳（CO）浓度与去年同期持平，PM2.5、O3略有上升。</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全区地表水水质达标率100%，地表断面水达到Ⅱ类水质，无劣Ⅴ类水质断面，建成区无黑臭水体。</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辐射环境质量、声环境质量总体较好，土壤环境质量持续稳定，环境风险可控，未发生突发环境事件。</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（二）生态环境保护目标较好完成。</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1.“十三五”生态环境保护7项约束性指标均完成目标任务。</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环境空气质量指标持续向好。“十三五”期间，西区环境空气质量优良率为96.5%，较“十二五”期间上升12个百分点。截至2020年，六项大气监测指标全部达到国家二级标准，其中，PM2.5、SO2、PM10、CO较2015年分别下降15.2%、45.5%、24.6%、14.8%。</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二氧化硫、氮氧化物总量减排指标超额完成。“十三五”期间，二氧化硫削减1490.66吨，超额完成920.66吨。氮氧化物削减507.92吨，超额完成307.92吨。</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化学需氧量、氨氮总量减排指标完成任务。“十三五”期间，化学需氧量、氨氮无新增排放量，均完成目标任务。</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地表水质量、劣Ⅴ类水体指标完成任务。“十三五”期间，纳入国家考核的地表水断面为金沙江倮果断面，达到地表水Ⅱ类及以上比例为100%，无劣Ⅴ类水质断面，均完成目标任务。</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2.2021年度目标任务完成情况。截止12月28日，西区环境空气质量优良率95.1%，达到考核指标94.8%。重点考核指标细颗粒物（PM2.5）平均浓度28.1ug/m3，达到目标考核任务（28.8μg/m3）。全区水环境质量长期保持在Ⅱ类水质以上，达到Ⅲ类水质考核指标。建成区无黑臭水体，土壤环境质量总体良好，未发生土壤环境污染事件，噪声环境质量达到国家标准。化学需氧量、氨氮、挥发性有机物、氮氧化物重点工程减排量、碳达峰、碳中和工作、疑似污染地块调查、重点监管单位自行监测、隐患排查、农村生活污水治理“千村示范”工程建设、河湖长制等党政同责考核目标任务全面完成。</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（三）主要工作举措及成效。</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color w:val="333333"/>
          <w:kern w:val="0"/>
          <w:sz w:val="32"/>
          <w:szCs w:val="32"/>
        </w:rPr>
        <w:t>1.坚持以信息化建设为抓手，奋力提升监管能力。</w:t>
      </w:r>
      <w:r>
        <w:rPr>
          <w:rFonts w:hint="default" w:ascii="Times New Roman" w:hAnsi="Times New Roman" w:eastAsia="仿宋_GB2312" w:cs="Times New Roman"/>
          <w:color w:val="333333"/>
          <w:kern w:val="0"/>
          <w:sz w:val="32"/>
          <w:szCs w:val="32"/>
        </w:rPr>
        <w:t>在全市率先开展环境应急监控中心建设，投入290万元建成污染源智能监管平台、高空瞭望平台、省控三期基础能力建设平台，基本实现了动态监控西区大气污染源头及环境质量变化趋势，区域“精准治污”取得了突破性进展。</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color w:val="333333"/>
          <w:kern w:val="0"/>
          <w:sz w:val="32"/>
          <w:szCs w:val="32"/>
        </w:rPr>
        <w:t>2.坚持监管全覆盖，帮助提升企业环保意识。</w:t>
      </w:r>
      <w:r>
        <w:rPr>
          <w:rFonts w:hint="default" w:ascii="Times New Roman" w:hAnsi="Times New Roman" w:eastAsia="仿宋_GB2312" w:cs="Times New Roman"/>
          <w:color w:val="333333"/>
          <w:kern w:val="0"/>
          <w:sz w:val="32"/>
          <w:szCs w:val="32"/>
        </w:rPr>
        <w:t>一是以“双随机+网格化监管”为载体，自加压力、主动作为，针对重点行业、重点企业自派任务215个，针对现场执法发现的环境问题，立即要求企业限期整改到位。二是采取立体化执法监管模式，加大节假日和夜间巡查检查力度，对辖区企业进行巡查检查，针对辖区5家企业环境违法行为进行立案调查，立案9件，行政处罚金额320万元。三是开展国省控、减排重点污染源监督性监测，出具监测报告54份，服务辖区重点污染源动态监管，有效支撑了生态环境管理决策。</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color w:val="333333"/>
          <w:kern w:val="0"/>
          <w:sz w:val="32"/>
          <w:szCs w:val="32"/>
        </w:rPr>
        <w:t>3.坚持突出生态环境问题整改不懈怠，持续提升工作实效。</w:t>
      </w:r>
      <w:r>
        <w:rPr>
          <w:rFonts w:hint="default" w:ascii="Times New Roman" w:hAnsi="Times New Roman" w:eastAsia="仿宋_GB2312" w:cs="Times New Roman"/>
          <w:color w:val="333333"/>
          <w:kern w:val="0"/>
          <w:sz w:val="32"/>
          <w:szCs w:val="32"/>
        </w:rPr>
        <w:t>成立以区委、区政府主要领导为双组长的迎督工作领导小组，印发迎督工作方案，下设8个工作组，落实“四个一”工作机制，统筹协调开展迎督工作。一是省级环保督察期间接收群众信访件37件，占全市8.5%，在全市各县区中最少。二是第二轮中央生态环境保护督察期间接收、办结群众信访举报转办件12件，不属实件2件，均不涉及加星重点关注信访件，数量在全市各县区中较少，排在第4位。三是中央督察组下沉攀枝花市开展督察期间，核查涉西区点位1个，为攀钢504电厂麻地湾灰场问题，督察组现场对该灰场渗滤液进行了采样监测，所测重金属指标均达标。四是第二轮中央生态环境保护督察反馈意见未直接点名西区生态环境问题，也未被纳入负面典型案例曝光。</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color w:val="333333"/>
          <w:kern w:val="0"/>
          <w:sz w:val="32"/>
          <w:szCs w:val="32"/>
        </w:rPr>
        <w:t xml:space="preserve"> 4.坚持对重点大气污染治理，腾出发展容量空间。</w:t>
      </w:r>
      <w:r>
        <w:rPr>
          <w:rFonts w:hint="default" w:ascii="Times New Roman" w:hAnsi="Times New Roman" w:eastAsia="仿宋_GB2312" w:cs="Times New Roman"/>
          <w:color w:val="333333"/>
          <w:kern w:val="0"/>
          <w:sz w:val="32"/>
          <w:szCs w:val="32"/>
        </w:rPr>
        <w:t>以“抓项目、抓资金、抓政策”为突破口，实施重点行业企业污染治理。一是对重点行业实施深度治理，重点实施瑞峰水泥窑低氮燃烧脱硝及收尘器改造治理，累计投入100余万元完成深度治理，已基本实现水泥行业B类超低排放目标；攀钢504发电厂累计投入1.02亿元新建除尘、脱硫、脱硝设施，已达到钢铁企业自备电厂超低排放标准。二是对翻渣露天作业为主要工艺（工序）进行封闭治理，废旧物资公司巴关河钢渣、扒渣环保整治项目累计投资5000余万元，已于2021年4月完成整治。三是对现有老化的环保设施，督促其对环保设施进行升级换代，计划投资4000万元实施攀煤联合焦化环保设施升级治理，项目完成后，预计可消减氮氧化物排放量184吨/年、挥发性有机物排放量50吨/年；计划投资1600万元实施石灰石矿竖窑除尘器超低排放改造及白灰车间除尘器超低排放改造，项目完成后，外排烟粉尘浓度稳定控制在10mg/m3以下。</w:t>
      </w:r>
    </w:p>
    <w:p>
      <w:pPr>
        <w:pBdr>
          <w:top w:val="single" w:color="FFFFFF" w:sz="4" w:space="0"/>
          <w:left w:val="single" w:color="FFFFFF" w:sz="4" w:space="31"/>
          <w:bottom w:val="single" w:color="FFFFFF" w:sz="4" w:space="30"/>
          <w:right w:val="single" w:color="FFFFFF" w:sz="4" w:space="0"/>
        </w:pBdr>
        <w:autoSpaceDE w:val="0"/>
        <w:autoSpaceDN w:val="0"/>
        <w:spacing w:line="560" w:lineRule="exact"/>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color w:val="333333"/>
          <w:kern w:val="0"/>
          <w:sz w:val="32"/>
          <w:szCs w:val="32"/>
        </w:rPr>
        <w:t>5.坚持环境问题矛盾纠纷有效化解，提升群众满意度。</w:t>
      </w:r>
      <w:r>
        <w:rPr>
          <w:rFonts w:hint="default" w:ascii="Times New Roman" w:hAnsi="Times New Roman" w:eastAsia="仿宋_GB2312" w:cs="Times New Roman"/>
          <w:color w:val="333333"/>
          <w:kern w:val="0"/>
          <w:sz w:val="32"/>
          <w:szCs w:val="32"/>
        </w:rPr>
        <w:t>一是对央督、省督信访件进行全覆盖回访，畅通区内问题反馈渠道，针对席草坪片区粉尘区域污染等问题，组织召开“环境圆桌对话”会议3次，集中化解问题12个，一年来，相关投诉件数量明显下降。二是坚持做到环境污染举报热线“12369”24小时畅通，通过受理“12369”“12345”热线及现场调解等方式，及时办结群众信访投诉、举报112件，办结率100%，群众满意度100%。三是向辖区居民发送投诉举报热线电话短信82000余条，及时受理办结群众信访问题25件，得到群众认可。</w:t>
      </w:r>
    </w:p>
    <w:p>
      <w:pPr>
        <w:keepNext w:val="0"/>
        <w:keepLines w:val="0"/>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autoSpaceDE/>
        <w:autoSpaceDN/>
        <w:bidi w:val="0"/>
        <w:adjustRightInd/>
        <w:snapToGrid/>
        <w:spacing w:line="560" w:lineRule="exact"/>
        <w:ind w:right="0" w:firstLine="643" w:firstLineChars="20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color w:val="333333"/>
          <w:kern w:val="0"/>
          <w:sz w:val="32"/>
          <w:szCs w:val="32"/>
        </w:rPr>
        <w:t>6.坚持推动高质量发展，筑牢生态屏障。</w:t>
      </w:r>
      <w:r>
        <w:rPr>
          <w:rFonts w:hint="default" w:ascii="Times New Roman" w:hAnsi="Times New Roman" w:eastAsia="仿宋_GB2312" w:cs="Times New Roman"/>
          <w:color w:val="333333"/>
          <w:kern w:val="0"/>
          <w:sz w:val="32"/>
          <w:szCs w:val="32"/>
        </w:rPr>
        <w:t>一是落实“三线一单”管控要求，严把“两高”项目审批关，受理企业登记备案46件，完成排污许可证核发54家，企业排污登记备案管理199家。二是成功争取省级农村生活污水治理“千村示范工程”及土壤初步调查等项目专项资金189万元，包装格里坪工业园区地下水评估、圆富化工土壤污染状况调查及分析评估项目成功进入省环保专项资金项目库，争取专项资金229万元。三是省生态环境厅将西区确定为四川省长江黄河上游土壤风险分区管控试点区，为全市唯一一个县区对土壤环境综合整治、土壤污染源头预防、农用地安全利用与修复治理模式等8个重点方面进行先行探索试点建设经验。四是全面梳理研判攀煤2座矸石山环境综合整治等历史遗留生态环境问题，实行一个问题一个专题会研判会商解决，聘请法律顾问全程提供法律支持，邀请4名相关行业专家深入现场把脉问诊，提供技术支持，有效处理、解决散乱污企业川南耐火材料厂等8个历史遗留疑难问题。</w:t>
      </w:r>
    </w:p>
    <w:p>
      <w:pPr>
        <w:keepNext w:val="0"/>
        <w:keepLines w:val="0"/>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黑体" w:cs="Times New Roman"/>
          <w:color w:val="333333"/>
          <w:kern w:val="0"/>
          <w:sz w:val="32"/>
          <w:szCs w:val="32"/>
          <w:lang w:eastAsia="zh-CN"/>
        </w:rPr>
      </w:pPr>
      <w:r>
        <w:rPr>
          <w:rFonts w:hint="default" w:ascii="Times New Roman" w:hAnsi="Times New Roman" w:eastAsia="黑体" w:cs="Times New Roman"/>
          <w:color w:val="333333"/>
          <w:kern w:val="0"/>
          <w:sz w:val="32"/>
          <w:szCs w:val="32"/>
          <w:lang w:eastAsia="zh-CN"/>
        </w:rPr>
        <w:t>三、机构设置情况</w:t>
      </w:r>
    </w:p>
    <w:p>
      <w:pPr>
        <w:keepNext w:val="0"/>
        <w:keepLines w:val="0"/>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西区生态环境局属于攀枝花市生态环境局下属的二级预算单位，下设独立编制机构1个，其中行政机构1个，参照公务员法管理的事业机构0个，其他事业机构0个。</w:t>
      </w:r>
    </w:p>
    <w:p>
      <w:pPr>
        <w:keepNext w:val="0"/>
        <w:keepLines w:val="0"/>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纳入2021年度单位决算编制范围的独立编制机构包括：</w:t>
      </w:r>
    </w:p>
    <w:p>
      <w:pPr>
        <w:keepNext w:val="0"/>
        <w:keepLines w:val="0"/>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1.攀枝花市西区生态环境局；</w:t>
      </w:r>
    </w:p>
    <w:p>
      <w:pPr>
        <w:keepNext w:val="0"/>
        <w:keepLines w:val="0"/>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2.攀枝花市西区生态环境保护综合行政执法大队。</w:t>
      </w:r>
    </w:p>
    <w:p>
      <w:pPr>
        <w:pStyle w:val="2"/>
        <w:keepNext w:val="0"/>
        <w:keepLines w:val="0"/>
        <w:pageBreakBefore w:val="0"/>
        <w:widowControl w:val="0"/>
        <w:kinsoku/>
        <w:wordWrap/>
        <w:overflowPunct/>
        <w:topLinePunct w:val="0"/>
        <w:autoSpaceDE/>
        <w:autoSpaceDN/>
        <w:bidi w:val="0"/>
        <w:adjustRightInd/>
        <w:snapToGrid/>
        <w:spacing w:beforeLines="0" w:line="560" w:lineRule="exact"/>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ind w:right="0"/>
        <w:textAlignment w:val="auto"/>
        <w:rPr>
          <w:rFonts w:hint="default" w:ascii="Times New Roman" w:hAnsi="Times New Roman" w:cs="Times New Roman"/>
          <w:sz w:val="32"/>
          <w:szCs w:val="32"/>
          <w:lang w:eastAsia="zh-CN"/>
        </w:rPr>
      </w:pPr>
    </w:p>
    <w:p>
      <w:pPr>
        <w:pStyle w:val="3"/>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黑体" w:cs="Times New Roman"/>
          <w:b w:val="0"/>
        </w:rPr>
      </w:pPr>
      <w:bookmarkStart w:id="16" w:name="_Toc15377204"/>
      <w:bookmarkStart w:id="17" w:name="_Toc15396602"/>
    </w:p>
    <w:p>
      <w:pPr>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rPr>
      </w:pPr>
    </w:p>
    <w:p>
      <w:pPr>
        <w:pStyle w:val="3"/>
        <w:ind w:right="440"/>
        <w:jc w:val="center"/>
        <w:rPr>
          <w:rStyle w:val="26"/>
          <w:rFonts w:hint="default" w:ascii="Times New Roman" w:hAnsi="Times New Roman" w:eastAsia="黑体" w:cs="Times New Roman"/>
          <w:b w:val="0"/>
          <w:bCs/>
        </w:rPr>
      </w:pPr>
      <w:r>
        <w:rPr>
          <w:rFonts w:hint="default" w:ascii="Times New Roman" w:hAnsi="Times New Roman" w:eastAsia="黑体" w:cs="Times New Roman"/>
          <w:b w:val="0"/>
        </w:rPr>
        <w:t>第二部分 2021年度</w:t>
      </w:r>
      <w:r>
        <w:rPr>
          <w:rStyle w:val="26"/>
          <w:rFonts w:hint="default" w:ascii="Times New Roman" w:hAnsi="Times New Roman" w:eastAsia="黑体" w:cs="Times New Roman"/>
          <w:b w:val="0"/>
          <w:bCs/>
        </w:rPr>
        <w:t>单位决算情况说明</w:t>
      </w:r>
      <w:bookmarkEnd w:id="16"/>
      <w:bookmarkEnd w:id="17"/>
    </w:p>
    <w:p>
      <w:pPr>
        <w:rPr>
          <w:rFonts w:hint="default" w:ascii="Times New Roman" w:hAnsi="Times New Roman" w:cs="Times New Roman"/>
        </w:rPr>
      </w:pPr>
    </w:p>
    <w:p>
      <w:pPr>
        <w:pStyle w:val="25"/>
        <w:spacing w:line="600" w:lineRule="exact"/>
        <w:ind w:left="640" w:firstLine="0" w:firstLineChars="0"/>
        <w:outlineLvl w:val="1"/>
        <w:rPr>
          <w:rStyle w:val="27"/>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一、收</w:t>
      </w:r>
      <w:r>
        <w:rPr>
          <w:rStyle w:val="27"/>
          <w:rFonts w:hint="default" w:ascii="Times New Roman" w:hAnsi="Times New Roman" w:eastAsia="黑体" w:cs="Times New Roman"/>
          <w:b w:val="0"/>
        </w:rPr>
        <w:t>入支出决算总体情况说明</w:t>
      </w:r>
      <w:bookmarkEnd w:id="18"/>
      <w:bookmarkEnd w:id="19"/>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方正仿宋_GBK" w:cs="Times New Roman"/>
          <w:sz w:val="33"/>
          <w:szCs w:val="33"/>
        </w:rPr>
      </w:pPr>
      <w:r>
        <w:rPr>
          <w:rFonts w:hint="default" w:ascii="Times New Roman" w:hAnsi="Times New Roman" w:eastAsia="仿宋_GB2312" w:cs="Times New Roman"/>
          <w:sz w:val="32"/>
          <w:szCs w:val="32"/>
        </w:rPr>
        <w:drawing>
          <wp:anchor distT="0" distB="0" distL="114300" distR="114300" simplePos="0" relativeHeight="251659264" behindDoc="1" locked="0" layoutInCell="1" allowOverlap="1">
            <wp:simplePos x="0" y="0"/>
            <wp:positionH relativeFrom="column">
              <wp:posOffset>279400</wp:posOffset>
            </wp:positionH>
            <wp:positionV relativeFrom="paragraph">
              <wp:posOffset>1631315</wp:posOffset>
            </wp:positionV>
            <wp:extent cx="4356735" cy="2638425"/>
            <wp:effectExtent l="4445" t="4445" r="20320" b="5080"/>
            <wp:wrapThrough wrapText="bothSides">
              <wp:wrapPolygon>
                <wp:start x="-22" y="-36"/>
                <wp:lineTo x="-22" y="21486"/>
                <wp:lineTo x="21512" y="21486"/>
                <wp:lineTo x="21512" y="-36"/>
                <wp:lineTo x="-22" y="-36"/>
              </wp:wrapPolygon>
            </wp:wrapThrough>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仿宋_GB2312" w:cs="Times New Roman"/>
          <w:sz w:val="32"/>
          <w:szCs w:val="32"/>
        </w:rPr>
        <w:t>2021年度收入总计735.68万元、支出总计905.08万元。与2020年收入1011.81万元，支出2040.56万元相比，收入总计减少276.13万元、支出总计减少1135.48万元，收入下降27%，支出下降56%。主要变动原因是机构改革。</w:t>
      </w:r>
    </w:p>
    <w:p>
      <w:pPr>
        <w:pStyle w:val="6"/>
        <w:rPr>
          <w:rFonts w:hint="default" w:ascii="Times New Roman" w:hAnsi="Times New Roman" w:eastAsia="仿宋" w:cs="Times New Roman"/>
        </w:rPr>
      </w:pP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p>
    <w:p>
      <w:pPr>
        <w:pBdr>
          <w:top w:val="single" w:color="FFFFFF" w:sz="4" w:space="0"/>
          <w:left w:val="single" w:color="FFFFFF" w:sz="4" w:space="31"/>
          <w:bottom w:val="single" w:color="FFFFFF" w:sz="4" w:space="30"/>
          <w:right w:val="single" w:color="FFFFFF" w:sz="4" w:space="0"/>
        </w:pBdr>
        <w:spacing w:line="560" w:lineRule="exact"/>
        <w:ind w:firstLine="1320" w:firstLineChars="400"/>
        <w:rPr>
          <w:rFonts w:hint="default" w:ascii="Times New Roman" w:hAnsi="Times New Roman" w:eastAsia="仿宋_GB2312" w:cs="Times New Roman"/>
          <w:sz w:val="32"/>
          <w:szCs w:val="32"/>
        </w:rPr>
      </w:pPr>
      <w:r>
        <w:rPr>
          <w:rFonts w:hint="default" w:ascii="Times New Roman" w:hAnsi="Times New Roman" w:eastAsia="方正仿宋_GBK" w:cs="Times New Roman"/>
          <w:sz w:val="33"/>
          <w:szCs w:val="33"/>
        </w:rPr>
        <w:t>图1收、支决算总计变动情况图</w:t>
      </w:r>
    </w:p>
    <w:p>
      <w:pPr>
        <w:pStyle w:val="25"/>
        <w:spacing w:line="600" w:lineRule="exact"/>
        <w:ind w:left="640" w:firstLine="0" w:firstLineChars="0"/>
        <w:outlineLvl w:val="1"/>
        <w:rPr>
          <w:rStyle w:val="27"/>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sz w:val="32"/>
          <w:szCs w:val="32"/>
        </w:rPr>
        <w:t>二、收</w:t>
      </w:r>
      <w:r>
        <w:rPr>
          <w:rStyle w:val="27"/>
          <w:rFonts w:hint="default" w:ascii="Times New Roman" w:hAnsi="Times New Roman" w:eastAsia="黑体" w:cs="Times New Roman"/>
          <w:b w:val="0"/>
        </w:rPr>
        <w:t>入决算情况说明</w:t>
      </w:r>
      <w:bookmarkEnd w:id="20"/>
      <w:bookmarkEnd w:id="21"/>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年收入合计735.68万元，其中：一般公共预算财政拨款收入365.92万元，占49.74%；政府性基金预算财政拨款收入0万元，占0%；国有资本经营预算财政拨款收入0万元，占0%；上级补助收入0万元，占0%；事业收入0万元，占0%；经营收入0万元，占0%；附属单位上缴收入0万元，占0%；其他收入369.76万元，占50.26%。</w:t>
      </w:r>
    </w:p>
    <w:p>
      <w:pPr>
        <w:pBdr>
          <w:top w:val="single" w:color="FFFFFF" w:sz="4" w:space="0"/>
          <w:left w:val="single" w:color="FFFFFF" w:sz="4" w:space="31"/>
          <w:bottom w:val="single" w:color="FFFFFF" w:sz="4" w:space="30"/>
          <w:right w:val="single" w:color="FFFFFF" w:sz="4" w:space="0"/>
        </w:pBdr>
        <w:spacing w:line="560" w:lineRule="exact"/>
        <w:ind w:firstLine="420" w:firstLineChars="200"/>
        <w:rPr>
          <w:rFonts w:hint="default" w:ascii="Times New Roman" w:hAnsi="Times New Roman" w:eastAsia="方正仿宋_GBK" w:cs="Times New Roman"/>
          <w:sz w:val="33"/>
          <w:szCs w:val="33"/>
        </w:rPr>
      </w:pPr>
      <w:r>
        <w:rPr>
          <w:rFonts w:hint="default" w:ascii="Times New Roman" w:hAnsi="Times New Roman" w:eastAsia="仿宋" w:cs="Times New Roman"/>
        </w:rPr>
        <w:drawing>
          <wp:anchor distT="0" distB="0" distL="114300" distR="114300" simplePos="0" relativeHeight="251660288" behindDoc="1" locked="0" layoutInCell="1" allowOverlap="1">
            <wp:simplePos x="0" y="0"/>
            <wp:positionH relativeFrom="column">
              <wp:posOffset>233680</wp:posOffset>
            </wp:positionH>
            <wp:positionV relativeFrom="paragraph">
              <wp:posOffset>290195</wp:posOffset>
            </wp:positionV>
            <wp:extent cx="4512310" cy="2304415"/>
            <wp:effectExtent l="5080" t="4445" r="16510" b="15240"/>
            <wp:wrapThrough wrapText="bothSides">
              <wp:wrapPolygon>
                <wp:start x="-24" y="-42"/>
                <wp:lineTo x="-24" y="21386"/>
                <wp:lineTo x="21497" y="21386"/>
                <wp:lineTo x="21497" y="-42"/>
                <wp:lineTo x="-24" y="-42"/>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ind w:firstLine="640"/>
        <w:rPr>
          <w:rFonts w:hint="default" w:ascii="Times New Roman" w:hAnsi="Times New Roman" w:eastAsia="仿宋_GB2312" w:cs="Times New Roman"/>
          <w:sz w:val="32"/>
          <w:szCs w:val="32"/>
        </w:rPr>
      </w:pPr>
    </w:p>
    <w:p>
      <w:pPr>
        <w:pStyle w:val="25"/>
        <w:spacing w:line="600" w:lineRule="exact"/>
        <w:ind w:left="640" w:firstLine="0" w:firstLineChars="0"/>
        <w:outlineLvl w:val="1"/>
        <w:rPr>
          <w:rFonts w:hint="default" w:ascii="Times New Roman" w:hAnsi="Times New Roman" w:eastAsia="黑体" w:cs="Times New Roman"/>
          <w:sz w:val="32"/>
          <w:szCs w:val="32"/>
        </w:rPr>
      </w:pPr>
      <w:bookmarkStart w:id="22" w:name="_Toc15396605"/>
      <w:bookmarkStart w:id="23" w:name="_Toc15377207"/>
    </w:p>
    <w:p>
      <w:pPr>
        <w:pStyle w:val="25"/>
        <w:spacing w:line="600" w:lineRule="exact"/>
        <w:ind w:firstLine="0" w:firstLineChars="0"/>
        <w:outlineLvl w:val="1"/>
        <w:rPr>
          <w:rFonts w:hint="default" w:ascii="Times New Roman" w:hAnsi="Times New Roman" w:eastAsia="方正仿宋_GBK" w:cs="Times New Roman"/>
          <w:sz w:val="33"/>
          <w:szCs w:val="33"/>
        </w:rPr>
      </w:pPr>
    </w:p>
    <w:p>
      <w:pPr>
        <w:pStyle w:val="25"/>
        <w:spacing w:line="600" w:lineRule="exact"/>
        <w:ind w:firstLine="0" w:firstLineChars="0"/>
        <w:outlineLvl w:val="1"/>
        <w:rPr>
          <w:rFonts w:hint="default" w:ascii="Times New Roman" w:hAnsi="Times New Roman" w:eastAsia="方正仿宋_GBK" w:cs="Times New Roman"/>
          <w:sz w:val="33"/>
          <w:szCs w:val="33"/>
        </w:rPr>
      </w:pPr>
    </w:p>
    <w:p>
      <w:pPr>
        <w:pStyle w:val="25"/>
        <w:spacing w:line="600" w:lineRule="exact"/>
        <w:ind w:firstLine="0" w:firstLineChars="0"/>
        <w:outlineLvl w:val="1"/>
        <w:rPr>
          <w:rFonts w:hint="default" w:ascii="Times New Roman" w:hAnsi="Times New Roman" w:eastAsia="方正仿宋_GBK" w:cs="Times New Roman"/>
          <w:sz w:val="33"/>
          <w:szCs w:val="33"/>
        </w:rPr>
      </w:pPr>
    </w:p>
    <w:p>
      <w:pPr>
        <w:pStyle w:val="25"/>
        <w:spacing w:line="600" w:lineRule="exact"/>
        <w:ind w:firstLine="1980" w:firstLineChars="600"/>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w:t>
      </w:r>
    </w:p>
    <w:p>
      <w:pPr>
        <w:pStyle w:val="25"/>
        <w:spacing w:line="600" w:lineRule="exact"/>
        <w:ind w:left="640" w:firstLine="0" w:firstLineChars="0"/>
        <w:outlineLvl w:val="1"/>
        <w:rPr>
          <w:rStyle w:val="27"/>
          <w:rFonts w:hint="default" w:ascii="Times New Roman" w:hAnsi="Times New Roman" w:eastAsia="黑体" w:cs="Times New Roman"/>
          <w:b w:val="0"/>
        </w:rPr>
      </w:pPr>
      <w:r>
        <w:rPr>
          <w:rFonts w:hint="default" w:ascii="Times New Roman" w:hAnsi="Times New Roman" w:eastAsia="黑体" w:cs="Times New Roman"/>
          <w:sz w:val="32"/>
          <w:szCs w:val="32"/>
        </w:rPr>
        <w:t>三、支</w:t>
      </w:r>
      <w:r>
        <w:rPr>
          <w:rStyle w:val="27"/>
          <w:rFonts w:hint="default" w:ascii="Times New Roman" w:hAnsi="Times New Roman" w:eastAsia="黑体" w:cs="Times New Roman"/>
          <w:b w:val="0"/>
        </w:rPr>
        <w:t>出决算情况说明</w:t>
      </w:r>
      <w:bookmarkEnd w:id="22"/>
      <w:bookmarkEnd w:id="23"/>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1312" behindDoc="1" locked="0" layoutInCell="1" allowOverlap="1">
            <wp:simplePos x="0" y="0"/>
            <wp:positionH relativeFrom="column">
              <wp:posOffset>-3175</wp:posOffset>
            </wp:positionH>
            <wp:positionV relativeFrom="paragraph">
              <wp:posOffset>1631315</wp:posOffset>
            </wp:positionV>
            <wp:extent cx="4849495" cy="2090420"/>
            <wp:effectExtent l="4445" t="4445" r="22860" b="19685"/>
            <wp:wrapThrough wrapText="bothSides">
              <wp:wrapPolygon>
                <wp:start x="-20" y="-46"/>
                <wp:lineTo x="-20" y="21410"/>
                <wp:lineTo x="21532" y="21410"/>
                <wp:lineTo x="21532" y="-46"/>
                <wp:lineTo x="-20" y="-46"/>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sz w:val="32"/>
          <w:szCs w:val="32"/>
        </w:rPr>
        <w:t>2021年本年支出合计905.08万元，其中：基本支出416.34万元，占46%；项目支出488.75万元，占54%；上缴上级支出0万元，占0%；经营支出0万元，占0%；对附属单位补助支出0万元，占0%。</w:t>
      </w:r>
    </w:p>
    <w:p>
      <w:pPr>
        <w:pStyle w:val="6"/>
        <w:ind w:firstLine="0" w:firstLineChars="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 w:cs="Times New Roman"/>
          <w:sz w:val="32"/>
          <w:szCs w:val="32"/>
        </w:rPr>
      </w:pPr>
      <w:bookmarkStart w:id="24" w:name="_Toc15377208"/>
      <w:bookmarkStart w:id="25" w:name="_Toc15396606"/>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1280" w:firstLine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w:t>
      </w:r>
    </w:p>
    <w:p>
      <w:pPr>
        <w:spacing w:line="600" w:lineRule="exact"/>
        <w:ind w:firstLine="640" w:firstLineChars="200"/>
        <w:outlineLvl w:val="1"/>
        <w:rPr>
          <w:rStyle w:val="27"/>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7"/>
          <w:rFonts w:hint="default" w:ascii="Times New Roman" w:hAnsi="Times New Roman" w:eastAsia="黑体" w:cs="Times New Roman"/>
          <w:b w:val="0"/>
        </w:rPr>
        <w:t>政拨款收入支出决算总体情况说明</w:t>
      </w:r>
      <w:bookmarkEnd w:id="24"/>
      <w:bookmarkEnd w:id="25"/>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2021年财政拨款收入总计735.68万元、支出总计905.08万元。与2020年收入1011.81万元，支出2040.56万元相比，收入总计减少276.13万元、支出总计减少1135.48万元，收入下降27%，支出下降56%。主要变动原因是机构改革。</w:t>
      </w:r>
    </w:p>
    <w:p>
      <w:pPr>
        <w:pStyle w:val="6"/>
        <w:ind w:firstLine="0" w:firstLineChars="0"/>
        <w:rPr>
          <w:rFonts w:hint="default" w:ascii="Times New Roman" w:hAnsi="Times New Roman" w:eastAsia="仿宋" w:cs="Times New Roman"/>
          <w:b/>
          <w:sz w:val="32"/>
          <w:szCs w:val="32"/>
        </w:rPr>
      </w:pPr>
      <w:r>
        <w:rPr>
          <w:rFonts w:hint="default" w:ascii="Times New Roman" w:hAnsi="Times New Roman" w:eastAsia="仿宋" w:cs="Times New Roman"/>
        </w:rPr>
        <w:drawing>
          <wp:inline distT="0" distB="0" distL="114300" distR="114300">
            <wp:extent cx="4424045" cy="2268220"/>
            <wp:effectExtent l="4445" t="4445" r="10160" b="133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bookmarkStart w:id="26" w:name="_Toc15396607"/>
      <w:bookmarkStart w:id="27" w:name="_Toc15377209"/>
      <w:r>
        <w:rPr>
          <w:rFonts w:hint="default" w:ascii="Times New Roman" w:hAnsi="Times New Roman" w:eastAsia="方正仿宋_GBK" w:cs="Times New Roman"/>
          <w:sz w:val="33"/>
          <w:szCs w:val="33"/>
        </w:rPr>
        <w:t>图4财政拨款收、支决算总计变动情况</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Style w:val="27"/>
          <w:rFonts w:hint="default" w:ascii="Times New Roman" w:hAnsi="Times New Roman" w:eastAsia="黑体" w:cs="Times New Roman"/>
          <w:b w:val="0"/>
        </w:rPr>
      </w:pPr>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般公共预算财政拨款支出决算情况说明</w:t>
      </w:r>
      <w:bookmarkEnd w:id="26"/>
      <w:bookmarkEnd w:id="27"/>
      <w:bookmarkStart w:id="28" w:name="_Toc15377210"/>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（一）一般公共预算财政拨款支出决算总体情况</w:t>
      </w:r>
      <w:bookmarkEnd w:id="28"/>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2336" behindDoc="1" locked="0" layoutInCell="1" allowOverlap="1">
            <wp:simplePos x="0" y="0"/>
            <wp:positionH relativeFrom="column">
              <wp:posOffset>234950</wp:posOffset>
            </wp:positionH>
            <wp:positionV relativeFrom="paragraph">
              <wp:posOffset>1629410</wp:posOffset>
            </wp:positionV>
            <wp:extent cx="4680585" cy="2358390"/>
            <wp:effectExtent l="4445" t="4445" r="20320" b="18415"/>
            <wp:wrapThrough wrapText="bothSides">
              <wp:wrapPolygon>
                <wp:start x="-21" y="-41"/>
                <wp:lineTo x="-21" y="21420"/>
                <wp:lineTo x="21518" y="21420"/>
                <wp:lineTo x="21518" y="-41"/>
                <wp:lineTo x="-21" y="-41"/>
              </wp:wrapPolygon>
            </wp:wrapThrough>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sz w:val="32"/>
          <w:szCs w:val="32"/>
        </w:rPr>
        <w:t>2021年一般公共预算财政拨款支出365.92万元，占本年支出合计的100%。与2020年2026.56万元相比，一般公共预算财政拨款支出减少1660.64万元，下降81.84%。主要变动原因是机构改革。</w:t>
      </w:r>
    </w:p>
    <w:p>
      <w:pPr>
        <w:pStyle w:val="6"/>
        <w:ind w:firstLine="0" w:firstLineChars="0"/>
        <w:rPr>
          <w:rFonts w:hint="default" w:ascii="Times New Roman" w:hAnsi="Times New Roman" w:eastAsia="仿宋" w:cs="Times New Roman"/>
          <w:sz w:val="32"/>
          <w:szCs w:val="32"/>
        </w:rPr>
      </w:pP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bookmarkStart w:id="29" w:name="_Toc15377211"/>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图5：一般公共预算财政拨款支出决算变动情况</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（二）一般公共预算财政拨款支出决算结构情况</w:t>
      </w:r>
      <w:bookmarkEnd w:id="29"/>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支出905.08万元，主要用于以下方面:社会保障和就业（类）支出32.3万元，占3.57%；卫生健康支出1.23万元，占0.1%；住房保障支出30万元，占3.3%；节能环保支出820.75万元，占90.68%；城乡社区支出20.81万元，占2.35%。</w:t>
      </w:r>
    </w:p>
    <w:p>
      <w:pPr>
        <w:pStyle w:val="6"/>
        <w:rPr>
          <w:rFonts w:hint="default" w:ascii="Times New Roman" w:hAnsi="Times New Roman" w:eastAsia="仿宋" w:cs="Times New Roman"/>
          <w:b/>
          <w:sz w:val="32"/>
          <w:szCs w:val="32"/>
        </w:rPr>
      </w:pPr>
      <w:bookmarkStart w:id="30" w:name="_Toc15377212"/>
      <w:r>
        <w:rPr>
          <w:rFonts w:hint="default" w:ascii="Times New Roman" w:hAnsi="Times New Roman" w:eastAsia="仿宋" w:cs="Times New Roman"/>
        </w:rPr>
        <w:drawing>
          <wp:inline distT="0" distB="0" distL="114300" distR="114300">
            <wp:extent cx="4534535" cy="1884045"/>
            <wp:effectExtent l="4445" t="4445" r="13970" b="1651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（三）一般公共预算财政拨款支出决算具体情况</w:t>
      </w:r>
      <w:bookmarkEnd w:id="30"/>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bookmarkStart w:id="31" w:name="_Toc15377444"/>
      <w:bookmarkStart w:id="32" w:name="_Toc15378460"/>
      <w:bookmarkStart w:id="33" w:name="_Toc15377213"/>
      <w:r>
        <w:rPr>
          <w:rFonts w:hint="default" w:ascii="Times New Roman" w:hAnsi="Times New Roman" w:eastAsia="仿宋_GB2312" w:cs="Times New Roman"/>
          <w:sz w:val="32"/>
          <w:szCs w:val="32"/>
        </w:rPr>
        <w:t>2021年一般公共预算支出决算数为365.92万元，完成预算100%。其中：</w:t>
      </w:r>
      <w:bookmarkEnd w:id="31"/>
      <w:bookmarkEnd w:id="32"/>
      <w:bookmarkEnd w:id="33"/>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1.社会保障和就业（类）20805（款）2080505（项）: 支出决算为26.61万元，完成预算100%，决算与预算数持平。</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2.节能环保支出（类）21101（款）2110101（项）: 支出决算为230.29万元，完成预算100%。节能环保支出（类）21103（款）2110399（项）: 支出决算为81.54万元，完成预算100%，决算与预算数持平。</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方正仿宋_GBK" w:cs="Times New Roman"/>
          <w:sz w:val="33"/>
          <w:szCs w:val="33"/>
        </w:rPr>
      </w:pPr>
      <w:r>
        <w:rPr>
          <w:rFonts w:hint="default" w:ascii="Times New Roman" w:hAnsi="Times New Roman" w:eastAsia="仿宋_GB2312" w:cs="Times New Roman"/>
          <w:sz w:val="32"/>
          <w:szCs w:val="32"/>
        </w:rPr>
        <w:t>3.住房保障支出（类）22102（款）2210201（项）: 支出决算为27.48万元，完成预算100%，决算与预算数持平。</w:t>
      </w:r>
      <w:bookmarkStart w:id="34" w:name="_Toc15377214"/>
      <w:bookmarkStart w:id="35" w:name="_Toc15396608"/>
    </w:p>
    <w:p>
      <w:pPr>
        <w:pBdr>
          <w:top w:val="single" w:color="FFFFFF" w:sz="4" w:space="0"/>
          <w:left w:val="single" w:color="FFFFFF" w:sz="4" w:space="31"/>
          <w:bottom w:val="single" w:color="FFFFFF" w:sz="4" w:space="30"/>
          <w:right w:val="single" w:color="FFFFFF" w:sz="4" w:space="0"/>
        </w:pBdr>
        <w:spacing w:line="560" w:lineRule="exact"/>
        <w:ind w:firstLine="640" w:firstLineChars="200"/>
        <w:rPr>
          <w:rStyle w:val="27"/>
          <w:rFonts w:hint="default" w:ascii="Times New Roman" w:hAnsi="Times New Roman" w:cs="Times New Roman"/>
        </w:rPr>
      </w:pPr>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7"/>
          <w:rFonts w:hint="default" w:ascii="Times New Roman" w:hAnsi="Times New Roman" w:eastAsia="黑体" w:cs="Times New Roman"/>
          <w:b w:val="0"/>
        </w:rPr>
        <w:t>般公共预算财政拨款基本支出决算情况说明</w:t>
      </w:r>
      <w:bookmarkEnd w:id="34"/>
      <w:bookmarkEnd w:id="35"/>
      <w:r>
        <w:rPr>
          <w:rStyle w:val="27"/>
          <w:rFonts w:hint="default" w:ascii="Times New Roman" w:hAnsi="Times New Roman" w:eastAsia="黑体" w:cs="Times New Roman"/>
          <w:b w:val="0"/>
        </w:rPr>
        <w:tab/>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2021年一般公共预算财政拨款基本支出</w:t>
      </w:r>
      <w:r>
        <w:rPr>
          <w:rFonts w:hint="eastAsia" w:eastAsia="仿宋_GB2312" w:cs="Times New Roman"/>
          <w:sz w:val="32"/>
          <w:szCs w:val="32"/>
          <w:lang w:val="en-US" w:eastAsia="zh-CN"/>
        </w:rPr>
        <w:t>284.38</w:t>
      </w:r>
      <w:r>
        <w:rPr>
          <w:rFonts w:hint="default" w:ascii="Times New Roman" w:hAnsi="Times New Roman" w:eastAsia="仿宋_GB2312" w:cs="Times New Roman"/>
          <w:sz w:val="32"/>
          <w:szCs w:val="32"/>
        </w:rPr>
        <w:t>万元，其中：</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人员经费233.19万元，主要包括：基本工资、津贴补贴、奖金、伙食补助费、绩效工资、机关事业单位基本养老保险缴费、职业年金缴费、其他社会保障缴费、</w:t>
      </w:r>
      <w:bookmarkStart w:id="67" w:name="_GoBack"/>
      <w:bookmarkEnd w:id="67"/>
      <w:r>
        <w:rPr>
          <w:rFonts w:hint="default" w:ascii="Times New Roman" w:hAnsi="Times New Roman" w:eastAsia="仿宋_GB2312" w:cs="Times New Roman"/>
          <w:sz w:val="32"/>
          <w:szCs w:val="32"/>
        </w:rPr>
        <w:t>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51.19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36" w:name="_Toc15377215"/>
      <w:bookmarkStart w:id="37" w:name="_Toc15396609"/>
    </w:p>
    <w:p>
      <w:pPr>
        <w:pBdr>
          <w:top w:val="single" w:color="FFFFFF" w:sz="4" w:space="0"/>
          <w:left w:val="single" w:color="FFFFFF" w:sz="4" w:space="31"/>
          <w:bottom w:val="single" w:color="FFFFFF" w:sz="4" w:space="30"/>
          <w:right w:val="single" w:color="FFFFFF" w:sz="4" w:space="0"/>
        </w:pBdr>
        <w:spacing w:line="560" w:lineRule="exact"/>
        <w:ind w:firstLine="640" w:firstLineChars="200"/>
        <w:rPr>
          <w:rStyle w:val="27"/>
          <w:rFonts w:hint="default" w:ascii="Times New Roman" w:hAnsi="Times New Roman" w:eastAsia="黑体" w:cs="Times New Roman"/>
          <w:b w:val="0"/>
        </w:rPr>
      </w:pPr>
      <w:r>
        <w:rPr>
          <w:rFonts w:hint="default" w:ascii="Times New Roman" w:hAnsi="Times New Roman" w:eastAsia="黑体" w:cs="Times New Roman"/>
          <w:sz w:val="32"/>
          <w:szCs w:val="32"/>
        </w:rPr>
        <w:t>七、</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36"/>
      <w:bookmarkEnd w:id="37"/>
      <w:bookmarkStart w:id="38" w:name="_Toc15377216"/>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（一）“三公”经费财政拨款支出决算总体情况说明</w:t>
      </w:r>
      <w:bookmarkEnd w:id="38"/>
      <w:r>
        <w:rPr>
          <w:rFonts w:hint="default" w:ascii="Times New Roman" w:hAnsi="Times New Roman" w:eastAsia="仿宋_GB2312" w:cs="Times New Roman"/>
          <w:b/>
          <w:sz w:val="32"/>
          <w:szCs w:val="32"/>
        </w:rPr>
        <w:t>。</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2021年“三公”经费财政拨款支出决算为0.72万元，完成预算100%，决算数与预算数持平。</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bookmarkStart w:id="39" w:name="_Toc15377217"/>
      <w:r>
        <w:rPr>
          <w:rFonts w:hint="default" w:ascii="Times New Roman" w:hAnsi="Times New Roman" w:eastAsia="仿宋_GB2312" w:cs="Times New Roman"/>
          <w:sz w:val="32"/>
          <w:szCs w:val="32"/>
        </w:rPr>
        <w:t>（二）“三公”经费财政拨款支出决算具体情况说明</w:t>
      </w:r>
      <w:bookmarkEnd w:id="39"/>
      <w:r>
        <w:rPr>
          <w:rFonts w:hint="default" w:ascii="Times New Roman" w:hAnsi="Times New Roman" w:eastAsia="仿宋_GB2312" w:cs="Times New Roman"/>
          <w:sz w:val="32"/>
          <w:szCs w:val="32"/>
        </w:rPr>
        <w:t>。</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2021年“三公”经费财政拨款支出决算中，因公出国（境）费支出决算0万元，占0%；公务用车购置及运行维护费支出决算0万元，占0%；公务接待费支出决算0.72万元，占100%。具体情况如下：</w:t>
      </w:r>
    </w:p>
    <w:p>
      <w:pPr>
        <w:pStyle w:val="6"/>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3360" behindDoc="1" locked="0" layoutInCell="1" allowOverlap="1">
            <wp:simplePos x="0" y="0"/>
            <wp:positionH relativeFrom="column">
              <wp:posOffset>271145</wp:posOffset>
            </wp:positionH>
            <wp:positionV relativeFrom="paragraph">
              <wp:posOffset>79375</wp:posOffset>
            </wp:positionV>
            <wp:extent cx="4457700" cy="2212340"/>
            <wp:effectExtent l="4445" t="5080" r="14605" b="11430"/>
            <wp:wrapThrough wrapText="bothSides">
              <wp:wrapPolygon>
                <wp:start x="-22" y="-50"/>
                <wp:lineTo x="-22" y="21526"/>
                <wp:lineTo x="21578" y="21526"/>
                <wp:lineTo x="21578" y="-50"/>
                <wp:lineTo x="-22" y="-50"/>
              </wp:wrapPolygon>
            </wp:wrapThrough>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6"/>
        <w:rPr>
          <w:rFonts w:hint="default" w:ascii="Times New Roman" w:hAnsi="Times New Roman" w:cs="Times New Roman"/>
        </w:rPr>
      </w:pPr>
    </w:p>
    <w:p>
      <w:pPr>
        <w:pBdr>
          <w:top w:val="single" w:color="FFFFFF" w:sz="4" w:space="0"/>
          <w:left w:val="single" w:color="FFFFFF" w:sz="4" w:space="31"/>
          <w:bottom w:val="single" w:color="FFFFFF" w:sz="4" w:space="30"/>
          <w:right w:val="single" w:color="FFFFFF" w:sz="4" w:space="0"/>
        </w:pBdr>
        <w:spacing w:line="560" w:lineRule="exact"/>
        <w:ind w:firstLine="660" w:firstLineChars="200"/>
        <w:rPr>
          <w:rFonts w:hint="default" w:ascii="Times New Roman" w:hAnsi="Times New Roman" w:eastAsia="方正仿宋_GBK" w:cs="Times New Roman"/>
          <w:sz w:val="33"/>
          <w:szCs w:val="33"/>
        </w:rPr>
      </w:pPr>
    </w:p>
    <w:p>
      <w:pPr>
        <w:pBdr>
          <w:top w:val="single" w:color="FFFFFF" w:sz="4" w:space="0"/>
          <w:left w:val="single" w:color="FFFFFF" w:sz="4" w:space="31"/>
          <w:bottom w:val="single" w:color="FFFFFF" w:sz="4" w:space="30"/>
          <w:right w:val="single" w:color="FFFFFF" w:sz="4" w:space="0"/>
        </w:pBdr>
        <w:spacing w:line="560" w:lineRule="exact"/>
        <w:ind w:firstLine="1650" w:firstLineChars="5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6"/>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w:t>
      </w:r>
      <w:r>
        <w:rPr>
          <w:rFonts w:hint="default" w:ascii="Times New Roman" w:hAnsi="Times New Roman" w:eastAsia="方正仿宋_GBK" w:cs="Times New Roman"/>
          <w:sz w:val="33"/>
          <w:szCs w:val="33"/>
        </w:rPr>
        <w:t>与2020</w:t>
      </w:r>
      <w:r>
        <w:rPr>
          <w:rFonts w:hint="default" w:ascii="Times New Roman" w:hAnsi="Times New Roman" w:eastAsia="仿宋_GB2312" w:cs="Times New Roman"/>
          <w:sz w:val="32"/>
          <w:szCs w:val="32"/>
        </w:rPr>
        <w:t>年持平。</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0万元,完成预算0%。公务用车购置及运行维护费支出决算与2020年持平。</w:t>
      </w:r>
    </w:p>
    <w:p>
      <w:pPr>
        <w:pBdr>
          <w:top w:val="single" w:color="FFFFFF" w:sz="4" w:space="0"/>
          <w:left w:val="single" w:color="FFFFFF" w:sz="4" w:space="31"/>
          <w:bottom w:val="single" w:color="FFFFFF" w:sz="4" w:space="30"/>
          <w:right w:val="single" w:color="FFFFFF" w:sz="4" w:space="0"/>
        </w:pBd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0万元。全年按规定更新购置公务用车0辆，其中：轿车0辆、金额0万元，越野车0辆、金额0万元，载客汽车0辆、金额0万元。截至2021年12月底，单位共有公务用车0辆，其中：轿车0辆、越野车0辆、载客汽车0辆。</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公务用车运行维护费支出0</w:t>
      </w:r>
      <w:r>
        <w:rPr>
          <w:rFonts w:hint="default" w:ascii="Times New Roman" w:hAnsi="Times New Roman" w:eastAsia="仿宋_GB2312" w:cs="Times New Roman"/>
          <w:sz w:val="32"/>
          <w:szCs w:val="32"/>
        </w:rPr>
        <w:t>万元。</w:t>
      </w:r>
    </w:p>
    <w:p>
      <w:pPr>
        <w:numPr>
          <w:ilvl w:val="0"/>
          <w:numId w:val="1"/>
        </w:num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公务接待费支出</w:t>
      </w:r>
      <w:r>
        <w:rPr>
          <w:rFonts w:hint="default" w:ascii="Times New Roman" w:hAnsi="Times New Roman" w:eastAsia="仿宋_GB2312" w:cs="Times New Roman"/>
          <w:sz w:val="32"/>
          <w:szCs w:val="32"/>
        </w:rPr>
        <w:t>0.72万元，完成预算36%。公务接待费支出决算比2020年减少1.28万元，下降64%。主要原因</w:t>
      </w:r>
      <w:r>
        <w:rPr>
          <w:rFonts w:hint="default" w:ascii="Times New Roman" w:hAnsi="Times New Roman" w:eastAsia="仿宋_GB2312" w:cs="Times New Roman"/>
          <w:sz w:val="32"/>
          <w:szCs w:val="32"/>
          <w:lang w:eastAsia="zh-CN"/>
        </w:rPr>
        <w:t>严格按接待标准开展接待业务，</w:t>
      </w:r>
      <w:r>
        <w:rPr>
          <w:rFonts w:hint="default" w:ascii="Times New Roman" w:hAnsi="Times New Roman" w:eastAsia="仿宋_GB2312" w:cs="Times New Roman"/>
          <w:sz w:val="32"/>
          <w:szCs w:val="32"/>
        </w:rPr>
        <w:t>控制</w:t>
      </w:r>
      <w:r>
        <w:rPr>
          <w:rFonts w:hint="default" w:ascii="Times New Roman" w:hAnsi="Times New Roman" w:eastAsia="仿宋_GB2312" w:cs="Times New Roman"/>
          <w:sz w:val="32"/>
          <w:szCs w:val="32"/>
          <w:lang w:eastAsia="zh-CN"/>
        </w:rPr>
        <w:t>接待</w:t>
      </w:r>
      <w:r>
        <w:rPr>
          <w:rFonts w:hint="default" w:ascii="Times New Roman" w:hAnsi="Times New Roman" w:eastAsia="仿宋_GB2312" w:cs="Times New Roman"/>
          <w:sz w:val="32"/>
          <w:szCs w:val="32"/>
        </w:rPr>
        <w:t>成本，厉行节约。</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rPr>
        <w:t>0.72万元，主要用于执行公务、开展业务活动开支的交通费、住宿费、用餐费等。国内公务接待12批次，共计支出0.72万元，具体内容包括：公务接待0.72万元。</w:t>
      </w:r>
    </w:p>
    <w:p>
      <w:pPr>
        <w:pBdr>
          <w:top w:val="single" w:color="FFFFFF" w:sz="4" w:space="0"/>
          <w:left w:val="single" w:color="FFFFFF" w:sz="4" w:space="31"/>
          <w:bottom w:val="single" w:color="FFFFFF" w:sz="4" w:space="30"/>
          <w:right w:val="single" w:color="FFFFFF" w:sz="4" w:space="0"/>
        </w:pBd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rPr>
        <w:t>0万元，无外事支出。</w:t>
      </w:r>
      <w:bookmarkStart w:id="40" w:name="_Toc15377218"/>
      <w:bookmarkStart w:id="41" w:name="_Toc15396610"/>
    </w:p>
    <w:p>
      <w:pPr>
        <w:spacing w:line="600" w:lineRule="exact"/>
        <w:ind w:firstLine="640"/>
        <w:outlineLvl w:val="1"/>
        <w:rPr>
          <w:rStyle w:val="27"/>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7"/>
          <w:rFonts w:hint="default" w:ascii="Times New Roman" w:hAnsi="Times New Roman" w:eastAsia="黑体" w:cs="Times New Roman"/>
          <w:b w:val="0"/>
        </w:rPr>
        <w:t>政府性基金预算支出决算情况说明</w:t>
      </w:r>
      <w:bookmarkEnd w:id="40"/>
      <w:bookmarkEnd w:id="41"/>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2021年政府性基金预算财政拨款支出0万元。</w:t>
      </w:r>
    </w:p>
    <w:p>
      <w:pPr>
        <w:numPr>
          <w:ilvl w:val="0"/>
          <w:numId w:val="2"/>
        </w:numPr>
        <w:spacing w:line="600" w:lineRule="exact"/>
        <w:ind w:firstLine="640"/>
        <w:outlineLvl w:val="1"/>
        <w:rPr>
          <w:rStyle w:val="27"/>
          <w:rFonts w:hint="default" w:ascii="Times New Roman" w:hAnsi="Times New Roman" w:eastAsia="黑体" w:cs="Times New Roman"/>
          <w:b w:val="0"/>
        </w:rPr>
      </w:pPr>
      <w:bookmarkStart w:id="42" w:name="_Toc15377219"/>
      <w:bookmarkStart w:id="43" w:name="_Toc15396611"/>
      <w:r>
        <w:rPr>
          <w:rStyle w:val="27"/>
          <w:rFonts w:hint="default" w:ascii="Times New Roman" w:hAnsi="Times New Roman" w:eastAsia="黑体" w:cs="Times New Roman"/>
          <w:b w:val="0"/>
        </w:rPr>
        <w:t>国有资本经营预算支出决算情况说明</w:t>
      </w:r>
      <w:bookmarkEnd w:id="42"/>
      <w:bookmarkEnd w:id="43"/>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2021年国有资本经营预算财政拨款支出0万元。</w:t>
      </w:r>
    </w:p>
    <w:p>
      <w:pPr>
        <w:numPr>
          <w:ilvl w:val="0"/>
          <w:numId w:val="2"/>
        </w:numPr>
        <w:spacing w:line="600" w:lineRule="exact"/>
        <w:ind w:firstLine="640"/>
        <w:outlineLvl w:val="1"/>
        <w:rPr>
          <w:rStyle w:val="27"/>
          <w:rFonts w:hint="default" w:ascii="Times New Roman" w:hAnsi="Times New Roman" w:eastAsia="黑体" w:cs="Times New Roman"/>
          <w:b w:val="0"/>
        </w:rPr>
      </w:pPr>
      <w:bookmarkStart w:id="44" w:name="_Toc15377221"/>
      <w:bookmarkStart w:id="45" w:name="_Toc15396612"/>
      <w:r>
        <w:rPr>
          <w:rStyle w:val="27"/>
          <w:rFonts w:hint="default" w:ascii="Times New Roman" w:hAnsi="Times New Roman" w:eastAsia="黑体" w:cs="Times New Roman"/>
          <w:b w:val="0"/>
        </w:rPr>
        <w:t>其他重要事项的情况说明</w:t>
      </w:r>
      <w:bookmarkEnd w:id="44"/>
      <w:bookmarkEnd w:id="45"/>
    </w:p>
    <w:p>
      <w:pPr>
        <w:spacing w:line="600" w:lineRule="exact"/>
        <w:ind w:firstLine="643"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2021年，机关运行经费支出51.19万元，比2020年47.07万元增加4.12万元，增长8.7%。主要原因是机构改革。</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7" w:name="_Toc15377223"/>
      <w:r>
        <w:rPr>
          <w:rFonts w:hint="default" w:ascii="Times New Roman" w:hAnsi="Times New Roman" w:eastAsia="仿宋" w:cs="Times New Roman"/>
          <w:b/>
          <w:sz w:val="32"/>
          <w:szCs w:val="32"/>
        </w:rPr>
        <w:t>（二）政府采购支出情况</w:t>
      </w:r>
      <w:bookmarkEnd w:id="4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2021年，政府采购支出总额0万元，2021年无政府采购。</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pPr>
        <w:spacing w:line="600" w:lineRule="exact"/>
        <w:ind w:firstLine="640" w:firstLineChars="200"/>
        <w:rPr>
          <w:rFonts w:hint="default" w:ascii="Times New Roman" w:hAnsi="Times New Roman" w:eastAsia="方正仿宋_GBK" w:cs="Times New Roman"/>
          <w:sz w:val="33"/>
          <w:szCs w:val="33"/>
        </w:rPr>
      </w:pPr>
      <w:r>
        <w:rPr>
          <w:rFonts w:hint="default" w:ascii="Times New Roman" w:hAnsi="Times New Roman" w:eastAsia="仿宋_GB2312" w:cs="Times New Roman"/>
          <w:sz w:val="32"/>
          <w:szCs w:val="32"/>
        </w:rPr>
        <w:t>截至2021年12月31日，西区生态环境局无车辆。单价50万元以上通用设备0台（套），单价100万元以上专用设备0台（套）。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2021年度预算编制阶段，组织对项目业务运行费、千村示范工程以奖代补资金、原关闭搬迁企业地块土壤污染状况初步调查项目（项目名称）等23个项目开展了预算事前绩效评估，对9个项目编制了绩效目标，预算执行过程中，选取9个项目开展绩效监控，年终执行完毕后，对9个项目开展了绩效自评，2021年特定目标类部门预算项目绩效目标自评表见附件（第四部分）。</w:t>
      </w:r>
    </w:p>
    <w:p>
      <w:pPr>
        <w:pStyle w:val="2"/>
        <w:spacing w:before="93"/>
        <w:rPr>
          <w:rFonts w:hint="default" w:ascii="Times New Roman" w:hAnsi="Times New Roman" w:cs="Times New Roman"/>
          <w:highlight w:val="yellow"/>
        </w:rPr>
      </w:pP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49" w:name="_Toc15396613"/>
      <w:bookmarkStart w:id="50" w:name="_Toc15377225"/>
      <w:r>
        <w:rPr>
          <w:rFonts w:hint="default" w:ascii="Times New Roman" w:hAnsi="Times New Roman" w:eastAsia="黑体" w:cs="Times New Roman"/>
          <w:sz w:val="44"/>
          <w:szCs w:val="44"/>
        </w:rPr>
        <w:t>名</w:t>
      </w:r>
      <w:r>
        <w:rPr>
          <w:rStyle w:val="26"/>
          <w:rFonts w:hint="default" w:ascii="Times New Roman" w:hAnsi="Times New Roman" w:eastAsia="黑体" w:cs="Times New Roman"/>
          <w:b w:val="0"/>
        </w:rPr>
        <w:t>词解释</w:t>
      </w:r>
      <w:bookmarkEnd w:id="49"/>
      <w:bookmarkEnd w:id="50"/>
    </w:p>
    <w:p>
      <w:pPr>
        <w:spacing w:line="600" w:lineRule="exact"/>
        <w:jc w:val="left"/>
        <w:rPr>
          <w:rFonts w:hint="default" w:ascii="Times New Roman" w:hAnsi="Times New Roman" w:cs="Times New Roman"/>
          <w:b/>
          <w:sz w:val="44"/>
          <w:szCs w:val="44"/>
        </w:rPr>
      </w:pP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1.财政拨款收入：指单位从同级财政部门取得的财政预算资金。</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2.其他收入：指单位取得的除上述收入以外的各项收入。主要是区级财政安排资金等。</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3.使用非财政拨款结余：指事业单位使用以前年度积累的非财政拨款结余弥补当年收支差额的金额。</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4.年初结转和结余：指以前年度尚未完成、结转到本年按有关规定继续使用的资金。</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5.年末结转和结余：指单位按有关规定结转到下年或以后年度继续使用的资金。</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sz w:val="32"/>
          <w:szCs w:val="32"/>
        </w:rPr>
        <w:t>6.社会保障和就业（类）行政事业单位养老（款）行政单位离退休（项）：指行政单位（包括实行公务员管理的事业单位）开支的离退休经费。</w:t>
      </w:r>
    </w:p>
    <w:p>
      <w:pPr>
        <w:pStyle w:val="32"/>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7.社会保障和就业（类）行政事业单位养老（款）机关事业单位基本养老保险缴费（项）：指机关事业单位实施养老保险制度由单位缴纳的基本养老保险支出。</w:t>
      </w:r>
    </w:p>
    <w:p>
      <w:pPr>
        <w:pStyle w:val="32"/>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8.社会保障和就业（类）行政事业单位养老（款）机关事业单位职业年金缴费（项）：指机关事业单位实施养老保险制度由单位实际缴纳的职业年金支出。</w:t>
      </w:r>
    </w:p>
    <w:p>
      <w:pPr>
        <w:spacing w:line="60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9. 卫生健康（类）行政事业单位医疗（款）事业单位医疗（项）：指财政部门安排的事业单位用于缴纳单位基本医疗保险支出。</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10. 卫生健康（类）行政事业单位医疗（款）公务员医疗补助（项）：指财政部门集中安排的公务员医疗补助经费。</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11.节能环保支出（类）环境保护管理事务（款）行政运行（项）：指行政单位（包括实行公务员管理的事业单位）的基本支出。</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12.节能环保（类）环境保护管理事务（款）一般行政管理事务（项）：指行政单位未单独设置项级科目的其他项目支出。</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13、节能环保支出（类）环境保护管理事务（款）其他环境保护管理事务支出（项）：指除行政运行、一般行政管理事务、机关服务、环境保护宣传等以外其他用于环境保护管理事务方面的支出。</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14.节能环保支出（类）污染防治（款）其他污染防治支出（项）：指除大气、水体、噪声、固体废弃物与化学品、放射源和放射性废物监管、辐射以外其他用于污染防治方面的支出。</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15、住房保障支出（类）住房改革支出（款）住房公积金（项）：指行政事业单位按人力资源和社会保障部、财政部规定的基本工资和津贴补贴以及规定比例为职工缴纳的住房公积金。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16.基本支出：指为保障机构正常运转、完成日常工作任务而发生的人员支出和公用支出。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17.项目支出：指在基本支出之外为完成特定行政任务和事业发展目标所发生的支出。</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18.“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hint="default" w:ascii="Times New Roman" w:hAnsi="Times New Roman" w:eastAsia="仿宋_GB2312" w:cs="Times New Roman"/>
          <w:color w:val="auto"/>
          <w:sz w:val="32"/>
          <w:szCs w:val="32"/>
        </w:rPr>
      </w:pPr>
    </w:p>
    <w:p>
      <w:pPr>
        <w:spacing w:line="600" w:lineRule="exact"/>
        <w:jc w:val="center"/>
        <w:outlineLvl w:val="0"/>
        <w:rPr>
          <w:rStyle w:val="26"/>
          <w:rFonts w:hint="default" w:ascii="Times New Roman" w:hAnsi="Times New Roman" w:eastAsia="黑体" w:cs="Times New Roman"/>
          <w:b w:val="0"/>
        </w:rPr>
      </w:pPr>
      <w:bookmarkStart w:id="51" w:name="_Toc15377226"/>
      <w:r>
        <w:rPr>
          <w:rFonts w:hint="default" w:ascii="Times New Roman" w:hAnsi="Times New Roman" w:cs="Times New Roman"/>
          <w:b/>
          <w:sz w:val="44"/>
          <w:szCs w:val="44"/>
        </w:rPr>
        <w:br w:type="page"/>
      </w:r>
      <w:bookmarkStart w:id="52" w:name="_Toc15396614"/>
      <w:bookmarkStart w:id="53" w:name="_Toc15396618"/>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四部分 附件</w:t>
      </w:r>
      <w:bookmarkEnd w:id="52"/>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2021年业务运行经费项目绩效目标自评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9.6256</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30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保障2021年业务运行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保障2021年业务运行</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环境行政检查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开展各项环境行政检查及执法检查不少于300次/年，督促辖区内企业做好生态环境保护各项工作。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开展各项环境行政检查及执法检查不少于300次/年，督促辖区内企业做好生态环境保护各项工作。</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提升环境行政监管水平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完成大气、水、土壤等污染防治检查，自然生态、环评及三同时、排污许可、核与辐射、环境应急等行政检查，完成移动执法任务，提升环境行政监管水平。</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完成大气、水、土壤等污染防治检查，自然生态、环评及三同时、排污许可、核与辐射、环境应急等行政检查，完成移动执法任务，提升环境行政监管水平。</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按上级下达任务期限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在时限内完成各项行政检查和移动执法任务，不定时开展随机抽查检查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在时限内完成各项行政检查和移动执法任务，不定时开展随机抽查检查</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业务运行经费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业务运行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业务运行</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重大环境违法行为逐年递减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降低重大环境违法行为发生率，持续巩固改善区域生态环境质量状况。</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降低重大环境违法行为发生率，持续巩固改善区域生态环境质量状况。</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及时发现处理环境问题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及时发现并妥善处理环境问题，有效减少污染物事故性排放，降低污染排放总量。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及时发现并妥善处理环境问题，有效减少污染物事故性排放，降低污染排放总量。</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有效推进生态环境保护工作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持续促进环境质量改善，不断满足群众合法环境需求，提升群众获得感、幸福感。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持续促进环境质量改善，不断满足群众合法环境需求，提升群众获得感、幸福感。</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抽样调查满意度达到90%以上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抽样调查满意度达到90%以上</w:t>
            </w:r>
          </w:p>
        </w:tc>
      </w:tr>
    </w:tbl>
    <w:p>
      <w:pPr>
        <w:spacing w:line="600" w:lineRule="exact"/>
        <w:jc w:val="center"/>
        <w:outlineLvl w:val="0"/>
        <w:rPr>
          <w:rFonts w:hint="default" w:ascii="Times New Roman" w:hAnsi="Times New Roman" w:eastAsia="黑体" w:cs="Times New Roman"/>
          <w:sz w:val="44"/>
          <w:szCs w:val="44"/>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p>
    <w:tbl>
      <w:tblPr>
        <w:tblStyle w:val="14"/>
        <w:tblpPr w:leftFromText="180" w:rightFromText="180" w:vertAnchor="text" w:horzAnchor="page" w:tblpX="1240" w:tblpY="75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2021年度西区农村生活污水治理“千村示范工程”项目绩效</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9.6256</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132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在格里坪镇金桥村、金家村基本建成与全面</w:t>
            </w:r>
            <w:r>
              <w:rPr>
                <w:rFonts w:hint="default" w:ascii="Times New Roman" w:hAnsi="Times New Roman" w:cs="Times New Roman"/>
                <w:sz w:val="24"/>
                <w:lang w:eastAsia="zh-CN"/>
              </w:rPr>
              <w:t>建成</w:t>
            </w:r>
            <w:r>
              <w:rPr>
                <w:rFonts w:hint="default" w:ascii="Times New Roman" w:hAnsi="Times New Roman" w:cs="Times New Roman"/>
                <w:sz w:val="24"/>
              </w:rPr>
              <w:t>小康社会相适应的农村生活污水治理体系，生活污水有效处理率不低于60%，实现农村人居环境明显改善。</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在格里坪镇金桥村、金家村基本建成与全面</w:t>
            </w:r>
            <w:r>
              <w:rPr>
                <w:rFonts w:hint="default" w:ascii="Times New Roman" w:hAnsi="Times New Roman" w:cs="Times New Roman"/>
                <w:sz w:val="24"/>
                <w:lang w:eastAsia="zh-CN"/>
              </w:rPr>
              <w:t>建成</w:t>
            </w:r>
            <w:r>
              <w:rPr>
                <w:rFonts w:hint="default" w:ascii="Times New Roman" w:hAnsi="Times New Roman" w:cs="Times New Roman"/>
                <w:sz w:val="24"/>
              </w:rPr>
              <w:t>小康社会相适应的农村生活污水治理体系，生活污水有效处理率不低于60%，实现农村人居环境明显改善。</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农村污水治理村庄个数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生活污水有效处理率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≥60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≥60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107.6621</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环境公共服务程度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建成的污染设施和监管设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持续发挥效益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持续发挥效益</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r>
    </w:tbl>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72" w:lineRule="exact"/>
        <w:jc w:val="left"/>
        <w:outlineLvl w:val="0"/>
        <w:rPr>
          <w:rFonts w:hint="default" w:ascii="Times New Roman" w:hAnsi="Times New Roman" w:eastAsia="黑体" w:cs="Times New Roman"/>
          <w:sz w:val="32"/>
          <w:szCs w:val="32"/>
        </w:rPr>
      </w:pPr>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山水林田湖项目绩效目标自评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100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西佛山片区环境综合治理及配套基础设施建设项目Ⅱ标段项目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未完成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项目前期准备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已完成项目可研、财评、施工设计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入场施工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已完成招标，施工单位已入场施工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按期完成项目研究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100万元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为攀枝花经济转型提供生态保障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为攀枝花经济转型提供生态保障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提高人居生活质量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降低温度、提高湿度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指标1：提升生态环境质量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rPr>
              <w:t>提升生态环境质量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生态环境可持续发展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生态环境可持续发展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抽样调查达到基本满意级以上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bl>
    <w:p>
      <w:pPr>
        <w:spacing w:line="600" w:lineRule="exact"/>
        <w:outlineLvl w:val="0"/>
        <w:rPr>
          <w:rFonts w:hint="default" w:ascii="Times New Roman" w:hAnsi="Times New Roman" w:eastAsia="黑体" w:cs="Times New Roman"/>
          <w:sz w:val="44"/>
          <w:szCs w:val="44"/>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ind w:firstLine="0" w:firstLineChars="0"/>
        <w:rPr>
          <w:rFonts w:hint="default" w:ascii="Times New Roman" w:hAnsi="Times New Roman" w:cs="Times New Roman"/>
        </w:rPr>
      </w:pPr>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0"/>
                <w:szCs w:val="30"/>
              </w:rPr>
              <w:t>2017年环保监管能力建设与监管设施运维保障资金项目绩效目标自评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7</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7</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整合该笔资金，用于实施攀枝花市西区环境应急监控中心项目。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根据工作安排已完成攀枝花市西区环境应急监控中心项目建设方案编制，攀枝花市西区环境应急监控中心项目已正式开工。</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在现有环境空气质量监测点位的基础上，针对重点、热点区域增设空气微站，升级环境质量管理系统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完成项目方案设计，软件平台系统搭建。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全面提升园区污染源精细化、智能化管理水平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实现环境质量数据展示和分析及预警功能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按期完成项目研究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攀枝花西区环境质量综合监管平台建设276.7万元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攀枝花市西区环境应急监控中心项目建设方案编制费5.6万元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为环境保护工作提供智能决策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实现对污染源和区域环境质量的全面监控、预警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进一步提升辖区环境管理水平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实现对污染源和环境质量全面监控、预警、智能决策</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指提高环境质量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加强生态环境综合治理，补齐生态环境短板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项目连续运行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90" w:firstLineChars="50"/>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群众满意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bl>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2017年第二批省级环保应急机动保障资金项目绩效目标自评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198.6326</w:t>
            </w: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kern w:val="0"/>
                <w:sz w:val="18"/>
                <w:szCs w:val="18"/>
              </w:rPr>
              <w:t>198.6326</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198.6326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kern w:val="0"/>
                <w:sz w:val="18"/>
                <w:szCs w:val="18"/>
              </w:rPr>
              <w:t>198.6326</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整合该笔资金，用于实施攀枝花市西区环境应急监控中心项目。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根据工作安排已完成攀枝花市西区环境应急监控中心项目建设方案编制，攀枝花市西区环境应急监控中心项目已正式开工。</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在现有环境空气质量监测点位的基础上，针对重点、热点区域增设空气微站，升级环境质量管理系统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完成项目方案设计，软件平台系统搭建。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指标1：全面提升园区污染源精细化、智能化管理水平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实现环境质量数据展示和分析及预警功能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指标1：按期完成项目建设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指标1：攀枝花西区环境质量综合监管平台建设276.7万元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攀枝花市西区环境应急监控中心项目建设方案编制费5.6万元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指标1：为环境保护工作提供智能决策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实现对污染源和区域环境质量的全面监控、预警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指标1：进一步提升辖区环境管理水平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实现对污染源和环境质量全面监控、预警、智能决策</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指标1：指提高环境质量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加强生态环境综合治理，补齐生态环境短板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指标1：项目连续运行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90" w:firstLineChars="50"/>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群众满意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bl>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spacing w:line="572" w:lineRule="exact"/>
        <w:jc w:val="left"/>
        <w:outlineLvl w:val="0"/>
        <w:rPr>
          <w:rFonts w:hint="default" w:ascii="Times New Roman" w:hAnsi="Times New Roman" w:cs="Times New Roman"/>
        </w:rPr>
      </w:pPr>
      <w:r>
        <w:rPr>
          <w:rFonts w:hint="default" w:ascii="Times New Roman" w:hAnsi="Times New Roman" w:eastAsia="黑体" w:cs="Times New Roman"/>
          <w:sz w:val="32"/>
          <w:szCs w:val="32"/>
        </w:rPr>
        <w:t>附件6</w:t>
      </w:r>
    </w:p>
    <w:tbl>
      <w:tblPr>
        <w:tblStyle w:val="14"/>
        <w:tblpPr w:leftFromText="180" w:rightFromText="180" w:vertAnchor="text" w:horzAnchor="page" w:tblpX="1240" w:tblpY="755"/>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重新下达2016年省级重点区域污染防治资金-拨付格里坪工业园区污染防护净化带项目项目绩效目标自评</w:t>
            </w:r>
          </w:p>
        </w:tc>
      </w:tr>
      <w:tr>
        <w:tblPrEx>
          <w:tblCellMar>
            <w:top w:w="0" w:type="dxa"/>
            <w:left w:w="108" w:type="dxa"/>
            <w:bottom w:w="0" w:type="dxa"/>
            <w:right w:w="108" w:type="dxa"/>
          </w:tblCellMar>
        </w:tblPrEx>
        <w:trPr>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224.8074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kern w:val="0"/>
                <w:sz w:val="18"/>
                <w:szCs w:val="18"/>
              </w:rPr>
              <w:t>224.8074</w:t>
            </w:r>
          </w:p>
        </w:tc>
      </w:tr>
      <w:tr>
        <w:tblPrEx>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224.8074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kern w:val="0"/>
                <w:sz w:val="18"/>
                <w:szCs w:val="18"/>
              </w:rPr>
              <w:t>224.8074</w:t>
            </w:r>
          </w:p>
        </w:tc>
      </w:tr>
      <w:tr>
        <w:tblPrEx>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养护攀枝花市西区格里坪工业园区污染防护净化带项目绿植，确保绿植成活率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已完成</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w:t>
            </w:r>
            <w:r>
              <w:rPr>
                <w:rFonts w:hint="default" w:ascii="Times New Roman" w:hAnsi="Times New Roman" w:cs="Times New Roman"/>
                <w:kern w:val="0"/>
                <w:sz w:val="18"/>
                <w:szCs w:val="18"/>
              </w:rPr>
              <w:t>格里坪工业园区污染防护净化带项目后期养护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全年对651.64亩苗木进行养护</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指标1：确保苗木成活率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77"/>
              </w:tabs>
              <w:spacing w:line="240" w:lineRule="exact"/>
              <w:jc w:val="left"/>
              <w:rPr>
                <w:rFonts w:hint="default" w:ascii="Times New Roman" w:hAnsi="Times New Roman" w:cs="Times New Roman"/>
                <w:sz w:val="24"/>
              </w:rPr>
            </w:pPr>
            <w:r>
              <w:rPr>
                <w:rFonts w:hint="default" w:ascii="Times New Roman" w:hAnsi="Times New Roman" w:cs="Times New Roman"/>
                <w:kern w:val="0"/>
                <w:sz w:val="18"/>
                <w:szCs w:val="18"/>
              </w:rPr>
              <w:t>达工程清单数量的80%以上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w:t>
            </w:r>
            <w:r>
              <w:rPr>
                <w:rFonts w:hint="default" w:ascii="Times New Roman" w:hAnsi="Times New Roman" w:cs="Times New Roman"/>
                <w:kern w:val="0"/>
                <w:sz w:val="18"/>
                <w:szCs w:val="18"/>
              </w:rPr>
              <w:t>按合同约定定期养护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按合同约定定期养护</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指标1：1000万元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指标1：为我区经济转型提供生态环境保障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区域污染防治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指标1：区域污染综合整治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解决环境突出问题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指标1：改善我区生态环境质量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有效减轻工业废气、道路扬尘及汽车尾气对项目周边区域（主要是经堂村、苦荞村、滥坝村、格里坪镇及苏铁自然保护区）大气环境的影响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指标1：随着苗木生长，持续改善区域生态环境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sz w:val="24"/>
              </w:rPr>
            </w:pPr>
            <w:r>
              <w:rPr>
                <w:rFonts w:hint="default" w:ascii="Times New Roman" w:hAnsi="Times New Roman" w:cs="Times New Roman"/>
                <w:kern w:val="0"/>
                <w:sz w:val="18"/>
                <w:szCs w:val="18"/>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抽样调查达到基本满意级以上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bl>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tbl>
      <w:tblPr>
        <w:tblStyle w:val="14"/>
        <w:tblpPr w:leftFromText="180" w:rightFromText="180" w:vertAnchor="text" w:horzAnchor="page" w:tblpX="1240" w:tblpY="75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生态环境保护督察专项工作经费项目绩效目标自评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9.6256</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132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为全面做好第二轮四川省生态环境保护督察各项迎检工作，确保西区突出生态环境问题整改扎实开展</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为全面做好第二轮四川省生态环境保护督察各项迎检工作，确保西区突出生态环境问题整改扎实开展</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生态环境保护督察工作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：全面做好第二轮四川省生态环境保护督察各项迎检工作，确保西区突出生态环境问题整改扎实开展。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：全面做好第二轮四川省生态环境保护督察各项迎检工作，确保西区突出生态环境问题整改扎实开展。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≥60：全面做好第二轮四川省生态环境保护督察各项迎检工作，确保西区突出生态环境问题整改扎实开展。</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环境公共服务程度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生态可持续发展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生态可持续发展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生态可持续发展</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r>
    </w:tbl>
    <w:p>
      <w:pPr>
        <w:spacing w:line="572" w:lineRule="exact"/>
        <w:jc w:val="left"/>
        <w:outlineLvl w:val="0"/>
        <w:rPr>
          <w:rFonts w:hint="default" w:ascii="Times New Roman" w:hAnsi="Times New Roman" w:eastAsia="黑体" w:cs="Times New Roman"/>
          <w:sz w:val="32"/>
          <w:szCs w:val="32"/>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tbl>
      <w:tblPr>
        <w:tblStyle w:val="14"/>
        <w:tblpPr w:leftFromText="180" w:rightFromText="180" w:vertAnchor="text" w:horzAnchor="page" w:tblpX="1240" w:tblpY="75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重新安排2015年市级环保专项资金绩效目标自评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19.4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kern w:val="0"/>
                <w:sz w:val="18"/>
                <w:szCs w:val="18"/>
              </w:rPr>
              <w:t>19.4</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19.4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kern w:val="0"/>
                <w:sz w:val="18"/>
                <w:szCs w:val="18"/>
              </w:rPr>
              <w:t>19.4</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固体废弃物成分分析及产业化综合利用课题研究服务项目尾款。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固体废弃物成分分析及产业化综合利用课题研究服务项目已完成并通过验收。</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w:t>
            </w:r>
            <w:r>
              <w:rPr>
                <w:rFonts w:hint="default" w:ascii="Times New Roman" w:hAnsi="Times New Roman" w:cs="Times New Roman"/>
                <w:kern w:val="0"/>
                <w:sz w:val="18"/>
                <w:szCs w:val="18"/>
              </w:rPr>
              <w:t>编制《攀枝花市西区固体废弃物成分分析及基础实验报告》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1本</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1本</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指标1：完成对西区辖区内的固体废弃物进行分析测试，并在测试的基础上开展固废资源开发利用基础实验、价值评估和利用方向途径研究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提出固废综合利用方向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指标1：按期完成项目研究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w:t>
            </w:r>
            <w:r>
              <w:rPr>
                <w:rFonts w:hint="default" w:ascii="Times New Roman" w:hAnsi="Times New Roman" w:cs="Times New Roman"/>
                <w:kern w:val="0"/>
                <w:sz w:val="18"/>
                <w:szCs w:val="18"/>
              </w:rPr>
              <w:t>项目服务费尾款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19.4万元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指标1：提高固废价值</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sz w:val="24"/>
              </w:rPr>
            </w:pPr>
            <w:r>
              <w:rPr>
                <w:rFonts w:hint="default" w:ascii="Times New Roman" w:hAnsi="Times New Roman" w:cs="Times New Roman"/>
                <w:color w:val="000000"/>
                <w:kern w:val="0"/>
                <w:sz w:val="18"/>
                <w:szCs w:val="18"/>
              </w:rPr>
              <w:t>增加固废综合利用产业</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指标1：降低固体废弃物引发的社会矛盾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color w:val="000000"/>
                <w:kern w:val="0"/>
                <w:sz w:val="18"/>
                <w:szCs w:val="18"/>
              </w:rPr>
              <w:t>降低固体废弃物引发的社会矛盾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指标1：进一步提升辖区固废综合利用率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加强生态环境综合治理，补齐生态环境短板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指标1：项目连续运行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90" w:firstLineChars="50"/>
              <w:rPr>
                <w:rFonts w:hint="default" w:ascii="Times New Roman" w:hAnsi="Times New Roman" w:cs="Times New Roman"/>
                <w:sz w:val="24"/>
              </w:rPr>
            </w:pPr>
            <w:r>
              <w:rPr>
                <w:rFonts w:hint="default" w:ascii="Times New Roman" w:hAnsi="Times New Roman" w:cs="Times New Roman"/>
                <w:kern w:val="0"/>
                <w:sz w:val="18"/>
                <w:szCs w:val="1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群众满意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bl>
    <w:p>
      <w:pPr>
        <w:widowControl/>
        <w:adjustRightInd w:val="0"/>
        <w:snapToGrid w:val="0"/>
        <w:spacing w:line="580" w:lineRule="exact"/>
        <w:contextualSpacing/>
        <w:jc w:val="left"/>
        <w:rPr>
          <w:rFonts w:hint="default" w:ascii="Times New Roman" w:hAnsi="Times New Roman" w:cs="Times New Roman"/>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572" w:lineRule="exact"/>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tbl>
      <w:tblPr>
        <w:tblStyle w:val="14"/>
        <w:tblpPr w:leftFromText="180" w:rightFromText="180" w:vertAnchor="text" w:horzAnchor="page" w:tblpX="1240" w:tblpY="75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2018省控重点污染源自动监控项目专项资金绩效目标自评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kern w:val="0"/>
                <w:sz w:val="18"/>
                <w:szCs w:val="18"/>
              </w:rPr>
              <w:t>15</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15</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整合该笔资金，用于实施攀枝花市西区环境应急监控中心项目。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根据工作安排已完成攀枝花市西区环境应急监控中心项目建设方案编制，攀枝花市西区环境应急监控中心项目已正式开工。</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指标2：在现有环境空气质量监测点位的基础上，针对重点、热点区域增设空气微站，升级环境质量管理系统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完成项目方案设计，软件平台系统搭建。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指标1：全面提升园区污染源精细化、智能化管理水平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实现环境质量数据展示和分析及预警功能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指标1：按期完成项目建设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指标1：攀枝花西区环境质量综合监管平台建设276.7万元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攀枝花市西区环境应急监控中心项目建设方案编制费5.6万元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指标1：为环境保护工作提供智能决策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实现对污染源和区域环境质量的全面监控、预警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指标1：进一步提升辖区环境管理水平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实现对污染源和环境质量全面监控、预警、智能决策</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指标1：指提高环境质量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加强生态环境综合治理，补齐生态环境短板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指标1：项目连续运行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90" w:firstLineChars="50"/>
              <w:rPr>
                <w:rFonts w:hint="default" w:ascii="Times New Roman" w:hAnsi="Times New Roman" w:cs="Times New Roman"/>
                <w:sz w:val="24"/>
              </w:rPr>
            </w:pPr>
            <w:r>
              <w:rPr>
                <w:rFonts w:hint="default" w:ascii="Times New Roman" w:hAnsi="Times New Roman" w:cs="Times New Roman"/>
                <w:kern w:val="0"/>
                <w:sz w:val="18"/>
                <w:szCs w:val="1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群众满意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bl>
    <w:p>
      <w:pPr>
        <w:pStyle w:val="6"/>
        <w:rPr>
          <w:rFonts w:hint="default" w:ascii="Times New Roman" w:hAnsi="Times New Roman" w:cs="Times New Roman"/>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五部分 附表</w:t>
      </w:r>
      <w:bookmarkEnd w:id="51"/>
      <w:bookmarkEnd w:id="53"/>
      <w:bookmarkStart w:id="54"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27"/>
          <w:rFonts w:hint="default" w:ascii="Times New Roman" w:hAnsi="Times New Roman" w:eastAsia="仿宋" w:cs="Times New Roman"/>
          <w:b w:val="0"/>
          <w:bCs w:val="0"/>
        </w:rPr>
        <w:t>入支出决算总表</w:t>
      </w:r>
      <w:bookmarkEnd w:id="54"/>
    </w:p>
    <w:p>
      <w:pPr>
        <w:pStyle w:val="4"/>
        <w:rPr>
          <w:rFonts w:hint="default" w:ascii="Times New Roman" w:hAnsi="Times New Roman" w:eastAsia="仿宋" w:cs="Times New Roman"/>
        </w:rPr>
      </w:pPr>
      <w:bookmarkStart w:id="55" w:name="_Toc15396620"/>
      <w:r>
        <w:rPr>
          <w:rFonts w:hint="default" w:ascii="Times New Roman" w:hAnsi="Times New Roman" w:eastAsia="仿宋" w:cs="Times New Roman"/>
          <w:b w:val="0"/>
        </w:rPr>
        <w:t>二、收</w:t>
      </w:r>
      <w:r>
        <w:rPr>
          <w:rStyle w:val="27"/>
          <w:rFonts w:hint="default" w:ascii="Times New Roman" w:hAnsi="Times New Roman" w:eastAsia="仿宋" w:cs="Times New Roman"/>
          <w:b w:val="0"/>
          <w:bCs w:val="0"/>
        </w:rPr>
        <w:t>入决算表</w:t>
      </w:r>
      <w:bookmarkEnd w:id="55"/>
    </w:p>
    <w:p>
      <w:pPr>
        <w:pStyle w:val="4"/>
        <w:rPr>
          <w:rFonts w:hint="default" w:ascii="Times New Roman" w:hAnsi="Times New Roman" w:eastAsia="仿宋" w:cs="Times New Roman"/>
        </w:rPr>
      </w:pPr>
      <w:bookmarkStart w:id="56"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7"/>
          <w:rFonts w:hint="default" w:ascii="Times New Roman" w:hAnsi="Times New Roman" w:eastAsia="仿宋" w:cs="Times New Roman"/>
          <w:b w:val="0"/>
          <w:bCs w:val="0"/>
        </w:rPr>
        <w:t>出决算表</w:t>
      </w:r>
      <w:bookmarkEnd w:id="56"/>
    </w:p>
    <w:p>
      <w:pPr>
        <w:pStyle w:val="4"/>
        <w:rPr>
          <w:rFonts w:hint="default" w:ascii="Times New Roman" w:hAnsi="Times New Roman" w:eastAsia="仿宋" w:cs="Times New Roman"/>
          <w:b w:val="0"/>
        </w:rPr>
      </w:pPr>
      <w:bookmarkStart w:id="57"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7"/>
          <w:rFonts w:hint="default" w:ascii="Times New Roman" w:hAnsi="Times New Roman" w:eastAsia="仿宋" w:cs="Times New Roman"/>
          <w:b w:val="0"/>
          <w:bCs w:val="0"/>
        </w:rPr>
        <w:t>政拨款收入支出决算总表</w:t>
      </w:r>
      <w:bookmarkEnd w:id="57"/>
    </w:p>
    <w:p>
      <w:pPr>
        <w:pStyle w:val="4"/>
        <w:rPr>
          <w:rStyle w:val="27"/>
          <w:rFonts w:hint="default" w:ascii="Times New Roman" w:hAnsi="Times New Roman" w:eastAsia="仿宋" w:cs="Times New Roman"/>
          <w:b w:val="0"/>
          <w:bCs w:val="0"/>
        </w:rPr>
      </w:pPr>
      <w:bookmarkStart w:id="58"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7"/>
          <w:rFonts w:hint="default" w:ascii="Times New Roman" w:hAnsi="Times New Roman" w:eastAsia="仿宋" w:cs="Times New Roman"/>
          <w:b w:val="0"/>
          <w:bCs w:val="0"/>
        </w:rPr>
        <w:t>政拨款支出决算明细表</w:t>
      </w:r>
      <w:bookmarkEnd w:id="58"/>
      <w:bookmarkStart w:id="59" w:name="_Toc15396624"/>
    </w:p>
    <w:p>
      <w:pPr>
        <w:pStyle w:val="4"/>
        <w:rPr>
          <w:rFonts w:hint="default" w:ascii="Times New Roman" w:hAnsi="Times New Roman" w:eastAsia="仿宋" w:cs="Times New Roman"/>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般公共预算财政拨款支出决算表</w:t>
      </w:r>
      <w:bookmarkEnd w:id="59"/>
    </w:p>
    <w:p>
      <w:pPr>
        <w:pStyle w:val="4"/>
        <w:rPr>
          <w:rFonts w:hint="default" w:ascii="Times New Roman" w:hAnsi="Times New Roman" w:eastAsia="仿宋" w:cs="Times New Roman"/>
        </w:rPr>
      </w:pPr>
      <w:bookmarkStart w:id="60"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般公共预算财政拨款支出决算明细表</w:t>
      </w:r>
      <w:bookmarkEnd w:id="60"/>
    </w:p>
    <w:p>
      <w:pPr>
        <w:pStyle w:val="4"/>
        <w:rPr>
          <w:rFonts w:hint="default" w:ascii="Times New Roman" w:hAnsi="Times New Roman" w:eastAsia="仿宋" w:cs="Times New Roman"/>
        </w:rPr>
      </w:pPr>
      <w:bookmarkStart w:id="61"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般公共预算财政拨款基本支出决算表</w:t>
      </w:r>
      <w:bookmarkEnd w:id="61"/>
    </w:p>
    <w:p>
      <w:pPr>
        <w:pStyle w:val="4"/>
        <w:rPr>
          <w:rFonts w:hint="default" w:ascii="Times New Roman" w:hAnsi="Times New Roman" w:eastAsia="仿宋" w:cs="Times New Roman"/>
        </w:rPr>
      </w:pPr>
      <w:bookmarkStart w:id="62"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般公共预算财政拨款项目支出决算表</w:t>
      </w:r>
      <w:bookmarkEnd w:id="62"/>
    </w:p>
    <w:p>
      <w:pPr>
        <w:pStyle w:val="4"/>
        <w:rPr>
          <w:rFonts w:hint="default" w:ascii="Times New Roman" w:hAnsi="Times New Roman" w:eastAsia="仿宋" w:cs="Times New Roman"/>
        </w:rPr>
      </w:pPr>
      <w:bookmarkStart w:id="63" w:name="_Toc15396628"/>
      <w:r>
        <w:rPr>
          <w:rStyle w:val="27"/>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般公共预算财政拨款“三公”经费支出决算表</w:t>
      </w:r>
      <w:bookmarkEnd w:id="63"/>
    </w:p>
    <w:p>
      <w:pPr>
        <w:pStyle w:val="4"/>
        <w:rPr>
          <w:rFonts w:hint="default" w:ascii="Times New Roman" w:hAnsi="Times New Roman" w:eastAsia="仿宋" w:cs="Times New Roman"/>
        </w:rPr>
      </w:pPr>
      <w:bookmarkStart w:id="64" w:name="_Toc15396629"/>
      <w:r>
        <w:rPr>
          <w:rStyle w:val="27"/>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27"/>
          <w:rFonts w:hint="default" w:ascii="Times New Roman" w:hAnsi="Times New Roman" w:eastAsia="仿宋" w:cs="Times New Roman"/>
          <w:b w:val="0"/>
          <w:bCs w:val="0"/>
        </w:rPr>
        <w:t>府性基金预算财政拨款收入支出决算表</w:t>
      </w:r>
      <w:bookmarkEnd w:id="64"/>
    </w:p>
    <w:p>
      <w:pPr>
        <w:pStyle w:val="4"/>
        <w:rPr>
          <w:rFonts w:hint="default" w:ascii="Times New Roman" w:hAnsi="Times New Roman" w:eastAsia="仿宋" w:cs="Times New Roman"/>
        </w:rPr>
      </w:pPr>
      <w:bookmarkStart w:id="65" w:name="_Toc15396630"/>
      <w:r>
        <w:rPr>
          <w:rStyle w:val="27"/>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27"/>
          <w:rFonts w:hint="default" w:ascii="Times New Roman" w:hAnsi="Times New Roman" w:eastAsia="仿宋" w:cs="Times New Roman"/>
          <w:b w:val="0"/>
          <w:bCs w:val="0"/>
        </w:rPr>
        <w:t>府性基金预算财政拨款“三公”经费支出决算表</w:t>
      </w:r>
      <w:bookmarkEnd w:id="65"/>
    </w:p>
    <w:p>
      <w:pPr>
        <w:pStyle w:val="4"/>
        <w:rPr>
          <w:rStyle w:val="27"/>
          <w:rFonts w:hint="default" w:ascii="Times New Roman" w:hAnsi="Times New Roman" w:eastAsia="仿宋" w:cs="Times New Roman"/>
          <w:b w:val="0"/>
          <w:bCs w:val="0"/>
        </w:rPr>
      </w:pPr>
      <w:bookmarkStart w:id="66" w:name="_Toc15396631"/>
      <w:r>
        <w:rPr>
          <w:rStyle w:val="27"/>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27"/>
          <w:rFonts w:hint="default" w:ascii="Times New Roman" w:hAnsi="Times New Roman" w:eastAsia="仿宋" w:cs="Times New Roman"/>
          <w:b w:val="0"/>
          <w:bCs w:val="0"/>
        </w:rPr>
        <w:t>有资本经营预算财政拨款收入支出决算表</w:t>
      </w:r>
      <w:bookmarkEnd w:id="66"/>
    </w:p>
    <w:p>
      <w:pPr>
        <w:rPr>
          <w:rFonts w:hint="default" w:ascii="Times New Roman" w:hAnsi="Times New Roman" w:eastAsia="仿宋" w:cs="Times New Roman"/>
        </w:rPr>
      </w:pPr>
      <w:r>
        <w:rPr>
          <w:rStyle w:val="27"/>
          <w:rFonts w:hint="default" w:ascii="Times New Roman" w:hAnsi="Times New Roman" w:eastAsia="仿宋" w:cs="Times New Roman"/>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3DFD0F58-9931-4DBB-9CC5-B4401ABDF7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C95F130-B399-42AA-A08A-C65F6050B103}"/>
  </w:font>
  <w:font w:name="仿宋">
    <w:panose1 w:val="02010609060101010101"/>
    <w:charset w:val="86"/>
    <w:family w:val="modern"/>
    <w:pitch w:val="default"/>
    <w:sig w:usb0="800002BF" w:usb1="38CF7CFA" w:usb2="00000016" w:usb3="00000000" w:csb0="00040001" w:csb1="00000000"/>
    <w:embedRegular r:id="rId3" w:fontKey="{57E6FA81-0B49-4004-8B0F-676040C4F7E3}"/>
  </w:font>
  <w:font w:name="方正小标宋简体">
    <w:panose1 w:val="03000509000000000000"/>
    <w:charset w:val="86"/>
    <w:family w:val="script"/>
    <w:pitch w:val="default"/>
    <w:sig w:usb0="00000000" w:usb1="00000000" w:usb2="00000000" w:usb3="00000000" w:csb0="00000000" w:csb1="00000000"/>
    <w:embedRegular r:id="rId4" w:fontKey="{C66E8C85-206C-4B0E-B578-1EFFA6EACE34}"/>
  </w:font>
  <w:font w:name="方正仿宋_GBK">
    <w:altName w:val="Arial Unicode MS"/>
    <w:panose1 w:val="00000000000000000000"/>
    <w:charset w:val="86"/>
    <w:family w:val="script"/>
    <w:pitch w:val="default"/>
    <w:sig w:usb0="00000000" w:usb1="00000000" w:usb2="00082016" w:usb3="00000000" w:csb0="00040001" w:csb1="00000000"/>
    <w:embedRegular r:id="rId5" w:fontKey="{4569FD6F-BEDF-4854-8120-A1EB3A8398C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6B0BB2C9"/>
    <w:multiLevelType w:val="singleLevel"/>
    <w:tmpl w:val="6B0BB2C9"/>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iNzE4ZTllNjdkODE0Nzc1MTI1ZTJmYWQxMzg1OWEifQ=="/>
  </w:docVars>
  <w:rsids>
    <w:rsidRoot w:val="00F1361C"/>
    <w:rsid w:val="000222C6"/>
    <w:rsid w:val="0002549F"/>
    <w:rsid w:val="000468DB"/>
    <w:rsid w:val="0006487A"/>
    <w:rsid w:val="00065F8F"/>
    <w:rsid w:val="00070A43"/>
    <w:rsid w:val="000721CC"/>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B756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24C8"/>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2490"/>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AD3"/>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6C87"/>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0923"/>
    <w:rsid w:val="00CD1E3F"/>
    <w:rsid w:val="00CE44F6"/>
    <w:rsid w:val="00CE49DA"/>
    <w:rsid w:val="00CE7B61"/>
    <w:rsid w:val="00D00095"/>
    <w:rsid w:val="00D114F0"/>
    <w:rsid w:val="00D20620"/>
    <w:rsid w:val="00D22AE4"/>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1A19"/>
    <w:rsid w:val="00EA010F"/>
    <w:rsid w:val="00ED1B63"/>
    <w:rsid w:val="00ED3C1F"/>
    <w:rsid w:val="00ED4085"/>
    <w:rsid w:val="00ED420E"/>
    <w:rsid w:val="00ED6FBE"/>
    <w:rsid w:val="00EE228C"/>
    <w:rsid w:val="00EE2F57"/>
    <w:rsid w:val="00EF4C34"/>
    <w:rsid w:val="00EF77C6"/>
    <w:rsid w:val="00F05438"/>
    <w:rsid w:val="00F05806"/>
    <w:rsid w:val="00F05A5B"/>
    <w:rsid w:val="00F1361C"/>
    <w:rsid w:val="00F156F0"/>
    <w:rsid w:val="00F160C7"/>
    <w:rsid w:val="00F2408F"/>
    <w:rsid w:val="00F240E9"/>
    <w:rsid w:val="00F36D8F"/>
    <w:rsid w:val="00F417B1"/>
    <w:rsid w:val="00F45853"/>
    <w:rsid w:val="00F602DF"/>
    <w:rsid w:val="00F70E66"/>
    <w:rsid w:val="00F754A1"/>
    <w:rsid w:val="00F81FD9"/>
    <w:rsid w:val="00F841AA"/>
    <w:rsid w:val="00F84A94"/>
    <w:rsid w:val="00F87E96"/>
    <w:rsid w:val="00FA23E8"/>
    <w:rsid w:val="00FD3CC1"/>
    <w:rsid w:val="00FF1E02"/>
    <w:rsid w:val="00FF30B4"/>
    <w:rsid w:val="05C75478"/>
    <w:rsid w:val="075D7677"/>
    <w:rsid w:val="0A2032A3"/>
    <w:rsid w:val="0B783336"/>
    <w:rsid w:val="0B8A37D8"/>
    <w:rsid w:val="0ECB7BC6"/>
    <w:rsid w:val="0F13135B"/>
    <w:rsid w:val="10C055FF"/>
    <w:rsid w:val="1119758B"/>
    <w:rsid w:val="118107EC"/>
    <w:rsid w:val="11DD6519"/>
    <w:rsid w:val="13991DB2"/>
    <w:rsid w:val="16BB723D"/>
    <w:rsid w:val="17B013AC"/>
    <w:rsid w:val="17C36BEB"/>
    <w:rsid w:val="18015F3F"/>
    <w:rsid w:val="18F920B1"/>
    <w:rsid w:val="193E16C9"/>
    <w:rsid w:val="1A536AFB"/>
    <w:rsid w:val="1B86023C"/>
    <w:rsid w:val="1BE8440E"/>
    <w:rsid w:val="1D155CEE"/>
    <w:rsid w:val="20F57F95"/>
    <w:rsid w:val="211A0780"/>
    <w:rsid w:val="22FB147D"/>
    <w:rsid w:val="240371BF"/>
    <w:rsid w:val="25C741E6"/>
    <w:rsid w:val="27842671"/>
    <w:rsid w:val="29FD04D3"/>
    <w:rsid w:val="2ABE7A3E"/>
    <w:rsid w:val="2DEC3126"/>
    <w:rsid w:val="2EFA178C"/>
    <w:rsid w:val="30B46D73"/>
    <w:rsid w:val="31210792"/>
    <w:rsid w:val="319F7F4E"/>
    <w:rsid w:val="39AE70AB"/>
    <w:rsid w:val="3C0C0783"/>
    <w:rsid w:val="3F9F3A96"/>
    <w:rsid w:val="493C27E9"/>
    <w:rsid w:val="496F39ED"/>
    <w:rsid w:val="49FF41D3"/>
    <w:rsid w:val="4BE068DB"/>
    <w:rsid w:val="4BF6002B"/>
    <w:rsid w:val="4ECE2238"/>
    <w:rsid w:val="509E70EE"/>
    <w:rsid w:val="51DB4B86"/>
    <w:rsid w:val="5237441E"/>
    <w:rsid w:val="527916C4"/>
    <w:rsid w:val="527A565A"/>
    <w:rsid w:val="54A5761F"/>
    <w:rsid w:val="55333C3E"/>
    <w:rsid w:val="57110593"/>
    <w:rsid w:val="5DD701E7"/>
    <w:rsid w:val="60081EBC"/>
    <w:rsid w:val="601645C0"/>
    <w:rsid w:val="64CA39A1"/>
    <w:rsid w:val="65A66C7E"/>
    <w:rsid w:val="66903A02"/>
    <w:rsid w:val="683433C3"/>
    <w:rsid w:val="6A6941CF"/>
    <w:rsid w:val="6BB35C21"/>
    <w:rsid w:val="6C4A05C8"/>
    <w:rsid w:val="6E315A2C"/>
    <w:rsid w:val="6F9D6B1E"/>
    <w:rsid w:val="70C164A9"/>
    <w:rsid w:val="711C6FA9"/>
    <w:rsid w:val="72734D90"/>
    <w:rsid w:val="74A253B0"/>
    <w:rsid w:val="75CB0397"/>
    <w:rsid w:val="77343F30"/>
    <w:rsid w:val="794E2B1A"/>
    <w:rsid w:val="79E7B28D"/>
    <w:rsid w:val="7C0D5E5B"/>
    <w:rsid w:val="7DBA6EDA"/>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Normal Indent"/>
    <w:basedOn w:val="1"/>
    <w:qFormat/>
    <w:uiPriority w:val="0"/>
    <w:pPr>
      <w:suppressAutoHyphens/>
      <w:ind w:firstLine="42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3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2670164699025"/>
          <c:y val="0.0498194945848375"/>
          <c:w val="0.876169654569306"/>
          <c:h val="0.721636582430806"/>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1011.81</c:v>
                </c:pt>
                <c:pt idx="1">
                  <c:v>735.68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2021</c:v>
                </c:pt>
              </c:numCache>
            </c:numRef>
          </c:cat>
          <c:val>
            <c:numRef>
              <c:f>Sheet1!$C$2:$C$3</c:f>
              <c:numCache>
                <c:formatCode>General</c:formatCode>
                <c:ptCount val="2"/>
                <c:pt idx="0">
                  <c:v>2040.56</c:v>
                </c:pt>
                <c:pt idx="1">
                  <c:v>905.08</c:v>
                </c:pt>
              </c:numCache>
            </c:numRef>
          </c:val>
        </c:ser>
        <c:dLbls>
          <c:showLegendKey val="0"/>
          <c:showVal val="1"/>
          <c:showCatName val="0"/>
          <c:showSerName val="0"/>
          <c:showPercent val="0"/>
          <c:showBubbleSize val="0"/>
        </c:dLbls>
        <c:gapWidth val="219"/>
        <c:overlap val="-27"/>
        <c:axId val="140539392"/>
        <c:axId val="14058291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405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82912"/>
        <c:crosses val="autoZero"/>
        <c:auto val="1"/>
        <c:lblAlgn val="ctr"/>
        <c:lblOffset val="100"/>
        <c:noMultiLvlLbl val="0"/>
      </c:catAx>
      <c:valAx>
        <c:axId val="1405829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93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其他收入</c:v>
                </c:pt>
                <c:pt idx="2">
                  <c:v>政府性基金预算财政拨款收入</c:v>
                </c:pt>
                <c:pt idx="3">
                  <c:v>国有资本经营预算财政拨款收入</c:v>
                </c:pt>
                <c:pt idx="4">
                  <c:v>上级补助收入</c:v>
                </c:pt>
                <c:pt idx="5">
                  <c:v>事业收入</c:v>
                </c:pt>
                <c:pt idx="6">
                  <c:v>经营收入</c:v>
                </c:pt>
                <c:pt idx="7">
                  <c:v>附属单位上缴收入</c:v>
                </c:pt>
              </c:strCache>
            </c:strRef>
          </c:cat>
          <c:val>
            <c:numRef>
              <c:f>Sheet1!$B$2:$B$9</c:f>
              <c:numCache>
                <c:formatCode>0.00%</c:formatCode>
                <c:ptCount val="8"/>
                <c:pt idx="0">
                  <c:v>0.4974</c:v>
                </c:pt>
                <c:pt idx="1">
                  <c:v>0.5026</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c:formatCode>
                <c:ptCount val="5"/>
                <c:pt idx="0">
                  <c:v>0.46</c:v>
                </c:pt>
                <c:pt idx="1">
                  <c:v>0.54</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1011.81</c:v>
                </c:pt>
                <c:pt idx="1">
                  <c:v>735.68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2021</c:v>
                </c:pt>
              </c:numCache>
            </c:numRef>
          </c:cat>
          <c:val>
            <c:numRef>
              <c:f>Sheet1!$C$2:$C$3</c:f>
              <c:numCache>
                <c:formatCode>General</c:formatCode>
                <c:ptCount val="2"/>
                <c:pt idx="0">
                  <c:v>2040.56</c:v>
                </c:pt>
                <c:pt idx="1">
                  <c:v>905.08</c:v>
                </c:pt>
              </c:numCache>
            </c:numRef>
          </c:val>
        </c:ser>
        <c:dLbls>
          <c:showLegendKey val="0"/>
          <c:showVal val="1"/>
          <c:showCatName val="0"/>
          <c:showSerName val="0"/>
          <c:showPercent val="0"/>
          <c:showBubbleSize val="0"/>
        </c:dLbls>
        <c:gapWidth val="219"/>
        <c:overlap val="-27"/>
        <c:axId val="160905088"/>
        <c:axId val="1609066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609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06624"/>
        <c:crosses val="autoZero"/>
        <c:auto val="1"/>
        <c:lblAlgn val="ctr"/>
        <c:lblOffset val="100"/>
        <c:noMultiLvlLbl val="0"/>
      </c:catAx>
      <c:valAx>
        <c:axId val="160906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05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般公共预算财政拨款支出</c:v>
                </c:pt>
              </c:strCache>
            </c:strRef>
          </c:tx>
          <c:spPr>
            <a:solidFill>
              <a:schemeClr val="accent1"/>
            </a:solidFill>
            <a:ln>
              <a:noFill/>
            </a:ln>
            <a:effectLst/>
          </c:spPr>
          <c:invertIfNegative val="0"/>
          <c:dLbls>
            <c:delete val="1"/>
          </c:dLbls>
          <c:cat>
            <c:numRef>
              <c:f>Sheet1!$A$2:$A$3</c:f>
              <c:numCache>
                <c:formatCode>General</c:formatCode>
                <c:ptCount val="2"/>
                <c:pt idx="0">
                  <c:v>2020</c:v>
                </c:pt>
                <c:pt idx="1">
                  <c:v>2021</c:v>
                </c:pt>
              </c:numCache>
            </c:numRef>
          </c:cat>
          <c:val>
            <c:numRef>
              <c:f>Sheet1!$B$2:$B$3</c:f>
              <c:numCache>
                <c:formatCode>General</c:formatCode>
                <c:ptCount val="2"/>
                <c:pt idx="0">
                  <c:v>2026.56</c:v>
                </c:pt>
                <c:pt idx="1">
                  <c:v>365.92</c:v>
                </c:pt>
              </c:numCache>
            </c:numRef>
          </c:val>
        </c:ser>
        <c:dLbls>
          <c:showLegendKey val="0"/>
          <c:showVal val="0"/>
          <c:showCatName val="0"/>
          <c:showSerName val="0"/>
          <c:showPercent val="0"/>
          <c:showBubbleSize val="0"/>
        </c:dLbls>
        <c:gapWidth val="219"/>
        <c:overlap val="-27"/>
        <c:axId val="113027712"/>
        <c:axId val="11303360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2020</c:v>
                      </c:pt>
                      <c:pt idx="1">
                        <c:v>2021</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1302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033600"/>
        <c:crosses val="autoZero"/>
        <c:auto val="1"/>
        <c:lblAlgn val="ctr"/>
        <c:lblOffset val="100"/>
        <c:noMultiLvlLbl val="0"/>
      </c:catAx>
      <c:valAx>
        <c:axId val="113033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027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in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layout/>
              <c:dLblPos val="bestFit"/>
              <c:showLegendKey val="0"/>
              <c:showVal val="1"/>
              <c:showCatName val="0"/>
              <c:showSerName val="0"/>
              <c:showPercent val="0"/>
              <c:showBubbleSize val="0"/>
              <c:extLst>
                <c:ext xmlns:c15="http://schemas.microsoft.com/office/drawing/2012/chart" uri="{CE6537A1-D6FC-4f65-9D91-7224C49458BB}"/>
              </c:extLst>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社会保障和就业（类）支出</c:v>
                </c:pt>
                <c:pt idx="1">
                  <c:v>卫生健康支出</c:v>
                </c:pt>
                <c:pt idx="2">
                  <c:v>住房保障支出</c:v>
                </c:pt>
                <c:pt idx="3">
                  <c:v>节能环保支出</c:v>
                </c:pt>
                <c:pt idx="4">
                  <c:v>城乡社区支出</c:v>
                </c:pt>
              </c:strCache>
            </c:strRef>
          </c:cat>
          <c:val>
            <c:numRef>
              <c:f>Sheet1!$B$2:$B$6</c:f>
              <c:numCache>
                <c:formatCode>0.00%</c:formatCode>
                <c:ptCount val="5"/>
                <c:pt idx="0">
                  <c:v>0.0357</c:v>
                </c:pt>
                <c:pt idx="1">
                  <c:v>0.001</c:v>
                </c:pt>
                <c:pt idx="2" c:formatCode="0%">
                  <c:v>0.033</c:v>
                </c:pt>
                <c:pt idx="3">
                  <c:v>0.9068</c:v>
                </c:pt>
                <c:pt idx="4">
                  <c:v>0.0235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2564</Words>
  <Characters>14618</Characters>
  <Lines>121</Lines>
  <Paragraphs>34</Paragraphs>
  <TotalTime>1</TotalTime>
  <ScaleCrop>false</ScaleCrop>
  <LinksUpToDate>false</LinksUpToDate>
  <CharactersWithSpaces>17148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2022-08-06T02:23:00Z</cp:lastPrinted>
  <dcterms:modified xsi:type="dcterms:W3CDTF">2023-10-13T08:49:18Z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EFD215A51068495EA4E70A88358CB7F1</vt:lpwstr>
  </property>
</Properties>
</file>