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Times New Roman" w:hAnsi="Times New Roman" w:eastAsia="方正小标宋简体" w:cs="Times New Roman"/>
          <w:sz w:val="72"/>
          <w:szCs w:val="72"/>
        </w:rPr>
      </w:pPr>
      <w:bookmarkStart w:id="0" w:name="_Toc15306267"/>
    </w:p>
    <w:p>
      <w:pPr>
        <w:spacing w:line="600" w:lineRule="exact"/>
        <w:jc w:val="center"/>
        <w:outlineLvl w:val="0"/>
        <w:rPr>
          <w:rFonts w:hint="default" w:ascii="Times New Roman" w:hAnsi="Times New Roman" w:eastAsia="方正小标宋简体" w:cs="Times New Roman"/>
          <w:sz w:val="72"/>
          <w:szCs w:val="72"/>
        </w:rPr>
      </w:pPr>
    </w:p>
    <w:p>
      <w:pPr>
        <w:spacing w:line="600" w:lineRule="exact"/>
        <w:jc w:val="center"/>
        <w:outlineLvl w:val="0"/>
        <w:rPr>
          <w:rFonts w:hint="default" w:ascii="Times New Roman" w:hAnsi="Times New Roman" w:eastAsia="方正小标宋简体" w:cs="Times New Roman"/>
          <w:sz w:val="72"/>
          <w:szCs w:val="72"/>
        </w:rPr>
      </w:pPr>
    </w:p>
    <w:p>
      <w:pPr>
        <w:spacing w:line="600" w:lineRule="exact"/>
        <w:jc w:val="center"/>
        <w:outlineLvl w:val="0"/>
        <w:rPr>
          <w:rFonts w:hint="default" w:ascii="Times New Roman" w:hAnsi="Times New Roman" w:eastAsia="方正小标宋简体" w:cs="Times New Roman"/>
          <w:sz w:val="72"/>
          <w:szCs w:val="72"/>
        </w:rPr>
      </w:pPr>
    </w:p>
    <w:p>
      <w:pPr>
        <w:adjustRightInd w:val="0"/>
        <w:snapToGrid w:val="0"/>
        <w:spacing w:line="360" w:lineRule="auto"/>
        <w:jc w:val="center"/>
        <w:outlineLvl w:val="0"/>
        <w:rPr>
          <w:rFonts w:hint="default" w:ascii="Times New Roman" w:hAnsi="Times New Roman" w:eastAsia="方正小标宋简体" w:cs="Times New Roman"/>
          <w:sz w:val="72"/>
          <w:szCs w:val="72"/>
        </w:rPr>
      </w:pPr>
      <w:bookmarkStart w:id="1" w:name="_Toc15378441"/>
      <w:bookmarkStart w:id="2" w:name="_Toc15396597"/>
      <w:bookmarkStart w:id="3" w:name="_Toc15377193"/>
      <w:bookmarkStart w:id="4" w:name="_Toc15396475"/>
      <w:bookmarkStart w:id="5" w:name="_Toc15377425"/>
      <w:r>
        <w:rPr>
          <w:rFonts w:hint="default" w:ascii="Times New Roman" w:hAnsi="Times New Roman" w:eastAsia="方正小标宋简体" w:cs="Times New Roman"/>
          <w:sz w:val="72"/>
          <w:szCs w:val="72"/>
        </w:rPr>
        <w:t>2021年度</w:t>
      </w:r>
      <w:bookmarkEnd w:id="1"/>
      <w:bookmarkEnd w:id="2"/>
      <w:bookmarkEnd w:id="3"/>
      <w:bookmarkEnd w:id="4"/>
      <w:bookmarkEnd w:id="5"/>
    </w:p>
    <w:p>
      <w:pPr>
        <w:adjustRightInd w:val="0"/>
        <w:snapToGrid w:val="0"/>
        <w:spacing w:line="360" w:lineRule="auto"/>
        <w:jc w:val="center"/>
        <w:outlineLvl w:val="0"/>
        <w:rPr>
          <w:rFonts w:hint="default" w:ascii="Times New Roman" w:hAnsi="Times New Roman" w:eastAsia="方正小标宋简体" w:cs="Times New Roman"/>
          <w:sz w:val="72"/>
          <w:szCs w:val="72"/>
        </w:rPr>
      </w:pPr>
      <w:bookmarkStart w:id="6" w:name="_Toc15396476"/>
      <w:bookmarkStart w:id="7" w:name="_Toc15377426"/>
      <w:bookmarkStart w:id="8" w:name="_Toc15378442"/>
      <w:bookmarkStart w:id="9" w:name="_Toc15377194"/>
      <w:bookmarkStart w:id="10" w:name="_Toc15396598"/>
      <w:r>
        <w:rPr>
          <w:rFonts w:hint="default" w:ascii="Times New Roman" w:hAnsi="Times New Roman" w:eastAsia="方正小标宋简体" w:cs="Times New Roman"/>
          <w:sz w:val="72"/>
          <w:szCs w:val="72"/>
        </w:rPr>
        <w:t>四川省</w:t>
      </w:r>
      <w:bookmarkEnd w:id="0"/>
      <w:bookmarkStart w:id="11" w:name="_Toc15306268"/>
      <w:r>
        <w:rPr>
          <w:rFonts w:hint="default" w:ascii="Times New Roman" w:hAnsi="Times New Roman" w:eastAsia="方正小标宋简体" w:cs="Times New Roman"/>
          <w:sz w:val="72"/>
          <w:szCs w:val="72"/>
        </w:rPr>
        <w:t>攀枝花市西区生态环境局</w:t>
      </w:r>
      <w:r>
        <w:rPr>
          <w:rFonts w:hint="default" w:ascii="Times New Roman" w:hAnsi="Times New Roman" w:eastAsia="方正小标宋简体" w:cs="Times New Roman"/>
          <w:b/>
          <w:bCs/>
          <w:sz w:val="72"/>
          <w:szCs w:val="72"/>
        </w:rPr>
        <w:t>单位</w:t>
      </w:r>
      <w:r>
        <w:rPr>
          <w:rFonts w:hint="default" w:ascii="Times New Roman" w:hAnsi="Times New Roman" w:eastAsia="方正小标宋简体" w:cs="Times New Roman"/>
          <w:sz w:val="72"/>
          <w:szCs w:val="72"/>
        </w:rPr>
        <w:t>决算</w:t>
      </w:r>
      <w:bookmarkEnd w:id="6"/>
      <w:bookmarkEnd w:id="7"/>
      <w:bookmarkEnd w:id="8"/>
      <w:bookmarkEnd w:id="9"/>
      <w:bookmarkEnd w:id="10"/>
      <w:bookmarkEnd w:id="11"/>
    </w:p>
    <w:p>
      <w:pPr>
        <w:widowControl/>
        <w:jc w:val="center"/>
        <w:rPr>
          <w:rFonts w:hint="default" w:ascii="Times New Roman" w:hAnsi="Times New Roman" w:eastAsia="黑体" w:cs="Times New Roman"/>
          <w:sz w:val="48"/>
          <w:szCs w:val="48"/>
        </w:rPr>
      </w:pPr>
      <w:r>
        <w:rPr>
          <w:rFonts w:hint="default" w:ascii="Times New Roman" w:hAnsi="Times New Roman" w:eastAsia="方正小标宋简体" w:cs="Times New Roman"/>
          <w:sz w:val="36"/>
          <w:szCs w:val="36"/>
        </w:rPr>
        <w:br w:type="page"/>
      </w:r>
      <w:r>
        <w:rPr>
          <w:rFonts w:hint="default" w:ascii="Times New Roman" w:hAnsi="Times New Roman" w:eastAsia="黑体" w:cs="Times New Roman"/>
          <w:sz w:val="48"/>
          <w:szCs w:val="48"/>
        </w:rPr>
        <w:t>目录</w:t>
      </w:r>
    </w:p>
    <w:p>
      <w:pPr>
        <w:widowControl/>
        <w:jc w:val="center"/>
        <w:rPr>
          <w:rFonts w:hint="default" w:ascii="Times New Roman" w:hAnsi="Times New Roman" w:eastAsia="黑体" w:cs="Times New Roman"/>
          <w:sz w:val="28"/>
          <w:szCs w:val="28"/>
        </w:rPr>
      </w:pPr>
    </w:p>
    <w:p>
      <w:pPr>
        <w:pStyle w:val="11"/>
        <w:rPr>
          <w:rFonts w:hint="default" w:ascii="Times New Roman" w:hAnsi="Times New Roman" w:cs="Times New Roman"/>
        </w:rPr>
      </w:pPr>
      <w:bookmarkStart w:id="12" w:name="_Toc15396599"/>
      <w:bookmarkStart w:id="13" w:name="_Toc15377196"/>
      <w:r>
        <w:rPr>
          <w:rFonts w:hint="default" w:ascii="Times New Roman" w:hAnsi="Times New Roman" w:cs="Times New Roman"/>
        </w:rPr>
        <w:t>公开时间：2022年9月14日</w:t>
      </w:r>
    </w:p>
    <w:p>
      <w:pPr>
        <w:rPr>
          <w:rFonts w:hint="default" w:ascii="Times New Roman" w:hAnsi="Times New Roman" w:cs="Times New Roman"/>
        </w:rPr>
      </w:pPr>
    </w:p>
    <w:p>
      <w:pPr>
        <w:pStyle w:val="11"/>
        <w:adjustRightInd w:val="0"/>
        <w:snapToGrid w:val="0"/>
        <w:spacing w:before="0" w:line="440" w:lineRule="exact"/>
        <w:jc w:val="left"/>
        <w:rPr>
          <w:rFonts w:hint="default" w:ascii="Times New Roman" w:hAnsi="Times New Roman" w:cs="Times New Roman"/>
        </w:rPr>
      </w:pPr>
      <w:r>
        <w:rPr>
          <w:rFonts w:hint="default" w:ascii="Times New Roman" w:hAnsi="Times New Roman" w:cs="Times New Roman"/>
        </w:rPr>
        <w:t>第一部分单位概况…………………………………………4</w:t>
      </w:r>
    </w:p>
    <w:p>
      <w:pPr>
        <w:pStyle w:val="12"/>
        <w:adjustRightInd w:val="0"/>
        <w:snapToGrid w:val="0"/>
        <w:spacing w:line="440" w:lineRule="exact"/>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一、职能简介……………………………………………4</w:t>
      </w:r>
    </w:p>
    <w:p>
      <w:pPr>
        <w:pStyle w:val="12"/>
        <w:adjustRightInd w:val="0"/>
        <w:snapToGrid w:val="0"/>
        <w:spacing w:line="440" w:lineRule="exact"/>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二、2021年重点工作完成情况…………………………7</w:t>
      </w:r>
    </w:p>
    <w:p>
      <w:pPr>
        <w:rPr>
          <w:rFonts w:hint="default" w:ascii="Times New Roman" w:hAnsi="Times New Roman" w:eastAsia="仿宋" w:cs="Times New Roman"/>
          <w:lang w:val="en-US" w:eastAsia="zh-CN"/>
        </w:rPr>
      </w:pPr>
      <w:r>
        <w:rPr>
          <w:rFonts w:hint="default" w:ascii="Times New Roman" w:hAnsi="Times New Roman" w:eastAsia="仿宋" w:cs="Times New Roman"/>
          <w:sz w:val="28"/>
          <w:szCs w:val="28"/>
          <w:lang w:val="en-US" w:eastAsia="zh-CN"/>
        </w:rPr>
        <w:t xml:space="preserve">   三、机构设置情况</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12</w:t>
      </w:r>
    </w:p>
    <w:p>
      <w:pPr>
        <w:pStyle w:val="11"/>
        <w:adjustRightInd w:val="0"/>
        <w:snapToGrid w:val="0"/>
        <w:spacing w:before="0" w:line="440" w:lineRule="exact"/>
        <w:jc w:val="left"/>
        <w:rPr>
          <w:rFonts w:hint="default" w:ascii="Times New Roman" w:hAnsi="Times New Roman" w:cs="Times New Roman"/>
        </w:rPr>
      </w:pPr>
      <w:r>
        <w:rPr>
          <w:rFonts w:hint="default" w:ascii="Times New Roman" w:hAnsi="Times New Roman" w:cs="Times New Roman"/>
        </w:rPr>
        <w:t>第二部分 2021年度单位决算情况说明……………………13</w:t>
      </w:r>
    </w:p>
    <w:p>
      <w:pPr>
        <w:pStyle w:val="12"/>
        <w:adjustRightInd w:val="0"/>
        <w:snapToGrid w:val="0"/>
        <w:spacing w:line="440" w:lineRule="exact"/>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一、收入支出决算总体情况说明………………………13</w:t>
      </w:r>
    </w:p>
    <w:p>
      <w:pPr>
        <w:pStyle w:val="12"/>
        <w:adjustRightInd w:val="0"/>
        <w:snapToGrid w:val="0"/>
        <w:spacing w:line="440" w:lineRule="exact"/>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二、收入决算情况说明…………………………………13</w:t>
      </w:r>
    </w:p>
    <w:p>
      <w:pPr>
        <w:pStyle w:val="12"/>
        <w:adjustRightInd w:val="0"/>
        <w:snapToGrid w:val="0"/>
        <w:spacing w:line="440" w:lineRule="exact"/>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三、支出决算情况说明…………………………………14</w:t>
      </w:r>
    </w:p>
    <w:p>
      <w:pPr>
        <w:pStyle w:val="12"/>
        <w:adjustRightInd w:val="0"/>
        <w:snapToGrid w:val="0"/>
        <w:spacing w:line="440" w:lineRule="exact"/>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四、财政拨款收入支出决算总体情况说明……………14</w:t>
      </w:r>
    </w:p>
    <w:p>
      <w:pPr>
        <w:pStyle w:val="12"/>
        <w:adjustRightInd w:val="0"/>
        <w:snapToGrid w:val="0"/>
        <w:spacing w:line="440" w:lineRule="exact"/>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五、一般公共预算财政拨款支出决算情况说明………16</w:t>
      </w:r>
    </w:p>
    <w:p>
      <w:pPr>
        <w:pStyle w:val="12"/>
        <w:adjustRightInd w:val="0"/>
        <w:snapToGrid w:val="0"/>
        <w:spacing w:line="440" w:lineRule="exact"/>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六、一般公共预算财政拨款基本支出决算情况说明……17</w:t>
      </w:r>
    </w:p>
    <w:p>
      <w:pPr>
        <w:pStyle w:val="12"/>
        <w:adjustRightInd w:val="0"/>
        <w:snapToGrid w:val="0"/>
        <w:spacing w:line="440" w:lineRule="exact"/>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七、“三公”经费财政拨款支出决算情况说明…………17</w:t>
      </w:r>
    </w:p>
    <w:p>
      <w:pPr>
        <w:pStyle w:val="12"/>
        <w:adjustRightInd w:val="0"/>
        <w:snapToGrid w:val="0"/>
        <w:spacing w:line="440" w:lineRule="exact"/>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八、政府性基金预算支出决算情况说明…………………19</w:t>
      </w:r>
    </w:p>
    <w:p>
      <w:pPr>
        <w:pStyle w:val="12"/>
        <w:adjustRightInd w:val="0"/>
        <w:snapToGrid w:val="0"/>
        <w:spacing w:line="440" w:lineRule="exact"/>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九、国有资本经营预算支出决算情况说明………………19</w:t>
      </w:r>
    </w:p>
    <w:p>
      <w:pPr>
        <w:pStyle w:val="12"/>
        <w:adjustRightInd w:val="0"/>
        <w:snapToGrid w:val="0"/>
        <w:spacing w:line="440" w:lineRule="exact"/>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十、其他重要事项的情况说明……………………………19</w:t>
      </w:r>
    </w:p>
    <w:p>
      <w:pPr>
        <w:pStyle w:val="11"/>
        <w:adjustRightInd w:val="0"/>
        <w:snapToGrid w:val="0"/>
        <w:spacing w:before="0" w:line="440" w:lineRule="exact"/>
        <w:jc w:val="left"/>
        <w:rPr>
          <w:rFonts w:hint="default" w:ascii="Times New Roman" w:hAnsi="Times New Roman" w:cs="Times New Roman"/>
        </w:rPr>
      </w:pPr>
      <w:r>
        <w:rPr>
          <w:rFonts w:hint="default" w:ascii="Times New Roman" w:hAnsi="Times New Roman" w:cs="Times New Roman"/>
        </w:rPr>
        <w:t>第三部分名词解释……………………………………………21</w:t>
      </w:r>
    </w:p>
    <w:p>
      <w:pPr>
        <w:pStyle w:val="11"/>
        <w:adjustRightInd w:val="0"/>
        <w:snapToGrid w:val="0"/>
        <w:spacing w:before="0" w:line="440" w:lineRule="exact"/>
        <w:jc w:val="left"/>
        <w:rPr>
          <w:rFonts w:hint="default" w:ascii="Times New Roman" w:hAnsi="Times New Roman" w:cs="Times New Roman"/>
        </w:rPr>
      </w:pPr>
      <w:r>
        <w:rPr>
          <w:rFonts w:hint="default" w:ascii="Times New Roman" w:hAnsi="Times New Roman" w:cs="Times New Roman"/>
        </w:rPr>
        <w:t>第四部分附件…………………………………………………24</w:t>
      </w:r>
    </w:p>
    <w:p>
      <w:pPr>
        <w:pStyle w:val="11"/>
        <w:adjustRightInd w:val="0"/>
        <w:snapToGrid w:val="0"/>
        <w:spacing w:before="0" w:line="440" w:lineRule="exact"/>
        <w:jc w:val="left"/>
        <w:rPr>
          <w:rFonts w:hint="default" w:ascii="Times New Roman" w:hAnsi="Times New Roman" w:cs="Times New Roman"/>
        </w:rPr>
      </w:pPr>
      <w:r>
        <w:rPr>
          <w:rFonts w:hint="default" w:ascii="Times New Roman" w:hAnsi="Times New Roman" w:cs="Times New Roman"/>
        </w:rPr>
        <w:t>第五部分附表…………………………………………………41</w:t>
      </w:r>
    </w:p>
    <w:p>
      <w:pPr>
        <w:pStyle w:val="12"/>
        <w:adjustRightInd w:val="0"/>
        <w:snapToGrid w:val="0"/>
        <w:spacing w:line="440" w:lineRule="exact"/>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一、收入支出决算总表……………………………………41</w:t>
      </w:r>
    </w:p>
    <w:p>
      <w:pPr>
        <w:pStyle w:val="12"/>
        <w:adjustRightInd w:val="0"/>
        <w:snapToGrid w:val="0"/>
        <w:spacing w:line="440" w:lineRule="exact"/>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二、收入决算表……………………………………………41</w:t>
      </w:r>
    </w:p>
    <w:p>
      <w:pPr>
        <w:pStyle w:val="12"/>
        <w:adjustRightInd w:val="0"/>
        <w:snapToGrid w:val="0"/>
        <w:spacing w:line="440" w:lineRule="exact"/>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三、支出决算表……………………………………………41</w:t>
      </w:r>
    </w:p>
    <w:p>
      <w:pPr>
        <w:pStyle w:val="12"/>
        <w:adjustRightInd w:val="0"/>
        <w:snapToGrid w:val="0"/>
        <w:spacing w:line="440" w:lineRule="exact"/>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四、财政拨款收入支出决算总表…………………………41</w:t>
      </w:r>
    </w:p>
    <w:p>
      <w:pPr>
        <w:pStyle w:val="12"/>
        <w:adjustRightInd w:val="0"/>
        <w:snapToGrid w:val="0"/>
        <w:spacing w:line="440" w:lineRule="exact"/>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五、财政拨款支出决算明细表……………………………41</w:t>
      </w:r>
    </w:p>
    <w:p>
      <w:pPr>
        <w:pStyle w:val="12"/>
        <w:adjustRightInd w:val="0"/>
        <w:snapToGrid w:val="0"/>
        <w:spacing w:line="440" w:lineRule="exact"/>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六、一般公共预算财政拨款支出决算表…………………41</w:t>
      </w:r>
    </w:p>
    <w:p>
      <w:pPr>
        <w:pStyle w:val="12"/>
        <w:adjustRightInd w:val="0"/>
        <w:snapToGrid w:val="0"/>
        <w:spacing w:line="440" w:lineRule="exact"/>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七、一般公共预算财政拨款支出决算明细表……………41</w:t>
      </w:r>
    </w:p>
    <w:p>
      <w:pPr>
        <w:pStyle w:val="12"/>
        <w:adjustRightInd w:val="0"/>
        <w:snapToGrid w:val="0"/>
        <w:spacing w:line="440" w:lineRule="exact"/>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八、一般公共预算财政拨款基本支出决算表……………41</w:t>
      </w:r>
    </w:p>
    <w:p>
      <w:pPr>
        <w:pStyle w:val="12"/>
        <w:adjustRightInd w:val="0"/>
        <w:snapToGrid w:val="0"/>
        <w:spacing w:line="440" w:lineRule="exact"/>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九、一般公共预算财政拨款项目支出决算表…………….41</w:t>
      </w:r>
    </w:p>
    <w:p>
      <w:pPr>
        <w:pStyle w:val="12"/>
        <w:adjustRightInd w:val="0"/>
        <w:snapToGrid w:val="0"/>
        <w:spacing w:line="440" w:lineRule="exact"/>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十、一般公共预算财政拨款“三公”经费支出决算表………41</w:t>
      </w:r>
    </w:p>
    <w:p>
      <w:pPr>
        <w:pStyle w:val="12"/>
        <w:adjustRightInd w:val="0"/>
        <w:snapToGrid w:val="0"/>
        <w:spacing w:line="440" w:lineRule="exact"/>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十一、政府性基金预算财政拨款收入支出决算表……………41</w:t>
      </w:r>
    </w:p>
    <w:p>
      <w:pPr>
        <w:pStyle w:val="12"/>
        <w:adjustRightInd w:val="0"/>
        <w:snapToGrid w:val="0"/>
        <w:spacing w:line="440" w:lineRule="exact"/>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十二、政府性基金预算财政拨款“三公”经费支出决算表…41</w:t>
      </w:r>
    </w:p>
    <w:p>
      <w:pPr>
        <w:pStyle w:val="12"/>
        <w:adjustRightInd w:val="0"/>
        <w:snapToGrid w:val="0"/>
        <w:spacing w:line="440" w:lineRule="exact"/>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十三、国有资本经营预算财政拨款收入支出决算表…………41</w:t>
      </w:r>
    </w:p>
    <w:p>
      <w:pPr>
        <w:pStyle w:val="12"/>
        <w:adjustRightInd w:val="0"/>
        <w:snapToGrid w:val="0"/>
        <w:spacing w:line="440" w:lineRule="exact"/>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十四、国有资本经营预算财政拨款支出决算表………………41</w:t>
      </w:r>
    </w:p>
    <w:p>
      <w:pPr>
        <w:widowControl/>
        <w:spacing w:line="440" w:lineRule="exact"/>
        <w:jc w:val="left"/>
        <w:rPr>
          <w:rFonts w:hint="default" w:ascii="Times New Roman" w:hAnsi="Times New Roman" w:eastAsia="仿宋" w:cs="Times New Roman"/>
          <w:bCs/>
          <w:kern w:val="44"/>
          <w:sz w:val="24"/>
        </w:rPr>
      </w:pPr>
      <w:r>
        <w:rPr>
          <w:rFonts w:hint="default" w:ascii="Times New Roman" w:hAnsi="Times New Roman" w:eastAsia="仿宋" w:cs="Times New Roman"/>
          <w:b/>
          <w:sz w:val="24"/>
        </w:rPr>
        <w:br w:type="page"/>
      </w:r>
    </w:p>
    <w:p>
      <w:pPr>
        <w:pStyle w:val="3"/>
        <w:jc w:val="center"/>
        <w:rPr>
          <w:rStyle w:val="26"/>
          <w:rFonts w:hint="default" w:ascii="Times New Roman" w:hAnsi="Times New Roman" w:eastAsia="黑体" w:cs="Times New Roman"/>
          <w:b/>
          <w:bCs w:val="0"/>
        </w:rPr>
      </w:pPr>
      <w:r>
        <w:rPr>
          <w:rFonts w:hint="default" w:ascii="Times New Roman" w:hAnsi="Times New Roman" w:eastAsia="黑体" w:cs="Times New Roman"/>
          <w:b w:val="0"/>
        </w:rPr>
        <w:t>第一部分 单位</w:t>
      </w:r>
      <w:r>
        <w:rPr>
          <w:rStyle w:val="26"/>
          <w:rFonts w:hint="default" w:ascii="Times New Roman" w:hAnsi="Times New Roman" w:eastAsia="黑体" w:cs="Times New Roman"/>
          <w:b w:val="0"/>
          <w:bCs w:val="0"/>
        </w:rPr>
        <w:t>概况</w:t>
      </w:r>
      <w:bookmarkEnd w:id="12"/>
      <w:bookmarkEnd w:id="13"/>
    </w:p>
    <w:p>
      <w:pPr>
        <w:widowControl/>
        <w:jc w:val="left"/>
        <w:rPr>
          <w:rFonts w:hint="default" w:ascii="Times New Roman" w:hAnsi="Times New Roman" w:eastAsia="黑体" w:cs="Times New Roman"/>
          <w:sz w:val="32"/>
          <w:szCs w:val="32"/>
        </w:rPr>
      </w:pPr>
    </w:p>
    <w:p>
      <w:pPr>
        <w:pStyle w:val="4"/>
        <w:spacing w:before="0" w:after="0" w:line="560" w:lineRule="exact"/>
        <w:ind w:firstLine="640" w:firstLineChars="200"/>
        <w:rPr>
          <w:rFonts w:hint="default" w:ascii="Times New Roman" w:hAnsi="Times New Roman" w:cs="Times New Roman"/>
        </w:rPr>
      </w:pPr>
      <w:bookmarkStart w:id="14" w:name="_Toc15377197"/>
      <w:bookmarkStart w:id="15" w:name="_Toc15396600"/>
      <w:r>
        <w:rPr>
          <w:rStyle w:val="27"/>
          <w:rFonts w:hint="default" w:ascii="Times New Roman" w:hAnsi="Times New Roman" w:eastAsia="黑体" w:cs="Times New Roman"/>
          <w:b w:val="0"/>
          <w:bCs w:val="0"/>
        </w:rPr>
        <w:t>一、职能简介</w:t>
      </w:r>
    </w:p>
    <w:p>
      <w:pPr>
        <w:pStyle w:val="13"/>
        <w:spacing w:before="0" w:beforeAutospacing="0" w:after="0" w:afterAutospacing="0" w:line="560" w:lineRule="exact"/>
        <w:ind w:firstLine="640" w:firstLineChars="200"/>
        <w:jc w:val="both"/>
        <w:rPr>
          <w:rFonts w:hint="default" w:ascii="Times New Roman" w:hAnsi="Times New Roman" w:cs="Times New Roman"/>
          <w:color w:val="333333"/>
          <w:sz w:val="32"/>
          <w:szCs w:val="32"/>
        </w:rPr>
      </w:pPr>
      <w:r>
        <w:rPr>
          <w:rFonts w:hint="default" w:ascii="Times New Roman" w:hAnsi="Times New Roman" w:eastAsia="仿宋_GB2312" w:cs="Times New Roman"/>
          <w:color w:val="333333"/>
          <w:sz w:val="32"/>
          <w:szCs w:val="32"/>
        </w:rPr>
        <w:t>1.负责建立健全并执行各项生态环境基本制度。贯彻执行国家、省、市有关法律、法规、规章和政策，会同有关部门拟订并组织实施区域内生态环境政策、规划。组织编制环境功能区划，会同有关部门编制并监督实施重点区域、流域、饮用水水源地生态环境规划和水功能区划，参与制定与区域内生态环境相关的经济、技术、资源配置和产业政策。参与拟订并贯彻执行区域内主体功能区划。</w:t>
      </w:r>
    </w:p>
    <w:p>
      <w:pPr>
        <w:pStyle w:val="13"/>
        <w:spacing w:before="0" w:beforeAutospacing="0" w:after="0" w:afterAutospacing="0" w:line="560" w:lineRule="exact"/>
        <w:ind w:firstLine="640" w:firstLineChars="200"/>
        <w:jc w:val="both"/>
        <w:rPr>
          <w:rFonts w:hint="default" w:ascii="Times New Roman" w:hAnsi="Times New Roman" w:cs="Times New Roman"/>
          <w:color w:val="333333"/>
          <w:sz w:val="32"/>
          <w:szCs w:val="32"/>
        </w:rPr>
      </w:pPr>
      <w:r>
        <w:rPr>
          <w:rFonts w:hint="default" w:ascii="Times New Roman" w:hAnsi="Times New Roman" w:eastAsia="仿宋_GB2312" w:cs="Times New Roman"/>
          <w:color w:val="333333"/>
          <w:sz w:val="32"/>
          <w:szCs w:val="32"/>
        </w:rPr>
        <w:t>2.负责区域内较大及以下生态环境问题的统筹协调和监督管理。牵头协调区域内较大及以下突发生态环境事件和生态破坏事件的调查处理，指导协调区域内生态环境事件的应急、预警工作，参与实施生态环境损害赔偿制度，协调解决有关跨区域环境污染纠纷。统筹协调区域内生态环境保护工作。</w:t>
      </w:r>
    </w:p>
    <w:p>
      <w:pPr>
        <w:pStyle w:val="13"/>
        <w:spacing w:before="0" w:beforeAutospacing="0" w:after="0" w:afterAutospacing="0" w:line="560" w:lineRule="exact"/>
        <w:ind w:firstLine="640" w:firstLineChars="200"/>
        <w:jc w:val="both"/>
        <w:rPr>
          <w:rFonts w:hint="default" w:ascii="Times New Roman" w:hAnsi="Times New Roman" w:cs="Times New Roman"/>
          <w:color w:val="333333"/>
          <w:sz w:val="32"/>
          <w:szCs w:val="32"/>
        </w:rPr>
      </w:pPr>
      <w:r>
        <w:rPr>
          <w:rFonts w:hint="default" w:ascii="Times New Roman" w:hAnsi="Times New Roman" w:eastAsia="仿宋_GB2312" w:cs="Times New Roman"/>
          <w:color w:val="333333"/>
          <w:sz w:val="32"/>
          <w:szCs w:val="32"/>
        </w:rPr>
        <w:t>3.负责监督管理区域内减排目标的落实。组织实施区域内各类污染物排放总量控制和排污许可证制度，提出实施总量控制的污染物控制指标，督查、督办、核查污染物减排任务完成情况。实施生态环境目标责任制。</w:t>
      </w:r>
    </w:p>
    <w:p>
      <w:pPr>
        <w:pStyle w:val="13"/>
        <w:spacing w:before="0" w:beforeAutospacing="0" w:after="0" w:afterAutospacing="0" w:line="560" w:lineRule="exact"/>
        <w:ind w:firstLine="640" w:firstLineChars="200"/>
        <w:jc w:val="both"/>
        <w:rPr>
          <w:rFonts w:hint="default" w:ascii="Times New Roman" w:hAnsi="Times New Roman" w:cs="Times New Roman"/>
          <w:color w:val="333333"/>
          <w:sz w:val="32"/>
          <w:szCs w:val="32"/>
        </w:rPr>
      </w:pPr>
      <w:r>
        <w:rPr>
          <w:rFonts w:hint="default" w:ascii="Times New Roman" w:hAnsi="Times New Roman" w:eastAsia="仿宋_GB2312" w:cs="Times New Roman"/>
          <w:color w:val="333333"/>
          <w:sz w:val="32"/>
          <w:szCs w:val="32"/>
        </w:rPr>
        <w:t>4.负责提出区域内生态环境领域财政专项资金安排的建议。参与指导推动区域内循环经济和生态环保产业发展。</w:t>
      </w:r>
    </w:p>
    <w:p>
      <w:pPr>
        <w:pStyle w:val="13"/>
        <w:spacing w:before="0" w:beforeAutospacing="0" w:after="0" w:afterAutospacing="0" w:line="560" w:lineRule="exact"/>
        <w:ind w:firstLine="640" w:firstLineChars="200"/>
        <w:jc w:val="both"/>
        <w:rPr>
          <w:rFonts w:hint="default" w:ascii="Times New Roman" w:hAnsi="Times New Roman" w:cs="Times New Roman"/>
          <w:color w:val="333333"/>
          <w:sz w:val="32"/>
          <w:szCs w:val="32"/>
        </w:rPr>
      </w:pPr>
      <w:r>
        <w:rPr>
          <w:rFonts w:hint="default" w:ascii="Times New Roman" w:hAnsi="Times New Roman" w:eastAsia="仿宋_GB2312" w:cs="Times New Roman"/>
          <w:color w:val="333333"/>
          <w:sz w:val="32"/>
          <w:szCs w:val="32"/>
        </w:rPr>
        <w:t>5.负责区域内生态环境污染防治的监督管理。组织制定并监督实施区域内大气、水、土壤、噪声、光、恶臭、固体废物、化学品、机动车等的污染防治管理制度。参与排污口设置管理工作，负责流域水环境保护工作，组织指导流域水环境治理。会同有关部门监督管理饮用水水源地生态环境保护工作，组织指导城乡生态环境综合整治工作，组织指导农业面源污染治理工作。监督指导区域大气环境保护工作，牵头建立区域大气污染联防联控协作机制并监督实施。按职责分工组织开展区域内强制性清洁生产审核工作。</w:t>
      </w:r>
    </w:p>
    <w:p>
      <w:pPr>
        <w:pStyle w:val="13"/>
        <w:spacing w:before="0" w:beforeAutospacing="0" w:after="0" w:afterAutospacing="0" w:line="560" w:lineRule="exact"/>
        <w:ind w:firstLine="640" w:firstLineChars="200"/>
        <w:jc w:val="both"/>
        <w:rPr>
          <w:rFonts w:hint="default" w:ascii="Times New Roman" w:hAnsi="Times New Roman" w:cs="Times New Roman"/>
          <w:color w:val="333333"/>
          <w:sz w:val="32"/>
          <w:szCs w:val="32"/>
        </w:rPr>
      </w:pPr>
      <w:r>
        <w:rPr>
          <w:rFonts w:hint="default" w:ascii="Times New Roman" w:hAnsi="Times New Roman" w:eastAsia="仿宋_GB2312" w:cs="Times New Roman"/>
          <w:color w:val="333333"/>
          <w:sz w:val="32"/>
          <w:szCs w:val="32"/>
        </w:rPr>
        <w:t>6.指导协调和监督区域内生态保护修复工作。监督实施区域内生态保护规划，监督对生态环境有影响的自然资源开发利用活动、重要生态环境建设和生态破坏恢复工作。组织、指导绿色生态示范创建工作。监督实施区域内各类自然保护地生态环境监督制度，承担自然保护地、生态保护红线相关监管工作。监督野生动植物保护、湿地生态环境保护、荒漠化防治等工作。指导协调和监督农村生态环境保护，监督生物技术环境安全，牵头生物物种（含遗传资源）工作，组织协调生物多样性保护工作，参与生态保护补偿工作。</w:t>
      </w:r>
    </w:p>
    <w:p>
      <w:pPr>
        <w:pStyle w:val="13"/>
        <w:spacing w:before="0" w:beforeAutospacing="0" w:after="0" w:afterAutospacing="0" w:line="560" w:lineRule="exact"/>
        <w:ind w:firstLine="640" w:firstLineChars="200"/>
        <w:jc w:val="both"/>
        <w:rPr>
          <w:rFonts w:hint="default" w:ascii="Times New Roman" w:hAnsi="Times New Roman" w:cs="Times New Roman"/>
          <w:color w:val="333333"/>
          <w:sz w:val="32"/>
          <w:szCs w:val="32"/>
        </w:rPr>
      </w:pPr>
      <w:r>
        <w:rPr>
          <w:rFonts w:hint="default" w:ascii="Times New Roman" w:hAnsi="Times New Roman" w:eastAsia="仿宋_GB2312" w:cs="Times New Roman"/>
          <w:color w:val="333333"/>
          <w:sz w:val="32"/>
          <w:szCs w:val="32"/>
        </w:rPr>
        <w:t>7.负责区域内核与辐射安全的监督管理。贯彻执行国家、省核与辐射安全法律、法规、规章、政策、规划和技术标准。负责辐射环境事故应急处理工作，参与核事故应急处理。监督管理放射源与射线装置安全，监督管理区域内核技术应 用、电磁辐射、伴有放射性矿产资源开发利用中的污染防治。负责核与辐射建设项目“三同时”（同时设计、同时施工、同时投产使用）管理工作，参与对核材料的管制和民用核安全设备的设计、制造、安装和无损检验活动的监督管理。负责核与辐射环境监测和执法工作。参与反生化、核与辐射恐怖事件的防范和处理。</w:t>
      </w:r>
    </w:p>
    <w:p>
      <w:pPr>
        <w:pStyle w:val="13"/>
        <w:spacing w:before="0" w:beforeAutospacing="0" w:after="0" w:afterAutospacing="0" w:line="560" w:lineRule="exact"/>
        <w:ind w:firstLine="640" w:firstLineChars="200"/>
        <w:jc w:val="both"/>
        <w:rPr>
          <w:rFonts w:hint="default" w:ascii="Times New Roman" w:hAnsi="Times New Roman" w:cs="Times New Roman"/>
          <w:color w:val="333333"/>
          <w:sz w:val="32"/>
          <w:szCs w:val="32"/>
        </w:rPr>
      </w:pPr>
      <w:r>
        <w:rPr>
          <w:rFonts w:hint="default" w:ascii="Times New Roman" w:hAnsi="Times New Roman" w:eastAsia="仿宋_GB2312" w:cs="Times New Roman"/>
          <w:color w:val="333333"/>
          <w:sz w:val="32"/>
          <w:szCs w:val="32"/>
        </w:rPr>
        <w:t>8.负责区域内生态环境准入的监督管理。根据授权对建设项目环境影响评价文件进行审批，按规定审查开发建设区域、规划、项目环境影响评价文件。组织实施区域内生态环境准入清单。</w:t>
      </w:r>
    </w:p>
    <w:p>
      <w:pPr>
        <w:pStyle w:val="13"/>
        <w:spacing w:before="0" w:beforeAutospacing="0" w:after="0" w:afterAutospacing="0" w:line="560" w:lineRule="exact"/>
        <w:ind w:firstLine="640" w:firstLineChars="200"/>
        <w:jc w:val="both"/>
        <w:rPr>
          <w:rFonts w:hint="default" w:ascii="Times New Roman" w:hAnsi="Times New Roman" w:cs="Times New Roman"/>
          <w:color w:val="333333"/>
          <w:sz w:val="32"/>
          <w:szCs w:val="32"/>
        </w:rPr>
      </w:pPr>
      <w:r>
        <w:rPr>
          <w:rFonts w:hint="default" w:ascii="Times New Roman" w:hAnsi="Times New Roman" w:eastAsia="仿宋_GB2312" w:cs="Times New Roman"/>
          <w:color w:val="333333"/>
          <w:sz w:val="32"/>
          <w:szCs w:val="32"/>
        </w:rPr>
        <w:t>9.负责区域内生态环境监测、统计和信息发布工作。监督执行国家、省颁布的各类环境标准，组织实施环境监测制度和规范相关工作。会同有关部门统一规划区域内生态环境质量监测站点设置，组织实施污染源监督性监测、执法监测、温室气体减排监测和应急监测，按要求做好生态环境质量监测相关工作。对区域生态环境质量状况进行调查评价、预警预测,参与建设和管理生态环境监测网和生态环境信息网。负责区域内生态环境质量考核和生态环境统计工作。实行生态环境质量公告制度，统一发布区域内生态环境综合性报告和重大环境信息。</w:t>
      </w:r>
    </w:p>
    <w:p>
      <w:pPr>
        <w:pStyle w:val="13"/>
        <w:spacing w:before="0" w:beforeAutospacing="0" w:after="0" w:afterAutospacing="0" w:line="560" w:lineRule="exact"/>
        <w:ind w:firstLine="640" w:firstLineChars="200"/>
        <w:jc w:val="both"/>
        <w:rPr>
          <w:rFonts w:hint="default" w:ascii="Times New Roman" w:hAnsi="Times New Roman" w:cs="Times New Roman"/>
          <w:color w:val="333333"/>
          <w:sz w:val="32"/>
          <w:szCs w:val="32"/>
        </w:rPr>
      </w:pPr>
      <w:r>
        <w:rPr>
          <w:rFonts w:hint="default" w:ascii="Times New Roman" w:hAnsi="Times New Roman" w:eastAsia="仿宋_GB2312" w:cs="Times New Roman"/>
          <w:color w:val="333333"/>
          <w:sz w:val="32"/>
          <w:szCs w:val="32"/>
        </w:rPr>
        <w:t>10.负责应对气候变化工作。组织实施国家、省应对气候变化及温室气体减排重大战略、规划和政策，组织实施区域内应对气候变化的规划和政策措施。</w:t>
      </w:r>
    </w:p>
    <w:p>
      <w:pPr>
        <w:pStyle w:val="13"/>
        <w:spacing w:before="0" w:beforeAutospacing="0" w:after="0" w:afterAutospacing="0" w:line="560" w:lineRule="exact"/>
        <w:ind w:firstLine="640" w:firstLineChars="200"/>
        <w:jc w:val="both"/>
        <w:rPr>
          <w:rFonts w:hint="default" w:ascii="Times New Roman" w:hAnsi="Times New Roman" w:cs="Times New Roman"/>
          <w:color w:val="333333"/>
          <w:sz w:val="32"/>
          <w:szCs w:val="32"/>
        </w:rPr>
      </w:pPr>
      <w:r>
        <w:rPr>
          <w:rFonts w:hint="default" w:ascii="Times New Roman" w:hAnsi="Times New Roman" w:eastAsia="仿宋_GB2312" w:cs="Times New Roman"/>
          <w:color w:val="333333"/>
          <w:sz w:val="32"/>
          <w:szCs w:val="32"/>
        </w:rPr>
        <w:t>11.组织开展中央、省环保督察反馈问题的整改。贯彻执行中央、省生态环境保护督察制度。督促协调产业园区、乡镇（街道）和区域内有关部门整改突出环境问题。</w:t>
      </w:r>
    </w:p>
    <w:p>
      <w:pPr>
        <w:pStyle w:val="13"/>
        <w:spacing w:before="0" w:beforeAutospacing="0" w:after="0" w:afterAutospacing="0" w:line="560" w:lineRule="exact"/>
        <w:ind w:firstLine="640" w:firstLineChars="200"/>
        <w:jc w:val="both"/>
        <w:rPr>
          <w:rFonts w:hint="default" w:ascii="Times New Roman" w:hAnsi="Times New Roman" w:cs="Times New Roman"/>
          <w:color w:val="333333"/>
          <w:sz w:val="32"/>
          <w:szCs w:val="32"/>
        </w:rPr>
      </w:pPr>
      <w:r>
        <w:rPr>
          <w:rFonts w:hint="default" w:ascii="Times New Roman" w:hAnsi="Times New Roman" w:eastAsia="仿宋_GB2312" w:cs="Times New Roman"/>
          <w:color w:val="333333"/>
          <w:sz w:val="32"/>
          <w:szCs w:val="32"/>
        </w:rPr>
        <w:t>12.负责区域内生态环境监督执法。组织开展区域内生态环境保护执法检查，根据授权查处生态环境违法问题。监督实施建设项目生态环境保护设施“三同时”制度。</w:t>
      </w:r>
    </w:p>
    <w:p>
      <w:pPr>
        <w:pStyle w:val="13"/>
        <w:spacing w:before="0" w:beforeAutospacing="0" w:after="0" w:afterAutospacing="0" w:line="560" w:lineRule="exact"/>
        <w:ind w:firstLine="640" w:firstLineChars="200"/>
        <w:jc w:val="both"/>
        <w:rPr>
          <w:rFonts w:hint="default" w:ascii="Times New Roman" w:hAnsi="Times New Roman" w:cs="Times New Roman"/>
          <w:color w:val="333333"/>
          <w:sz w:val="32"/>
          <w:szCs w:val="32"/>
        </w:rPr>
      </w:pPr>
      <w:r>
        <w:rPr>
          <w:rFonts w:hint="default" w:ascii="Times New Roman" w:hAnsi="Times New Roman" w:eastAsia="仿宋_GB2312" w:cs="Times New Roman"/>
          <w:color w:val="333333"/>
          <w:sz w:val="32"/>
          <w:szCs w:val="32"/>
        </w:rPr>
        <w:t>13.组织指导和协调区域内生态环境宣传教育工作。制定并组织实施区域内生态环境保护宣传教育有关规划和计划。推动社会组织和公众参与生态环境保护。会同有关部门依法对区域内保护和改善生态环境有显著成绩的单位和个人给予表扬和奖励。</w:t>
      </w:r>
    </w:p>
    <w:p>
      <w:pPr>
        <w:pStyle w:val="13"/>
        <w:spacing w:before="0" w:beforeAutospacing="0" w:after="0" w:afterAutospacing="0" w:line="560" w:lineRule="exact"/>
        <w:ind w:firstLine="640" w:firstLineChars="200"/>
        <w:jc w:val="both"/>
        <w:rPr>
          <w:rFonts w:hint="default" w:ascii="Times New Roman" w:hAnsi="Times New Roman" w:cs="Times New Roman"/>
          <w:color w:val="333333"/>
          <w:sz w:val="32"/>
          <w:szCs w:val="32"/>
        </w:rPr>
      </w:pPr>
      <w:r>
        <w:rPr>
          <w:rFonts w:hint="default" w:ascii="Times New Roman" w:hAnsi="Times New Roman" w:eastAsia="仿宋_GB2312" w:cs="Times New Roman"/>
          <w:color w:val="333333"/>
          <w:sz w:val="32"/>
          <w:szCs w:val="32"/>
        </w:rPr>
        <w:t>14.开展生态环境科技工作。管理区域内生态环境保护科技成果并推广应用。组织开展生态环境重大科学研究和技术工程示范，推动生态环境技术管理体系建设。</w:t>
      </w:r>
    </w:p>
    <w:p>
      <w:pPr>
        <w:pStyle w:val="13"/>
        <w:spacing w:before="0" w:beforeAutospacing="0" w:after="0" w:afterAutospacing="0" w:line="560" w:lineRule="exact"/>
        <w:ind w:firstLine="640" w:firstLineChars="200"/>
        <w:jc w:val="both"/>
        <w:rPr>
          <w:rFonts w:hint="default" w:ascii="Times New Roman" w:hAnsi="Times New Roman" w:cs="Times New Roman"/>
          <w:color w:val="333333"/>
          <w:sz w:val="32"/>
          <w:szCs w:val="32"/>
        </w:rPr>
      </w:pPr>
      <w:r>
        <w:rPr>
          <w:rFonts w:hint="default" w:ascii="Times New Roman" w:hAnsi="Times New Roman" w:eastAsia="仿宋_GB2312" w:cs="Times New Roman"/>
          <w:color w:val="333333"/>
          <w:sz w:val="32"/>
          <w:szCs w:val="32"/>
        </w:rPr>
        <w:t>15.负责职责范围内安全生产和职业健康等工作。</w:t>
      </w:r>
    </w:p>
    <w:p>
      <w:pPr>
        <w:pStyle w:val="13"/>
        <w:spacing w:before="0" w:beforeAutospacing="0" w:after="0" w:afterAutospacing="0" w:line="560" w:lineRule="exact"/>
        <w:ind w:firstLine="640" w:firstLineChars="200"/>
        <w:jc w:val="both"/>
        <w:rPr>
          <w:rFonts w:hint="default" w:ascii="Times New Roman" w:hAnsi="Times New Roman" w:cs="Times New Roman"/>
        </w:rPr>
      </w:pPr>
      <w:r>
        <w:rPr>
          <w:rFonts w:hint="default" w:ascii="Times New Roman" w:hAnsi="Times New Roman" w:eastAsia="仿宋_GB2312" w:cs="Times New Roman"/>
          <w:color w:val="333333"/>
          <w:sz w:val="32"/>
          <w:szCs w:val="32"/>
        </w:rPr>
        <w:t>16.职能转变。统一行使区域内生态和城乡各类污染排放监管职责，按照国家、省确定的综合行政执法改革要求承担与此对应的行政执法职责，负责区域内生态环境质量监测、调查评价和考核，切实履行监管责任，加强事中事后监管，全面落实大气、水、土壤污染防治行动计划，强化固体废物、化学品、重金属污染防治监督管理。构建政府为主导、企业为主体、社会组织和公众共同参与的生态环境治理体系，实施最严格的生态环境保护制度，严守生态保护红线和环境质量底线， 坚决打好污染防治攻坚战，筑牢长江上游生态屏障，保障生态安全。</w:t>
      </w:r>
    </w:p>
    <w:p>
      <w:pPr>
        <w:pStyle w:val="4"/>
        <w:spacing w:before="0" w:after="0" w:line="560" w:lineRule="exact"/>
        <w:ind w:firstLine="640" w:firstLineChars="200"/>
        <w:rPr>
          <w:rFonts w:hint="default" w:ascii="Times New Roman" w:hAnsi="Times New Roman" w:eastAsia="黑体" w:cs="Times New Roman"/>
          <w:b w:val="0"/>
        </w:rPr>
      </w:pPr>
      <w:r>
        <w:rPr>
          <w:rFonts w:hint="default" w:ascii="Times New Roman" w:hAnsi="Times New Roman" w:eastAsia="黑体" w:cs="Times New Roman"/>
          <w:b w:val="0"/>
        </w:rPr>
        <w:t>二、2021年重点工作</w:t>
      </w:r>
      <w:bookmarkEnd w:id="14"/>
      <w:bookmarkEnd w:id="15"/>
      <w:r>
        <w:rPr>
          <w:rFonts w:hint="default" w:ascii="Times New Roman" w:hAnsi="Times New Roman" w:eastAsia="黑体" w:cs="Times New Roman"/>
          <w:b w:val="0"/>
        </w:rPr>
        <w:t>完成情况</w:t>
      </w:r>
    </w:p>
    <w:p>
      <w:pPr>
        <w:pBdr>
          <w:top w:val="single" w:color="FFFFFF" w:sz="4" w:space="0"/>
          <w:left w:val="single" w:color="FFFFFF" w:sz="4" w:space="31"/>
          <w:bottom w:val="single" w:color="FFFFFF" w:sz="4" w:space="30"/>
          <w:right w:val="single" w:color="FFFFFF" w:sz="4" w:space="0"/>
        </w:pBdr>
        <w:spacing w:line="560" w:lineRule="exact"/>
        <w:ind w:firstLine="640" w:firstLineChars="200"/>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（一）生态环境质量持续改善。</w:t>
      </w:r>
    </w:p>
    <w:p>
      <w:pPr>
        <w:pBdr>
          <w:top w:val="single" w:color="FFFFFF" w:sz="4" w:space="0"/>
          <w:left w:val="single" w:color="FFFFFF" w:sz="4" w:space="31"/>
          <w:bottom w:val="single" w:color="FFFFFF" w:sz="4" w:space="30"/>
          <w:right w:val="single" w:color="FFFFFF" w:sz="4" w:space="0"/>
        </w:pBdr>
        <w:spacing w:line="560" w:lineRule="exact"/>
        <w:ind w:firstLine="640" w:firstLineChars="200"/>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环境质量稳中见好，环境风险可控。环境空气质量污染综合指数3.92，低于全市综合指数4.06，6项环境空气质量指标均达到国家二级标准，其中，二氧化氮（NO2）浓度较去年同期下降14.76%、可吸入颗粒物（PM10）浓度较去年同期下降1.97%、二氧化硫（SO2）、一氧化碳（CO）浓度与去年同期持平，PM2.5、O3略有上升。</w:t>
      </w:r>
    </w:p>
    <w:p>
      <w:pPr>
        <w:pBdr>
          <w:top w:val="single" w:color="FFFFFF" w:sz="4" w:space="0"/>
          <w:left w:val="single" w:color="FFFFFF" w:sz="4" w:space="31"/>
          <w:bottom w:val="single" w:color="FFFFFF" w:sz="4" w:space="30"/>
          <w:right w:val="single" w:color="FFFFFF" w:sz="4" w:space="0"/>
        </w:pBdr>
        <w:spacing w:line="560" w:lineRule="exact"/>
        <w:ind w:firstLine="640" w:firstLineChars="200"/>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全区地表水水质达标率100%，地表断面水达到Ⅱ类水质，无劣Ⅴ类水质断面，建成区无黑臭水体。</w:t>
      </w:r>
    </w:p>
    <w:p>
      <w:pPr>
        <w:pBdr>
          <w:top w:val="single" w:color="FFFFFF" w:sz="4" w:space="0"/>
          <w:left w:val="single" w:color="FFFFFF" w:sz="4" w:space="31"/>
          <w:bottom w:val="single" w:color="FFFFFF" w:sz="4" w:space="30"/>
          <w:right w:val="single" w:color="FFFFFF" w:sz="4" w:space="0"/>
        </w:pBdr>
        <w:spacing w:line="560" w:lineRule="exact"/>
        <w:ind w:firstLine="640" w:firstLineChars="200"/>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辐射环境质量、声环境质量总体较好，土壤环境质量持续稳定，环境风险可控，未发生突发环境事件。</w:t>
      </w:r>
    </w:p>
    <w:p>
      <w:pPr>
        <w:pBdr>
          <w:top w:val="single" w:color="FFFFFF" w:sz="4" w:space="0"/>
          <w:left w:val="single" w:color="FFFFFF" w:sz="4" w:space="31"/>
          <w:bottom w:val="single" w:color="FFFFFF" w:sz="4" w:space="30"/>
          <w:right w:val="single" w:color="FFFFFF" w:sz="4" w:space="0"/>
        </w:pBdr>
        <w:spacing w:line="560" w:lineRule="exact"/>
        <w:ind w:firstLine="640" w:firstLineChars="200"/>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（二）生态环境保护目标较好完成。</w:t>
      </w:r>
    </w:p>
    <w:p>
      <w:pPr>
        <w:pBdr>
          <w:top w:val="single" w:color="FFFFFF" w:sz="4" w:space="0"/>
          <w:left w:val="single" w:color="FFFFFF" w:sz="4" w:space="31"/>
          <w:bottom w:val="single" w:color="FFFFFF" w:sz="4" w:space="30"/>
          <w:right w:val="single" w:color="FFFFFF" w:sz="4" w:space="0"/>
        </w:pBdr>
        <w:spacing w:line="560" w:lineRule="exact"/>
        <w:ind w:firstLine="640" w:firstLineChars="200"/>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1.“十三五”生态环境保护7项约束性指标均完成目标任务。</w:t>
      </w:r>
    </w:p>
    <w:p>
      <w:pPr>
        <w:pBdr>
          <w:top w:val="single" w:color="FFFFFF" w:sz="4" w:space="0"/>
          <w:left w:val="single" w:color="FFFFFF" w:sz="4" w:space="31"/>
          <w:bottom w:val="single" w:color="FFFFFF" w:sz="4" w:space="30"/>
          <w:right w:val="single" w:color="FFFFFF" w:sz="4" w:space="0"/>
        </w:pBdr>
        <w:spacing w:line="560" w:lineRule="exact"/>
        <w:ind w:firstLine="640" w:firstLineChars="200"/>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环境空气质量指标持续向好。“十三五”期间，西区环境空气质量优良率为96.5%，较“十二五”期间上升12个百分点。截至2020年，六项大气监测指标全部达到国家二级标准，其中，PM2.5、SO2、PM10、CO较2015年分别下降15.2%、45.5%、24.6%、14.8%。</w:t>
      </w:r>
    </w:p>
    <w:p>
      <w:pPr>
        <w:pBdr>
          <w:top w:val="single" w:color="FFFFFF" w:sz="4" w:space="0"/>
          <w:left w:val="single" w:color="FFFFFF" w:sz="4" w:space="31"/>
          <w:bottom w:val="single" w:color="FFFFFF" w:sz="4" w:space="30"/>
          <w:right w:val="single" w:color="FFFFFF" w:sz="4" w:space="0"/>
        </w:pBdr>
        <w:spacing w:line="560" w:lineRule="exact"/>
        <w:ind w:firstLine="640" w:firstLineChars="200"/>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二氧化硫、氮氧化物总量减排指标超额完成。“十三五”期间，二氧化硫削减1490.66吨，超额完成920.66吨。氮氧化物削减507.92吨，超额完成307.92吨。</w:t>
      </w:r>
    </w:p>
    <w:p>
      <w:pPr>
        <w:pBdr>
          <w:top w:val="single" w:color="FFFFFF" w:sz="4" w:space="0"/>
          <w:left w:val="single" w:color="FFFFFF" w:sz="4" w:space="31"/>
          <w:bottom w:val="single" w:color="FFFFFF" w:sz="4" w:space="30"/>
          <w:right w:val="single" w:color="FFFFFF" w:sz="4" w:space="0"/>
        </w:pBdr>
        <w:spacing w:line="560" w:lineRule="exact"/>
        <w:ind w:firstLine="640" w:firstLineChars="200"/>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化学需氧量、氨氮总量减排指标完成任务。“十三五”期间，化学需氧量、氨氮无新增排放量，均完成目标任务。</w:t>
      </w:r>
    </w:p>
    <w:p>
      <w:pPr>
        <w:pBdr>
          <w:top w:val="single" w:color="FFFFFF" w:sz="4" w:space="0"/>
          <w:left w:val="single" w:color="FFFFFF" w:sz="4" w:space="31"/>
          <w:bottom w:val="single" w:color="FFFFFF" w:sz="4" w:space="30"/>
          <w:right w:val="single" w:color="FFFFFF" w:sz="4" w:space="0"/>
        </w:pBdr>
        <w:spacing w:line="560" w:lineRule="exact"/>
        <w:ind w:firstLine="640" w:firstLineChars="200"/>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地表水质量、劣Ⅴ类水体指标完成任务。“十三五”期间，纳入国家考核的地表水断面为金沙江倮果断面，达到地表水Ⅱ类及以上比例为100%，无劣Ⅴ类水质断面，均完成目标任务。</w:t>
      </w:r>
    </w:p>
    <w:p>
      <w:pPr>
        <w:pBdr>
          <w:top w:val="single" w:color="FFFFFF" w:sz="4" w:space="0"/>
          <w:left w:val="single" w:color="FFFFFF" w:sz="4" w:space="31"/>
          <w:bottom w:val="single" w:color="FFFFFF" w:sz="4" w:space="30"/>
          <w:right w:val="single" w:color="FFFFFF" w:sz="4" w:space="0"/>
        </w:pBdr>
        <w:spacing w:line="560" w:lineRule="exact"/>
        <w:ind w:firstLine="640" w:firstLineChars="200"/>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2.2021年度目标任务完成情况。截止12月28日，西区环境空气质量优良率95.1%，达到考核指标94.8%。重点考核指标细颗粒物（PM2.5）平均浓度28.1ug/m3，达到目标考核任务（28.8μg/m3）。全区水环境质量长期保持在Ⅱ类水质以上，达到Ⅲ类水质考核指标。建成区无黑臭水体，土壤环境质量总体良好，未发生土壤环境污染事件，噪声环境质量达到国家标准。化学需氧量、氨氮、挥发性有机物、氮氧化物重点工程减排量、碳达峰、碳中和工作、疑似污染地块调查、重点监管单位自行监测、隐患排查、农村生活污水治理“千村示范”工程建设、河湖长制等党政同责考核目标任务全面完成。</w:t>
      </w:r>
    </w:p>
    <w:p>
      <w:pPr>
        <w:pBdr>
          <w:top w:val="single" w:color="FFFFFF" w:sz="4" w:space="0"/>
          <w:left w:val="single" w:color="FFFFFF" w:sz="4" w:space="31"/>
          <w:bottom w:val="single" w:color="FFFFFF" w:sz="4" w:space="30"/>
          <w:right w:val="single" w:color="FFFFFF" w:sz="4" w:space="0"/>
        </w:pBdr>
        <w:spacing w:line="560" w:lineRule="exact"/>
        <w:ind w:firstLine="640" w:firstLineChars="200"/>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（三）主要工作举措及成效。</w:t>
      </w:r>
    </w:p>
    <w:p>
      <w:pPr>
        <w:pBdr>
          <w:top w:val="single" w:color="FFFFFF" w:sz="4" w:space="0"/>
          <w:left w:val="single" w:color="FFFFFF" w:sz="4" w:space="31"/>
          <w:bottom w:val="single" w:color="FFFFFF" w:sz="4" w:space="30"/>
          <w:right w:val="single" w:color="FFFFFF" w:sz="4" w:space="0"/>
        </w:pBdr>
        <w:spacing w:line="560" w:lineRule="exact"/>
        <w:ind w:firstLine="643" w:firstLineChars="200"/>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b/>
          <w:color w:val="333333"/>
          <w:kern w:val="0"/>
          <w:sz w:val="32"/>
          <w:szCs w:val="32"/>
        </w:rPr>
        <w:t>1.坚持以信息化建设为抓手，奋力提升监管能力。</w:t>
      </w:r>
      <w:r>
        <w:rPr>
          <w:rFonts w:hint="default" w:ascii="Times New Roman" w:hAnsi="Times New Roman" w:eastAsia="仿宋_GB2312" w:cs="Times New Roman"/>
          <w:color w:val="333333"/>
          <w:kern w:val="0"/>
          <w:sz w:val="32"/>
          <w:szCs w:val="32"/>
        </w:rPr>
        <w:t>在全市率先开展环境应急监控中心建设，投入290万元建成污染源智能监管平台、高空瞭望平台、省控三期基础能力建设平台，基本实现了动态监控西区大气污染源头及环境质量变化趋势，区域“精准治污”取得了突破性进展。</w:t>
      </w:r>
    </w:p>
    <w:p>
      <w:pPr>
        <w:pBdr>
          <w:top w:val="single" w:color="FFFFFF" w:sz="4" w:space="0"/>
          <w:left w:val="single" w:color="FFFFFF" w:sz="4" w:space="31"/>
          <w:bottom w:val="single" w:color="FFFFFF" w:sz="4" w:space="30"/>
          <w:right w:val="single" w:color="FFFFFF" w:sz="4" w:space="0"/>
        </w:pBdr>
        <w:spacing w:line="560" w:lineRule="exact"/>
        <w:ind w:firstLine="643" w:firstLineChars="200"/>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b/>
          <w:color w:val="333333"/>
          <w:kern w:val="0"/>
          <w:sz w:val="32"/>
          <w:szCs w:val="32"/>
        </w:rPr>
        <w:t>2.坚持监管全覆盖，帮助提升企业环保意识。</w:t>
      </w:r>
      <w:r>
        <w:rPr>
          <w:rFonts w:hint="default" w:ascii="Times New Roman" w:hAnsi="Times New Roman" w:eastAsia="仿宋_GB2312" w:cs="Times New Roman"/>
          <w:color w:val="333333"/>
          <w:kern w:val="0"/>
          <w:sz w:val="32"/>
          <w:szCs w:val="32"/>
        </w:rPr>
        <w:t>一是以“双随机+网格化监管”为载体，自加压力、主动作为，针对重点行业、重点企业自派任务215个，针对现场执法发现的环境问题，立即要求企业限期整改到位。二是采取立体化执法监管模式，加大节假日和夜间巡查检查力度，对辖区企业进行巡查检查，针对辖区5家企业环境违法行为进行立案调查，立案9件，行政处罚金额320万元。三是开展国省控、减排重点污染源监督性监测，出具监测报告54份，服务辖区重点污染源动态监管，有效支撑了生态环境管理决策。</w:t>
      </w:r>
    </w:p>
    <w:p>
      <w:pPr>
        <w:pBdr>
          <w:top w:val="single" w:color="FFFFFF" w:sz="4" w:space="0"/>
          <w:left w:val="single" w:color="FFFFFF" w:sz="4" w:space="31"/>
          <w:bottom w:val="single" w:color="FFFFFF" w:sz="4" w:space="30"/>
          <w:right w:val="single" w:color="FFFFFF" w:sz="4" w:space="0"/>
        </w:pBdr>
        <w:spacing w:line="560" w:lineRule="exact"/>
        <w:ind w:firstLine="643" w:firstLineChars="200"/>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b/>
          <w:color w:val="333333"/>
          <w:kern w:val="0"/>
          <w:sz w:val="32"/>
          <w:szCs w:val="32"/>
        </w:rPr>
        <w:t>3.坚持突出生态环境问题整改不懈怠，持续提升工作实效。</w:t>
      </w:r>
      <w:r>
        <w:rPr>
          <w:rFonts w:hint="default" w:ascii="Times New Roman" w:hAnsi="Times New Roman" w:eastAsia="仿宋_GB2312" w:cs="Times New Roman"/>
          <w:color w:val="333333"/>
          <w:kern w:val="0"/>
          <w:sz w:val="32"/>
          <w:szCs w:val="32"/>
        </w:rPr>
        <w:t>成立以区委、区政府主要领导为双组长的迎督工作领导小组，印发迎督工作方案，下设8个工作组，落实“四个一”工作机制，统筹协调开展迎督工作。一是省级环保督察期间接收群众信访件37件，占全市8.5%，在全市各县区中最少。二是第二轮中央生态环境保护督察期间接收、办结群众信访举报转办件12件，不属实件2件，均不涉及加星重点关注信访件，数量在全市各县区中较少，排在第4位。三是中央督察组下沉攀枝花市开展督察期间，核查涉西区点位1个，为攀钢504电厂麻地湾灰场问题，督察组现场对该灰场渗滤液进行了采样监测，所测重金属指标均达标。四是第二轮中央生态环境保护督察反馈意见未直接点名西区生态环境问题，也未被纳入负面典型案例曝光。</w:t>
      </w:r>
    </w:p>
    <w:p>
      <w:pPr>
        <w:pBdr>
          <w:top w:val="single" w:color="FFFFFF" w:sz="4" w:space="0"/>
          <w:left w:val="single" w:color="FFFFFF" w:sz="4" w:space="31"/>
          <w:bottom w:val="single" w:color="FFFFFF" w:sz="4" w:space="30"/>
          <w:right w:val="single" w:color="FFFFFF" w:sz="4" w:space="0"/>
        </w:pBdr>
        <w:spacing w:line="560" w:lineRule="exact"/>
        <w:ind w:firstLine="643" w:firstLineChars="200"/>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b/>
          <w:color w:val="333333"/>
          <w:kern w:val="0"/>
          <w:sz w:val="32"/>
          <w:szCs w:val="32"/>
        </w:rPr>
        <w:t xml:space="preserve"> 4.坚持对重点大气污染治理，腾出发展容量空间。</w:t>
      </w:r>
      <w:r>
        <w:rPr>
          <w:rFonts w:hint="default" w:ascii="Times New Roman" w:hAnsi="Times New Roman" w:eastAsia="仿宋_GB2312" w:cs="Times New Roman"/>
          <w:color w:val="333333"/>
          <w:kern w:val="0"/>
          <w:sz w:val="32"/>
          <w:szCs w:val="32"/>
        </w:rPr>
        <w:t>以“抓项目、抓资金、抓政策”为突破口，实施重点行业企业污染治理。一是对重点行业实施深度治理，重点实施瑞峰水泥窑低氮燃烧脱硝及收尘器改造治理，累计投入100余万元完成深度治理，已基本实现水泥行业B类超低排放目标；攀钢504发电厂累计投入1.02亿元新建除尘、脱硫、脱硝设施，已达到钢铁企业自备电厂超低排放标准。二是对翻渣露天作业为主要工艺（工序）进行封闭治理，废旧物资公司巴关河钢渣、扒渣环保整治项目累计投资5000余万元，已于2021年4月完成整治。三是对现有老化的环保设施，督促其对环保设施进行升级换代，计划投资4000万元实施攀煤联合焦化环保设施升级治理，项目完成后，预计可消减氮氧化物排放量184吨/年、挥发性有机物排放量50吨/年；计划投资1600万元实施石灰石矿竖窑除尘器超低排放改造及白灰车间除尘器超低排放改造，项目完成后，外排烟粉尘浓度稳定控制在10mg/m3以下。</w:t>
      </w:r>
    </w:p>
    <w:p>
      <w:pPr>
        <w:pBdr>
          <w:top w:val="single" w:color="FFFFFF" w:sz="4" w:space="0"/>
          <w:left w:val="single" w:color="FFFFFF" w:sz="4" w:space="31"/>
          <w:bottom w:val="single" w:color="FFFFFF" w:sz="4" w:space="30"/>
          <w:right w:val="single" w:color="FFFFFF" w:sz="4" w:space="0"/>
        </w:pBdr>
        <w:autoSpaceDE w:val="0"/>
        <w:autoSpaceDN w:val="0"/>
        <w:spacing w:line="560" w:lineRule="exact"/>
        <w:ind w:firstLine="643" w:firstLineChars="200"/>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b/>
          <w:color w:val="333333"/>
          <w:kern w:val="0"/>
          <w:sz w:val="32"/>
          <w:szCs w:val="32"/>
        </w:rPr>
        <w:t>5.坚持环境问题矛盾纠纷有效化解，提升群众满意度。</w:t>
      </w:r>
      <w:r>
        <w:rPr>
          <w:rFonts w:hint="default" w:ascii="Times New Roman" w:hAnsi="Times New Roman" w:eastAsia="仿宋_GB2312" w:cs="Times New Roman"/>
          <w:color w:val="333333"/>
          <w:kern w:val="0"/>
          <w:sz w:val="32"/>
          <w:szCs w:val="32"/>
        </w:rPr>
        <w:t>一是对央督、省督信访件进行全覆盖回访，畅通区内问题反馈渠道，针对席草坪片区粉尘区域污染等问题，组织召开“环境圆桌对话”会议3次，集中化解问题12个，一年来，相关投诉件数量明显下降。二是坚持做到环境污染举报热线“12369”24小时畅通，通过受理“12369”“12345”热线及现场调解等方式，及时办结群众信访投诉、举报112件，办结率100%，群众满意度100%。三是向辖区居民发送投诉举报热线电话短信82000余条，及时受理办结群众信访问题25件，得到群众认可。</w:t>
      </w:r>
    </w:p>
    <w:p>
      <w:pPr>
        <w:keepNext w:val="0"/>
        <w:keepLines w:val="0"/>
        <w:pageBreakBefore w:val="0"/>
        <w:widowControl w:val="0"/>
        <w:pBdr>
          <w:top w:val="single" w:color="FFFFFF" w:sz="4" w:space="0"/>
          <w:left w:val="single" w:color="FFFFFF" w:sz="4" w:space="31"/>
          <w:bottom w:val="single" w:color="FFFFFF" w:sz="4" w:space="30"/>
          <w:right w:val="single" w:color="FFFFFF" w:sz="4" w:space="0"/>
        </w:pBdr>
        <w:kinsoku/>
        <w:wordWrap/>
        <w:overflowPunct/>
        <w:topLinePunct w:val="0"/>
        <w:autoSpaceDE/>
        <w:autoSpaceDN/>
        <w:bidi w:val="0"/>
        <w:adjustRightInd/>
        <w:snapToGrid/>
        <w:spacing w:line="560" w:lineRule="exact"/>
        <w:ind w:right="0" w:firstLine="643" w:firstLineChars="200"/>
        <w:textAlignment w:val="auto"/>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b/>
          <w:color w:val="333333"/>
          <w:kern w:val="0"/>
          <w:sz w:val="32"/>
          <w:szCs w:val="32"/>
        </w:rPr>
        <w:t>6.坚持推动高质量发展，筑牢生态屏障。</w:t>
      </w:r>
      <w:r>
        <w:rPr>
          <w:rFonts w:hint="default" w:ascii="Times New Roman" w:hAnsi="Times New Roman" w:eastAsia="仿宋_GB2312" w:cs="Times New Roman"/>
          <w:color w:val="333333"/>
          <w:kern w:val="0"/>
          <w:sz w:val="32"/>
          <w:szCs w:val="32"/>
        </w:rPr>
        <w:t>一是落实“三线一单”管控要求，严把“两高”项目审批关，受理企业登记备案46件，完成排污许可证核发54家，企业排污登记备案管理199家。二是成功争取省级农村生活污水治理“千村示范工程”及土壤初步调查等项目专项资金189万元，包装格里坪工业园区地下水评估、圆富化工土壤污染状况调查及分析评估项目成功进入省环保专项资金项目库，争取专项资金229万元。三是省生态环境厅将西区确定为四川省长江黄河上游土壤风险分区管控试点区，为全市唯一一个县区对土壤环境综合整治、土壤污染源头预防、农用地安全利用与修复治理模式等8个重点方面进行先行探索试点建设经验。四是全面梳理研判攀煤2座矸石山环境综合整治等历史遗留生态环境问题，实行一个问题一个专题会研判会商解决，聘请法律顾问全程提供法律支持，邀请4名相关行业专家深入现场把脉问诊，提供技术支持，有效处理、解决散乱污企业川南耐火材料厂等8个历史遗留疑难问题。</w:t>
      </w:r>
    </w:p>
    <w:p>
      <w:pPr>
        <w:keepNext w:val="0"/>
        <w:keepLines w:val="0"/>
        <w:pageBreakBefore w:val="0"/>
        <w:widowControl w:val="0"/>
        <w:pBdr>
          <w:top w:val="single" w:color="FFFFFF" w:sz="4" w:space="0"/>
          <w:left w:val="single" w:color="FFFFFF" w:sz="4" w:space="31"/>
          <w:bottom w:val="single" w:color="FFFFFF" w:sz="4" w:space="30"/>
          <w:right w:val="single" w:color="FFFFFF" w:sz="4" w:space="0"/>
        </w:pBd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黑体" w:cs="Times New Roman"/>
          <w:color w:val="333333"/>
          <w:kern w:val="0"/>
          <w:sz w:val="32"/>
          <w:szCs w:val="32"/>
          <w:lang w:eastAsia="zh-CN"/>
        </w:rPr>
      </w:pPr>
      <w:r>
        <w:rPr>
          <w:rFonts w:hint="default" w:ascii="Times New Roman" w:hAnsi="Times New Roman" w:eastAsia="黑体" w:cs="Times New Roman"/>
          <w:color w:val="333333"/>
          <w:kern w:val="0"/>
          <w:sz w:val="32"/>
          <w:szCs w:val="32"/>
          <w:lang w:eastAsia="zh-CN"/>
        </w:rPr>
        <w:t>三、机构设置情况</w:t>
      </w:r>
    </w:p>
    <w:p>
      <w:pPr>
        <w:keepNext w:val="0"/>
        <w:keepLines w:val="0"/>
        <w:pageBreakBefore w:val="0"/>
        <w:widowControl w:val="0"/>
        <w:pBdr>
          <w:top w:val="single" w:color="FFFFFF" w:sz="4" w:space="0"/>
          <w:left w:val="single" w:color="FFFFFF" w:sz="4" w:space="31"/>
          <w:bottom w:val="single" w:color="FFFFFF" w:sz="4" w:space="30"/>
          <w:right w:val="single" w:color="FFFFFF" w:sz="4" w:space="0"/>
        </w:pBd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333333"/>
          <w:kern w:val="0"/>
          <w:sz w:val="32"/>
          <w:szCs w:val="32"/>
          <w:lang w:val="en-US" w:eastAsia="zh-CN"/>
        </w:rPr>
      </w:pPr>
      <w:r>
        <w:rPr>
          <w:rFonts w:hint="default" w:ascii="Times New Roman" w:hAnsi="Times New Roman" w:eastAsia="仿宋_GB2312" w:cs="Times New Roman"/>
          <w:color w:val="333333"/>
          <w:kern w:val="0"/>
          <w:sz w:val="32"/>
          <w:szCs w:val="32"/>
          <w:lang w:val="en-US" w:eastAsia="zh-CN"/>
        </w:rPr>
        <w:t>西区生态环境局属于攀枝花市生态环境局下属的二级预算单位，下设独立编制机构1个，其中行政机构1个，参照公务员法管理的事业机构0个，其他事业机构0个。</w:t>
      </w:r>
    </w:p>
    <w:p>
      <w:pPr>
        <w:keepNext w:val="0"/>
        <w:keepLines w:val="0"/>
        <w:pageBreakBefore w:val="0"/>
        <w:widowControl w:val="0"/>
        <w:pBdr>
          <w:top w:val="single" w:color="FFFFFF" w:sz="4" w:space="0"/>
          <w:left w:val="single" w:color="FFFFFF" w:sz="4" w:space="31"/>
          <w:bottom w:val="single" w:color="FFFFFF" w:sz="4" w:space="30"/>
          <w:right w:val="single" w:color="FFFFFF" w:sz="4" w:space="0"/>
        </w:pBd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333333"/>
          <w:kern w:val="0"/>
          <w:sz w:val="32"/>
          <w:szCs w:val="32"/>
          <w:lang w:val="en-US" w:eastAsia="zh-CN"/>
        </w:rPr>
      </w:pPr>
      <w:r>
        <w:rPr>
          <w:rFonts w:hint="default" w:ascii="Times New Roman" w:hAnsi="Times New Roman" w:eastAsia="仿宋_GB2312" w:cs="Times New Roman"/>
          <w:color w:val="333333"/>
          <w:kern w:val="0"/>
          <w:sz w:val="32"/>
          <w:szCs w:val="32"/>
          <w:lang w:val="en-US" w:eastAsia="zh-CN"/>
        </w:rPr>
        <w:t>纳入2021年度单位决算编制范围的独立编制机构包括：</w:t>
      </w:r>
    </w:p>
    <w:p>
      <w:pPr>
        <w:keepNext w:val="0"/>
        <w:keepLines w:val="0"/>
        <w:pageBreakBefore w:val="0"/>
        <w:widowControl w:val="0"/>
        <w:pBdr>
          <w:top w:val="single" w:color="FFFFFF" w:sz="4" w:space="0"/>
          <w:left w:val="single" w:color="FFFFFF" w:sz="4" w:space="31"/>
          <w:bottom w:val="single" w:color="FFFFFF" w:sz="4" w:space="30"/>
          <w:right w:val="single" w:color="FFFFFF" w:sz="4" w:space="0"/>
        </w:pBd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333333"/>
          <w:kern w:val="0"/>
          <w:sz w:val="32"/>
          <w:szCs w:val="32"/>
          <w:lang w:val="en-US" w:eastAsia="zh-CN"/>
        </w:rPr>
      </w:pPr>
      <w:r>
        <w:rPr>
          <w:rFonts w:hint="default" w:ascii="Times New Roman" w:hAnsi="Times New Roman" w:eastAsia="仿宋_GB2312" w:cs="Times New Roman"/>
          <w:color w:val="333333"/>
          <w:kern w:val="0"/>
          <w:sz w:val="32"/>
          <w:szCs w:val="32"/>
          <w:lang w:val="en-US" w:eastAsia="zh-CN"/>
        </w:rPr>
        <w:t>1.攀枝花市西区生态环境局；</w:t>
      </w:r>
    </w:p>
    <w:p>
      <w:pPr>
        <w:keepNext w:val="0"/>
        <w:keepLines w:val="0"/>
        <w:pageBreakBefore w:val="0"/>
        <w:widowControl w:val="0"/>
        <w:pBdr>
          <w:top w:val="single" w:color="FFFFFF" w:sz="4" w:space="0"/>
          <w:left w:val="single" w:color="FFFFFF" w:sz="4" w:space="31"/>
          <w:bottom w:val="single" w:color="FFFFFF" w:sz="4" w:space="30"/>
          <w:right w:val="single" w:color="FFFFFF" w:sz="4" w:space="0"/>
        </w:pBdr>
        <w:kinsoku/>
        <w:wordWrap/>
        <w:overflowPunct/>
        <w:topLinePunct w:val="0"/>
        <w:autoSpaceDE/>
        <w:autoSpaceDN/>
        <w:bidi w:val="0"/>
        <w:adjustRightInd/>
        <w:snapToGrid/>
        <w:spacing w:line="560" w:lineRule="exact"/>
        <w:ind w:right="0" w:firstLine="640" w:firstLineChars="200"/>
        <w:textAlignment w:val="auto"/>
        <w:rPr>
          <w:rFonts w:hint="default" w:ascii="Times New Roman" w:hAnsi="Times New Roman" w:eastAsia="仿宋_GB2312" w:cs="Times New Roman"/>
          <w:color w:val="333333"/>
          <w:kern w:val="0"/>
          <w:sz w:val="32"/>
          <w:szCs w:val="32"/>
          <w:lang w:val="en-US" w:eastAsia="zh-CN"/>
        </w:rPr>
      </w:pPr>
      <w:r>
        <w:rPr>
          <w:rFonts w:hint="default" w:ascii="Times New Roman" w:hAnsi="Times New Roman" w:eastAsia="仿宋_GB2312" w:cs="Times New Roman"/>
          <w:color w:val="333333"/>
          <w:kern w:val="0"/>
          <w:sz w:val="32"/>
          <w:szCs w:val="32"/>
          <w:lang w:val="en-US" w:eastAsia="zh-CN"/>
        </w:rPr>
        <w:t>2.攀枝花市西区生态环境保护综合行政执法大队。</w:t>
      </w:r>
    </w:p>
    <w:p>
      <w:pPr>
        <w:pStyle w:val="2"/>
        <w:keepNext w:val="0"/>
        <w:keepLines w:val="0"/>
        <w:pageBreakBefore w:val="0"/>
        <w:widowControl w:val="0"/>
        <w:kinsoku/>
        <w:wordWrap/>
        <w:overflowPunct/>
        <w:topLinePunct w:val="0"/>
        <w:autoSpaceDE/>
        <w:autoSpaceDN/>
        <w:bidi w:val="0"/>
        <w:adjustRightInd/>
        <w:snapToGrid/>
        <w:spacing w:beforeLines="0" w:line="560" w:lineRule="exact"/>
        <w:textAlignment w:val="auto"/>
        <w:rPr>
          <w:rFonts w:hint="default" w:ascii="Times New Roman" w:hAnsi="Times New Roman"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beforeLines="0" w:line="560" w:lineRule="exact"/>
        <w:ind w:right="0"/>
        <w:textAlignment w:val="auto"/>
        <w:rPr>
          <w:rFonts w:hint="default" w:ascii="Times New Roman" w:hAnsi="Times New Roman" w:cs="Times New Roman"/>
          <w:sz w:val="32"/>
          <w:szCs w:val="32"/>
          <w:lang w:eastAsia="zh-CN"/>
        </w:rPr>
      </w:pPr>
    </w:p>
    <w:p>
      <w:pPr>
        <w:pStyle w:val="3"/>
        <w:pageBreakBefore w:val="0"/>
        <w:widowControl w:val="0"/>
        <w:kinsoku/>
        <w:wordWrap/>
        <w:overflowPunct/>
        <w:topLinePunct w:val="0"/>
        <w:autoSpaceDE/>
        <w:autoSpaceDN/>
        <w:bidi w:val="0"/>
        <w:adjustRightInd/>
        <w:snapToGrid/>
        <w:spacing w:before="0" w:after="0" w:line="560" w:lineRule="exact"/>
        <w:ind w:right="0"/>
        <w:jc w:val="center"/>
        <w:textAlignment w:val="auto"/>
        <w:rPr>
          <w:rFonts w:hint="default" w:ascii="Times New Roman" w:hAnsi="Times New Roman" w:eastAsia="黑体" w:cs="Times New Roman"/>
          <w:b w:val="0"/>
        </w:rPr>
      </w:pPr>
      <w:bookmarkStart w:id="16" w:name="_Toc15377204"/>
      <w:bookmarkStart w:id="17" w:name="_Toc15396602"/>
    </w:p>
    <w:p>
      <w:pPr>
        <w:pageBreakBefore w:val="0"/>
        <w:widowControl w:val="0"/>
        <w:kinsoku/>
        <w:wordWrap/>
        <w:overflowPunct/>
        <w:topLinePunct w:val="0"/>
        <w:autoSpaceDE/>
        <w:autoSpaceDN/>
        <w:bidi w:val="0"/>
        <w:adjustRightInd/>
        <w:snapToGrid/>
        <w:spacing w:line="560" w:lineRule="exact"/>
        <w:ind w:right="0"/>
        <w:textAlignment w:val="auto"/>
        <w:rPr>
          <w:rFonts w:hint="default" w:ascii="Times New Roman" w:hAnsi="Times New Roman" w:cs="Times New Roman"/>
        </w:rPr>
      </w:pPr>
    </w:p>
    <w:p>
      <w:pPr>
        <w:pStyle w:val="3"/>
        <w:ind w:right="440"/>
        <w:jc w:val="center"/>
        <w:rPr>
          <w:rStyle w:val="26"/>
          <w:rFonts w:hint="default" w:ascii="Times New Roman" w:hAnsi="Times New Roman" w:eastAsia="黑体" w:cs="Times New Roman"/>
          <w:b w:val="0"/>
          <w:bCs/>
        </w:rPr>
      </w:pPr>
      <w:r>
        <w:rPr>
          <w:rFonts w:hint="default" w:ascii="Times New Roman" w:hAnsi="Times New Roman" w:eastAsia="黑体" w:cs="Times New Roman"/>
          <w:b w:val="0"/>
        </w:rPr>
        <w:t>第二部分 2021年度</w:t>
      </w:r>
      <w:r>
        <w:rPr>
          <w:rStyle w:val="26"/>
          <w:rFonts w:hint="default" w:ascii="Times New Roman" w:hAnsi="Times New Roman" w:eastAsia="黑体" w:cs="Times New Roman"/>
          <w:b w:val="0"/>
          <w:bCs/>
        </w:rPr>
        <w:t>单位决算情况说明</w:t>
      </w:r>
      <w:bookmarkEnd w:id="16"/>
      <w:bookmarkEnd w:id="17"/>
    </w:p>
    <w:p>
      <w:pPr>
        <w:rPr>
          <w:rFonts w:hint="default" w:ascii="Times New Roman" w:hAnsi="Times New Roman" w:cs="Times New Roman"/>
        </w:rPr>
      </w:pPr>
    </w:p>
    <w:p>
      <w:pPr>
        <w:pStyle w:val="25"/>
        <w:spacing w:line="600" w:lineRule="exact"/>
        <w:ind w:left="640" w:firstLine="0" w:firstLineChars="0"/>
        <w:outlineLvl w:val="1"/>
        <w:rPr>
          <w:rStyle w:val="27"/>
          <w:rFonts w:hint="default" w:ascii="Times New Roman" w:hAnsi="Times New Roman" w:eastAsia="黑体" w:cs="Times New Roman"/>
          <w:b w:val="0"/>
        </w:rPr>
      </w:pPr>
      <w:bookmarkStart w:id="18" w:name="_Toc15377205"/>
      <w:bookmarkStart w:id="19" w:name="_Toc15396603"/>
      <w:r>
        <w:rPr>
          <w:rFonts w:hint="default" w:ascii="Times New Roman" w:hAnsi="Times New Roman" w:eastAsia="黑体" w:cs="Times New Roman"/>
          <w:sz w:val="32"/>
          <w:szCs w:val="32"/>
        </w:rPr>
        <w:t>一、收</w:t>
      </w:r>
      <w:r>
        <w:rPr>
          <w:rStyle w:val="27"/>
          <w:rFonts w:hint="default" w:ascii="Times New Roman" w:hAnsi="Times New Roman" w:eastAsia="黑体" w:cs="Times New Roman"/>
          <w:b w:val="0"/>
        </w:rPr>
        <w:t>入支出决算总体情况说明</w:t>
      </w:r>
      <w:bookmarkEnd w:id="18"/>
      <w:bookmarkEnd w:id="19"/>
    </w:p>
    <w:p>
      <w:pPr>
        <w:pBdr>
          <w:top w:val="single" w:color="FFFFFF" w:sz="4" w:space="0"/>
          <w:left w:val="single" w:color="FFFFFF" w:sz="4" w:space="31"/>
          <w:bottom w:val="single" w:color="FFFFFF" w:sz="4" w:space="30"/>
          <w:right w:val="single" w:color="FFFFFF" w:sz="4" w:space="0"/>
        </w:pBdr>
        <w:spacing w:line="560" w:lineRule="exact"/>
        <w:ind w:firstLine="640" w:firstLineChars="200"/>
        <w:rPr>
          <w:rFonts w:hint="default" w:ascii="Times New Roman" w:hAnsi="Times New Roman" w:eastAsia="方正仿宋_GBK" w:cs="Times New Roman"/>
          <w:sz w:val="33"/>
          <w:szCs w:val="33"/>
        </w:rPr>
      </w:pPr>
      <w:r>
        <w:rPr>
          <w:rFonts w:hint="default" w:ascii="Times New Roman" w:hAnsi="Times New Roman" w:eastAsia="仿宋_GB2312" w:cs="Times New Roman"/>
          <w:sz w:val="32"/>
          <w:szCs w:val="32"/>
        </w:rPr>
        <w:drawing>
          <wp:anchor distT="0" distB="0" distL="114300" distR="114300" simplePos="0" relativeHeight="251659264" behindDoc="1" locked="0" layoutInCell="1" allowOverlap="1">
            <wp:simplePos x="0" y="0"/>
            <wp:positionH relativeFrom="column">
              <wp:posOffset>279400</wp:posOffset>
            </wp:positionH>
            <wp:positionV relativeFrom="paragraph">
              <wp:posOffset>1631315</wp:posOffset>
            </wp:positionV>
            <wp:extent cx="4356735" cy="2638425"/>
            <wp:effectExtent l="4445" t="4445" r="20320" b="5080"/>
            <wp:wrapThrough wrapText="bothSides">
              <wp:wrapPolygon>
                <wp:start x="-22" y="-36"/>
                <wp:lineTo x="-22" y="21486"/>
                <wp:lineTo x="21512" y="21486"/>
                <wp:lineTo x="21512" y="-36"/>
                <wp:lineTo x="-22" y="-36"/>
              </wp:wrapPolygon>
            </wp:wrapThrough>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default" w:ascii="Times New Roman" w:hAnsi="Times New Roman" w:eastAsia="仿宋_GB2312" w:cs="Times New Roman"/>
          <w:sz w:val="32"/>
          <w:szCs w:val="32"/>
        </w:rPr>
        <w:t>2021年度收入总计735.68万元、支出总计905.08万元。与2020年收入1011.81万元，支出2040.56万元相比，收入总计减少276.13万元、支出总计减少1135.48万元，收入下降27%，支出下降56%。主要变动原因是机构改革。</w:t>
      </w:r>
    </w:p>
    <w:p>
      <w:pPr>
        <w:pStyle w:val="6"/>
        <w:rPr>
          <w:rFonts w:hint="default" w:ascii="Times New Roman" w:hAnsi="Times New Roman" w:eastAsia="仿宋" w:cs="Times New Roman"/>
        </w:rPr>
      </w:pPr>
    </w:p>
    <w:p>
      <w:pPr>
        <w:pBdr>
          <w:top w:val="single" w:color="FFFFFF" w:sz="4" w:space="0"/>
          <w:left w:val="single" w:color="FFFFFF" w:sz="4" w:space="31"/>
          <w:bottom w:val="single" w:color="FFFFFF" w:sz="4" w:space="30"/>
          <w:right w:val="single" w:color="FFFFFF" w:sz="4" w:space="0"/>
        </w:pBdr>
        <w:spacing w:line="560" w:lineRule="exact"/>
        <w:ind w:firstLine="660" w:firstLineChars="200"/>
        <w:rPr>
          <w:rFonts w:hint="default" w:ascii="Times New Roman" w:hAnsi="Times New Roman" w:eastAsia="方正仿宋_GBK" w:cs="Times New Roman"/>
          <w:sz w:val="33"/>
          <w:szCs w:val="33"/>
        </w:rPr>
      </w:pPr>
    </w:p>
    <w:p>
      <w:pPr>
        <w:pBdr>
          <w:top w:val="single" w:color="FFFFFF" w:sz="4" w:space="0"/>
          <w:left w:val="single" w:color="FFFFFF" w:sz="4" w:space="31"/>
          <w:bottom w:val="single" w:color="FFFFFF" w:sz="4" w:space="30"/>
          <w:right w:val="single" w:color="FFFFFF" w:sz="4" w:space="0"/>
        </w:pBdr>
        <w:spacing w:line="560" w:lineRule="exact"/>
        <w:ind w:firstLine="1320" w:firstLineChars="400"/>
        <w:rPr>
          <w:rFonts w:hint="default" w:ascii="Times New Roman" w:hAnsi="Times New Roman" w:eastAsia="仿宋_GB2312" w:cs="Times New Roman"/>
          <w:sz w:val="32"/>
          <w:szCs w:val="32"/>
        </w:rPr>
      </w:pPr>
      <w:r>
        <w:rPr>
          <w:rFonts w:hint="default" w:ascii="Times New Roman" w:hAnsi="Times New Roman" w:eastAsia="方正仿宋_GBK" w:cs="Times New Roman"/>
          <w:sz w:val="33"/>
          <w:szCs w:val="33"/>
        </w:rPr>
        <w:t>图1收、支决算总计变动情况图</w:t>
      </w:r>
    </w:p>
    <w:p>
      <w:pPr>
        <w:pStyle w:val="25"/>
        <w:spacing w:line="600" w:lineRule="exact"/>
        <w:ind w:left="640" w:firstLine="0" w:firstLineChars="0"/>
        <w:outlineLvl w:val="1"/>
        <w:rPr>
          <w:rStyle w:val="27"/>
          <w:rFonts w:hint="default" w:ascii="Times New Roman" w:hAnsi="Times New Roman" w:eastAsia="黑体" w:cs="Times New Roman"/>
          <w:b w:val="0"/>
        </w:rPr>
      </w:pPr>
      <w:bookmarkStart w:id="20" w:name="_Toc15377206"/>
      <w:bookmarkStart w:id="21" w:name="_Toc15396604"/>
      <w:r>
        <w:rPr>
          <w:rFonts w:hint="default" w:ascii="Times New Roman" w:hAnsi="Times New Roman" w:eastAsia="黑体" w:cs="Times New Roman"/>
          <w:sz w:val="32"/>
          <w:szCs w:val="32"/>
        </w:rPr>
        <w:t>二、收</w:t>
      </w:r>
      <w:r>
        <w:rPr>
          <w:rStyle w:val="27"/>
          <w:rFonts w:hint="default" w:ascii="Times New Roman" w:hAnsi="Times New Roman" w:eastAsia="黑体" w:cs="Times New Roman"/>
          <w:b w:val="0"/>
        </w:rPr>
        <w:t>入决算情况说明</w:t>
      </w:r>
      <w:bookmarkEnd w:id="20"/>
      <w:bookmarkEnd w:id="21"/>
    </w:p>
    <w:p>
      <w:pPr>
        <w:pBdr>
          <w:top w:val="single" w:color="FFFFFF" w:sz="4" w:space="0"/>
          <w:left w:val="single" w:color="FFFFFF" w:sz="4" w:space="31"/>
          <w:bottom w:val="single" w:color="FFFFFF" w:sz="4" w:space="30"/>
          <w:right w:val="single" w:color="FFFFFF" w:sz="4" w:space="0"/>
        </w:pBd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本年收入合计735.68万元，其中：一般公共预算财政拨款收入365.92万元，占49.74%；政府性基金预算财政拨款收入0万元，占0%；国有资本经营预算财政拨款收入0万元，占0%；上级补助收入0万元，占0%；事业收入0万元，占0%；经营收入0万元，占0%；附属单位上缴收入0万元，占0%；其他收入369.76万元，占50.26%。</w:t>
      </w:r>
    </w:p>
    <w:p>
      <w:pPr>
        <w:pBdr>
          <w:top w:val="single" w:color="FFFFFF" w:sz="4" w:space="0"/>
          <w:left w:val="single" w:color="FFFFFF" w:sz="4" w:space="31"/>
          <w:bottom w:val="single" w:color="FFFFFF" w:sz="4" w:space="30"/>
          <w:right w:val="single" w:color="FFFFFF" w:sz="4" w:space="0"/>
        </w:pBdr>
        <w:spacing w:line="560" w:lineRule="exact"/>
        <w:ind w:firstLine="420" w:firstLineChars="200"/>
        <w:rPr>
          <w:rFonts w:hint="default" w:ascii="Times New Roman" w:hAnsi="Times New Roman" w:eastAsia="方正仿宋_GBK" w:cs="Times New Roman"/>
          <w:sz w:val="33"/>
          <w:szCs w:val="33"/>
        </w:rPr>
      </w:pPr>
      <w:r>
        <w:rPr>
          <w:rFonts w:hint="default" w:ascii="Times New Roman" w:hAnsi="Times New Roman" w:eastAsia="仿宋" w:cs="Times New Roman"/>
        </w:rPr>
        <w:drawing>
          <wp:anchor distT="0" distB="0" distL="114300" distR="114300" simplePos="0" relativeHeight="251660288" behindDoc="1" locked="0" layoutInCell="1" allowOverlap="1">
            <wp:simplePos x="0" y="0"/>
            <wp:positionH relativeFrom="column">
              <wp:posOffset>233680</wp:posOffset>
            </wp:positionH>
            <wp:positionV relativeFrom="paragraph">
              <wp:posOffset>290195</wp:posOffset>
            </wp:positionV>
            <wp:extent cx="4512310" cy="2304415"/>
            <wp:effectExtent l="5080" t="4445" r="16510" b="15240"/>
            <wp:wrapThrough wrapText="bothSides">
              <wp:wrapPolygon>
                <wp:start x="-24" y="-42"/>
                <wp:lineTo x="-24" y="21386"/>
                <wp:lineTo x="21497" y="21386"/>
                <wp:lineTo x="21497" y="-42"/>
                <wp:lineTo x="-24" y="-42"/>
              </wp:wrapPolygon>
            </wp:wrapThrough>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6"/>
        <w:ind w:firstLine="640"/>
        <w:rPr>
          <w:rFonts w:hint="default" w:ascii="Times New Roman" w:hAnsi="Times New Roman" w:eastAsia="仿宋_GB2312" w:cs="Times New Roman"/>
          <w:sz w:val="32"/>
          <w:szCs w:val="32"/>
        </w:rPr>
      </w:pPr>
    </w:p>
    <w:p>
      <w:pPr>
        <w:pStyle w:val="25"/>
        <w:spacing w:line="600" w:lineRule="exact"/>
        <w:ind w:left="640" w:firstLine="0" w:firstLineChars="0"/>
        <w:outlineLvl w:val="1"/>
        <w:rPr>
          <w:rFonts w:hint="default" w:ascii="Times New Roman" w:hAnsi="Times New Roman" w:eastAsia="黑体" w:cs="Times New Roman"/>
          <w:sz w:val="32"/>
          <w:szCs w:val="32"/>
        </w:rPr>
      </w:pPr>
      <w:bookmarkStart w:id="22" w:name="_Toc15396605"/>
      <w:bookmarkStart w:id="23" w:name="_Toc15377207"/>
    </w:p>
    <w:p>
      <w:pPr>
        <w:pStyle w:val="25"/>
        <w:spacing w:line="600" w:lineRule="exact"/>
        <w:ind w:firstLine="0" w:firstLineChars="0"/>
        <w:outlineLvl w:val="1"/>
        <w:rPr>
          <w:rFonts w:hint="default" w:ascii="Times New Roman" w:hAnsi="Times New Roman" w:eastAsia="方正仿宋_GBK" w:cs="Times New Roman"/>
          <w:sz w:val="33"/>
          <w:szCs w:val="33"/>
        </w:rPr>
      </w:pPr>
    </w:p>
    <w:p>
      <w:pPr>
        <w:pStyle w:val="25"/>
        <w:spacing w:line="600" w:lineRule="exact"/>
        <w:ind w:firstLine="0" w:firstLineChars="0"/>
        <w:outlineLvl w:val="1"/>
        <w:rPr>
          <w:rFonts w:hint="default" w:ascii="Times New Roman" w:hAnsi="Times New Roman" w:eastAsia="方正仿宋_GBK" w:cs="Times New Roman"/>
          <w:sz w:val="33"/>
          <w:szCs w:val="33"/>
        </w:rPr>
      </w:pPr>
    </w:p>
    <w:p>
      <w:pPr>
        <w:pStyle w:val="25"/>
        <w:spacing w:line="600" w:lineRule="exact"/>
        <w:ind w:firstLine="0" w:firstLineChars="0"/>
        <w:outlineLvl w:val="1"/>
        <w:rPr>
          <w:rFonts w:hint="default" w:ascii="Times New Roman" w:hAnsi="Times New Roman" w:eastAsia="方正仿宋_GBK" w:cs="Times New Roman"/>
          <w:sz w:val="33"/>
          <w:szCs w:val="33"/>
        </w:rPr>
      </w:pPr>
    </w:p>
    <w:p>
      <w:pPr>
        <w:pStyle w:val="25"/>
        <w:spacing w:line="600" w:lineRule="exact"/>
        <w:ind w:firstLine="1980" w:firstLineChars="600"/>
        <w:outlineLvl w:val="1"/>
        <w:rPr>
          <w:rFonts w:hint="default" w:ascii="Times New Roman" w:hAnsi="Times New Roman" w:eastAsia="方正仿宋_GBK" w:cs="Times New Roman"/>
          <w:sz w:val="33"/>
          <w:szCs w:val="33"/>
        </w:rPr>
      </w:pPr>
      <w:r>
        <w:rPr>
          <w:rFonts w:hint="default" w:ascii="Times New Roman" w:hAnsi="Times New Roman" w:eastAsia="方正仿宋_GBK" w:cs="Times New Roman"/>
          <w:sz w:val="33"/>
          <w:szCs w:val="33"/>
        </w:rPr>
        <w:t>图2收入决算结构图</w:t>
      </w:r>
    </w:p>
    <w:p>
      <w:pPr>
        <w:pStyle w:val="25"/>
        <w:spacing w:line="600" w:lineRule="exact"/>
        <w:ind w:left="640" w:firstLine="0" w:firstLineChars="0"/>
        <w:outlineLvl w:val="1"/>
        <w:rPr>
          <w:rStyle w:val="27"/>
          <w:rFonts w:hint="default" w:ascii="Times New Roman" w:hAnsi="Times New Roman" w:eastAsia="黑体" w:cs="Times New Roman"/>
          <w:b w:val="0"/>
        </w:rPr>
      </w:pPr>
      <w:r>
        <w:rPr>
          <w:rFonts w:hint="default" w:ascii="Times New Roman" w:hAnsi="Times New Roman" w:eastAsia="黑体" w:cs="Times New Roman"/>
          <w:sz w:val="32"/>
          <w:szCs w:val="32"/>
        </w:rPr>
        <w:t>三、支</w:t>
      </w:r>
      <w:r>
        <w:rPr>
          <w:rStyle w:val="27"/>
          <w:rFonts w:hint="default" w:ascii="Times New Roman" w:hAnsi="Times New Roman" w:eastAsia="黑体" w:cs="Times New Roman"/>
          <w:b w:val="0"/>
        </w:rPr>
        <w:t>出决算情况说明</w:t>
      </w:r>
      <w:bookmarkEnd w:id="22"/>
      <w:bookmarkEnd w:id="23"/>
    </w:p>
    <w:p>
      <w:pPr>
        <w:pBdr>
          <w:top w:val="single" w:color="FFFFFF" w:sz="4" w:space="0"/>
          <w:left w:val="single" w:color="FFFFFF" w:sz="4" w:space="31"/>
          <w:bottom w:val="single" w:color="FFFFFF" w:sz="4" w:space="30"/>
          <w:right w:val="single" w:color="FFFFFF" w:sz="4" w:space="0"/>
        </w:pBd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drawing>
          <wp:anchor distT="0" distB="0" distL="114300" distR="114300" simplePos="0" relativeHeight="251661312" behindDoc="1" locked="0" layoutInCell="1" allowOverlap="1">
            <wp:simplePos x="0" y="0"/>
            <wp:positionH relativeFrom="column">
              <wp:posOffset>-3175</wp:posOffset>
            </wp:positionH>
            <wp:positionV relativeFrom="paragraph">
              <wp:posOffset>1631315</wp:posOffset>
            </wp:positionV>
            <wp:extent cx="4849495" cy="2090420"/>
            <wp:effectExtent l="4445" t="4445" r="22860" b="19685"/>
            <wp:wrapThrough wrapText="bothSides">
              <wp:wrapPolygon>
                <wp:start x="-20" y="-46"/>
                <wp:lineTo x="-20" y="21410"/>
                <wp:lineTo x="21532" y="21410"/>
                <wp:lineTo x="21532" y="-46"/>
                <wp:lineTo x="-20" y="-46"/>
              </wp:wrapPolygon>
            </wp:wrapThrough>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default" w:ascii="Times New Roman" w:hAnsi="Times New Roman" w:eastAsia="仿宋_GB2312" w:cs="Times New Roman"/>
          <w:sz w:val="32"/>
          <w:szCs w:val="32"/>
        </w:rPr>
        <w:t>2021年本年支出合计905.08万元，其中：基本支出416.34万元，占46%；项目支出488.75万元，占54%；上缴上级支出0万元，占0%；经营支出0万元，占0%；对附属单位补助支出0万元，占0%。</w:t>
      </w:r>
    </w:p>
    <w:p>
      <w:pPr>
        <w:pStyle w:val="6"/>
        <w:ind w:firstLine="0" w:firstLineChars="0"/>
        <w:rPr>
          <w:rFonts w:hint="default" w:ascii="Times New Roman" w:hAnsi="Times New Roman" w:eastAsia="仿宋_GB2312" w:cs="Times New Roman"/>
          <w:sz w:val="32"/>
          <w:szCs w:val="32"/>
        </w:rPr>
      </w:pPr>
    </w:p>
    <w:p>
      <w:pPr>
        <w:spacing w:line="600" w:lineRule="exact"/>
        <w:ind w:firstLine="640" w:firstLineChars="200"/>
        <w:rPr>
          <w:rFonts w:hint="default" w:ascii="Times New Roman" w:hAnsi="Times New Roman" w:eastAsia="仿宋" w:cs="Times New Roman"/>
          <w:sz w:val="32"/>
          <w:szCs w:val="32"/>
        </w:rPr>
      </w:pPr>
      <w:bookmarkStart w:id="24" w:name="_Toc15377208"/>
      <w:bookmarkStart w:id="25" w:name="_Toc15396606"/>
    </w:p>
    <w:p>
      <w:pPr>
        <w:spacing w:line="600" w:lineRule="exact"/>
        <w:ind w:firstLine="640" w:firstLineChars="200"/>
        <w:rPr>
          <w:rFonts w:hint="default" w:ascii="Times New Roman" w:hAnsi="Times New Roman" w:eastAsia="仿宋" w:cs="Times New Roman"/>
          <w:sz w:val="32"/>
          <w:szCs w:val="32"/>
        </w:rPr>
      </w:pPr>
    </w:p>
    <w:p>
      <w:pPr>
        <w:spacing w:line="600" w:lineRule="exact"/>
        <w:ind w:firstLine="640" w:firstLineChars="200"/>
        <w:rPr>
          <w:rFonts w:hint="default" w:ascii="Times New Roman" w:hAnsi="Times New Roman" w:eastAsia="仿宋" w:cs="Times New Roman"/>
          <w:sz w:val="32"/>
          <w:szCs w:val="32"/>
        </w:rPr>
      </w:pPr>
    </w:p>
    <w:p>
      <w:pPr>
        <w:spacing w:line="600" w:lineRule="exact"/>
        <w:ind w:firstLine="640" w:firstLineChars="200"/>
        <w:rPr>
          <w:rFonts w:hint="default" w:ascii="Times New Roman" w:hAnsi="Times New Roman" w:eastAsia="仿宋" w:cs="Times New Roman"/>
          <w:sz w:val="32"/>
          <w:szCs w:val="32"/>
        </w:rPr>
      </w:pPr>
    </w:p>
    <w:p>
      <w:pPr>
        <w:spacing w:line="600" w:lineRule="exact"/>
        <w:ind w:firstLine="1280" w:firstLineChars="4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图3支出决算结构图</w:t>
      </w:r>
    </w:p>
    <w:p>
      <w:pPr>
        <w:spacing w:line="600" w:lineRule="exact"/>
        <w:ind w:firstLine="640" w:firstLineChars="200"/>
        <w:outlineLvl w:val="1"/>
        <w:rPr>
          <w:rStyle w:val="27"/>
          <w:rFonts w:hint="default" w:ascii="Times New Roman" w:hAnsi="Times New Roman" w:eastAsia="黑体" w:cs="Times New Roman"/>
          <w:b w:val="0"/>
        </w:rPr>
      </w:pPr>
      <w:r>
        <w:rPr>
          <w:rFonts w:hint="default" w:ascii="Times New Roman" w:hAnsi="Times New Roman" w:eastAsia="黑体" w:cs="Times New Roman"/>
          <w:sz w:val="32"/>
          <w:szCs w:val="32"/>
        </w:rPr>
        <w:t>四、财</w:t>
      </w:r>
      <w:r>
        <w:rPr>
          <w:rStyle w:val="27"/>
          <w:rFonts w:hint="default" w:ascii="Times New Roman" w:hAnsi="Times New Roman" w:eastAsia="黑体" w:cs="Times New Roman"/>
          <w:b w:val="0"/>
        </w:rPr>
        <w:t>政拨款收入支出决算总体情况说明</w:t>
      </w:r>
      <w:bookmarkEnd w:id="24"/>
      <w:bookmarkEnd w:id="25"/>
    </w:p>
    <w:p>
      <w:pPr>
        <w:pBdr>
          <w:top w:val="single" w:color="FFFFFF" w:sz="4" w:space="0"/>
          <w:left w:val="single" w:color="FFFFFF" w:sz="4" w:space="31"/>
          <w:bottom w:val="single" w:color="FFFFFF" w:sz="4" w:space="30"/>
          <w:right w:val="single" w:color="FFFFFF" w:sz="4" w:space="0"/>
        </w:pBd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2021年财政拨款收入总计735.68万元、支出总计905.08万元。与2020年收入1011.81万元，支出2040.56万元相比，收入总计减少276.13万元、支出总计减少1135.48万元，收入下降27%，支出下降56%。主要变动原因是机构改革。</w:t>
      </w:r>
    </w:p>
    <w:p>
      <w:pPr>
        <w:pStyle w:val="6"/>
        <w:ind w:firstLine="0" w:firstLineChars="0"/>
        <w:rPr>
          <w:rFonts w:hint="default" w:ascii="Times New Roman" w:hAnsi="Times New Roman" w:eastAsia="仿宋" w:cs="Times New Roman"/>
          <w:b/>
          <w:sz w:val="32"/>
          <w:szCs w:val="32"/>
        </w:rPr>
      </w:pPr>
      <w:r>
        <w:rPr>
          <w:rFonts w:hint="default" w:ascii="Times New Roman" w:hAnsi="Times New Roman" w:eastAsia="仿宋" w:cs="Times New Roman"/>
        </w:rPr>
        <w:drawing>
          <wp:inline distT="0" distB="0" distL="114300" distR="114300">
            <wp:extent cx="4424045" cy="2268220"/>
            <wp:effectExtent l="4445" t="4445" r="10160" b="1333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Bdr>
          <w:top w:val="single" w:color="FFFFFF" w:sz="4" w:space="0"/>
          <w:left w:val="single" w:color="FFFFFF" w:sz="4" w:space="31"/>
          <w:bottom w:val="single" w:color="FFFFFF" w:sz="4" w:space="30"/>
          <w:right w:val="single" w:color="FFFFFF" w:sz="4" w:space="0"/>
        </w:pBdr>
        <w:spacing w:line="560" w:lineRule="exact"/>
        <w:ind w:firstLine="660" w:firstLineChars="200"/>
        <w:rPr>
          <w:rFonts w:hint="default" w:ascii="Times New Roman" w:hAnsi="Times New Roman" w:eastAsia="方正仿宋_GBK" w:cs="Times New Roman"/>
          <w:sz w:val="33"/>
          <w:szCs w:val="33"/>
        </w:rPr>
      </w:pPr>
      <w:bookmarkStart w:id="26" w:name="_Toc15396607"/>
      <w:bookmarkStart w:id="27" w:name="_Toc15377209"/>
      <w:r>
        <w:rPr>
          <w:rFonts w:hint="default" w:ascii="Times New Roman" w:hAnsi="Times New Roman" w:eastAsia="方正仿宋_GBK" w:cs="Times New Roman"/>
          <w:sz w:val="33"/>
          <w:szCs w:val="33"/>
        </w:rPr>
        <w:t>图4财政拨款收、支决算总计变动情况</w:t>
      </w:r>
    </w:p>
    <w:p>
      <w:pPr>
        <w:pBdr>
          <w:top w:val="single" w:color="FFFFFF" w:sz="4" w:space="0"/>
          <w:left w:val="single" w:color="FFFFFF" w:sz="4" w:space="31"/>
          <w:bottom w:val="single" w:color="FFFFFF" w:sz="4" w:space="30"/>
          <w:right w:val="single" w:color="FFFFFF" w:sz="4" w:space="0"/>
        </w:pBdr>
        <w:spacing w:line="560" w:lineRule="exact"/>
        <w:ind w:firstLine="640" w:firstLineChars="200"/>
        <w:rPr>
          <w:rStyle w:val="27"/>
          <w:rFonts w:hint="default" w:ascii="Times New Roman" w:hAnsi="Times New Roman" w:eastAsia="黑体" w:cs="Times New Roman"/>
          <w:b w:val="0"/>
        </w:rPr>
      </w:pPr>
      <w:r>
        <w:rPr>
          <w:rFonts w:hint="default" w:ascii="Times New Roman" w:hAnsi="Times New Roman" w:eastAsia="黑体" w:cs="Times New Roman"/>
          <w:sz w:val="32"/>
          <w:szCs w:val="32"/>
        </w:rPr>
        <w:t>五、</w:t>
      </w:r>
      <w:r>
        <w:rPr>
          <w:rFonts w:hint="default" w:ascii="Times New Roman" w:hAnsi="Times New Roman" w:eastAsia="黑体" w:cs="Times New Roman"/>
          <w:b/>
          <w:sz w:val="32"/>
          <w:szCs w:val="32"/>
        </w:rPr>
        <w:t>一</w:t>
      </w:r>
      <w:r>
        <w:rPr>
          <w:rStyle w:val="27"/>
          <w:rFonts w:hint="default" w:ascii="Times New Roman" w:hAnsi="Times New Roman" w:eastAsia="黑体" w:cs="Times New Roman"/>
          <w:b w:val="0"/>
        </w:rPr>
        <w:t>般公共预算财政拨款支出决算情况说明</w:t>
      </w:r>
      <w:bookmarkEnd w:id="26"/>
      <w:bookmarkEnd w:id="27"/>
      <w:bookmarkStart w:id="28" w:name="_Toc15377210"/>
    </w:p>
    <w:p>
      <w:pPr>
        <w:pBdr>
          <w:top w:val="single" w:color="FFFFFF" w:sz="4" w:space="0"/>
          <w:left w:val="single" w:color="FFFFFF" w:sz="4" w:space="31"/>
          <w:bottom w:val="single" w:color="FFFFFF" w:sz="4" w:space="30"/>
          <w:right w:val="single" w:color="FFFFFF" w:sz="4" w:space="0"/>
        </w:pBdr>
        <w:spacing w:line="56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（一）一般公共预算财政拨款支出决算总体情况</w:t>
      </w:r>
      <w:bookmarkEnd w:id="28"/>
    </w:p>
    <w:p>
      <w:pPr>
        <w:pBdr>
          <w:top w:val="single" w:color="FFFFFF" w:sz="4" w:space="0"/>
          <w:left w:val="single" w:color="FFFFFF" w:sz="4" w:space="31"/>
          <w:bottom w:val="single" w:color="FFFFFF" w:sz="4" w:space="30"/>
          <w:right w:val="single" w:color="FFFFFF" w:sz="4" w:space="0"/>
        </w:pBd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drawing>
          <wp:anchor distT="0" distB="0" distL="114300" distR="114300" simplePos="0" relativeHeight="251662336" behindDoc="1" locked="0" layoutInCell="1" allowOverlap="1">
            <wp:simplePos x="0" y="0"/>
            <wp:positionH relativeFrom="column">
              <wp:posOffset>234950</wp:posOffset>
            </wp:positionH>
            <wp:positionV relativeFrom="paragraph">
              <wp:posOffset>1629410</wp:posOffset>
            </wp:positionV>
            <wp:extent cx="4680585" cy="2358390"/>
            <wp:effectExtent l="4445" t="4445" r="20320" b="18415"/>
            <wp:wrapThrough wrapText="bothSides">
              <wp:wrapPolygon>
                <wp:start x="-21" y="-41"/>
                <wp:lineTo x="-21" y="21420"/>
                <wp:lineTo x="21518" y="21420"/>
                <wp:lineTo x="21518" y="-41"/>
                <wp:lineTo x="-21" y="-41"/>
              </wp:wrapPolygon>
            </wp:wrapThrough>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default" w:ascii="Times New Roman" w:hAnsi="Times New Roman" w:eastAsia="仿宋_GB2312" w:cs="Times New Roman"/>
          <w:sz w:val="32"/>
          <w:szCs w:val="32"/>
        </w:rPr>
        <w:t>2021年一般公共预算财政拨款支出365.92万元，占本年支出合计的100%。与2020年2026.56万元相比，一般公共预算财政拨款支出减少1660.64万元，下降81.84%。主要变动原因是机构改革。</w:t>
      </w:r>
    </w:p>
    <w:p>
      <w:pPr>
        <w:pStyle w:val="6"/>
        <w:ind w:firstLine="0" w:firstLineChars="0"/>
        <w:rPr>
          <w:rFonts w:hint="default" w:ascii="Times New Roman" w:hAnsi="Times New Roman" w:eastAsia="仿宋" w:cs="Times New Roman"/>
          <w:sz w:val="32"/>
          <w:szCs w:val="32"/>
        </w:rPr>
      </w:pPr>
    </w:p>
    <w:p>
      <w:pPr>
        <w:pBdr>
          <w:top w:val="single" w:color="FFFFFF" w:sz="4" w:space="0"/>
          <w:left w:val="single" w:color="FFFFFF" w:sz="4" w:space="31"/>
          <w:bottom w:val="single" w:color="FFFFFF" w:sz="4" w:space="30"/>
          <w:right w:val="single" w:color="FFFFFF" w:sz="4" w:space="0"/>
        </w:pBdr>
        <w:spacing w:line="560" w:lineRule="exact"/>
        <w:ind w:firstLine="660" w:firstLineChars="200"/>
        <w:rPr>
          <w:rFonts w:hint="default" w:ascii="Times New Roman" w:hAnsi="Times New Roman" w:eastAsia="方正仿宋_GBK" w:cs="Times New Roman"/>
          <w:sz w:val="33"/>
          <w:szCs w:val="33"/>
        </w:rPr>
      </w:pPr>
      <w:bookmarkStart w:id="29" w:name="_Toc15377211"/>
    </w:p>
    <w:p>
      <w:pPr>
        <w:pBdr>
          <w:top w:val="single" w:color="FFFFFF" w:sz="4" w:space="0"/>
          <w:left w:val="single" w:color="FFFFFF" w:sz="4" w:space="31"/>
          <w:bottom w:val="single" w:color="FFFFFF" w:sz="4" w:space="30"/>
          <w:right w:val="single" w:color="FFFFFF" w:sz="4" w:space="0"/>
        </w:pBdr>
        <w:spacing w:line="560" w:lineRule="exact"/>
        <w:ind w:firstLine="660" w:firstLineChars="200"/>
        <w:rPr>
          <w:rFonts w:hint="default" w:ascii="Times New Roman" w:hAnsi="Times New Roman" w:eastAsia="方正仿宋_GBK" w:cs="Times New Roman"/>
          <w:sz w:val="33"/>
          <w:szCs w:val="33"/>
        </w:rPr>
      </w:pPr>
    </w:p>
    <w:p>
      <w:pPr>
        <w:pBdr>
          <w:top w:val="single" w:color="FFFFFF" w:sz="4" w:space="0"/>
          <w:left w:val="single" w:color="FFFFFF" w:sz="4" w:space="31"/>
          <w:bottom w:val="single" w:color="FFFFFF" w:sz="4" w:space="30"/>
          <w:right w:val="single" w:color="FFFFFF" w:sz="4" w:space="0"/>
        </w:pBdr>
        <w:spacing w:line="560" w:lineRule="exact"/>
        <w:ind w:firstLine="660" w:firstLineChars="200"/>
        <w:rPr>
          <w:rFonts w:hint="default" w:ascii="Times New Roman" w:hAnsi="Times New Roman" w:eastAsia="方正仿宋_GBK" w:cs="Times New Roman"/>
          <w:sz w:val="33"/>
          <w:szCs w:val="33"/>
        </w:rPr>
      </w:pPr>
    </w:p>
    <w:p>
      <w:pPr>
        <w:pBdr>
          <w:top w:val="single" w:color="FFFFFF" w:sz="4" w:space="0"/>
          <w:left w:val="single" w:color="FFFFFF" w:sz="4" w:space="31"/>
          <w:bottom w:val="single" w:color="FFFFFF" w:sz="4" w:space="30"/>
          <w:right w:val="single" w:color="FFFFFF" w:sz="4" w:space="0"/>
        </w:pBdr>
        <w:spacing w:line="560" w:lineRule="exact"/>
        <w:ind w:firstLine="660" w:firstLineChars="200"/>
        <w:rPr>
          <w:rFonts w:hint="default" w:ascii="Times New Roman" w:hAnsi="Times New Roman" w:eastAsia="方正仿宋_GBK" w:cs="Times New Roman"/>
          <w:sz w:val="33"/>
          <w:szCs w:val="33"/>
        </w:rPr>
      </w:pPr>
      <w:r>
        <w:rPr>
          <w:rFonts w:hint="default" w:ascii="Times New Roman" w:hAnsi="Times New Roman" w:eastAsia="方正仿宋_GBK" w:cs="Times New Roman"/>
          <w:sz w:val="33"/>
          <w:szCs w:val="33"/>
        </w:rPr>
        <w:t>图5：一般公共预算财政拨款支出决算变动情况</w:t>
      </w:r>
    </w:p>
    <w:p>
      <w:pPr>
        <w:pBdr>
          <w:top w:val="single" w:color="FFFFFF" w:sz="4" w:space="0"/>
          <w:left w:val="single" w:color="FFFFFF" w:sz="4" w:space="31"/>
          <w:bottom w:val="single" w:color="FFFFFF" w:sz="4" w:space="30"/>
          <w:right w:val="single" w:color="FFFFFF" w:sz="4" w:space="0"/>
        </w:pBdr>
        <w:spacing w:line="56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（二）一般公共预算财政拨款支出决算结构情况</w:t>
      </w:r>
      <w:bookmarkEnd w:id="29"/>
    </w:p>
    <w:p>
      <w:pPr>
        <w:pBdr>
          <w:top w:val="single" w:color="FFFFFF" w:sz="4" w:space="0"/>
          <w:left w:val="single" w:color="FFFFFF" w:sz="4" w:space="31"/>
          <w:bottom w:val="single" w:color="FFFFFF" w:sz="4" w:space="30"/>
          <w:right w:val="single" w:color="FFFFFF" w:sz="4" w:space="0"/>
        </w:pBd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一般公共预算财政拨款支出905.08万元，主要用于以下方面:社会保障和就业（类）支出32.3万元，占3.57%；卫生健康支出1.23万元，占0.1%；住房保障支出30万元，占3.3%；节能环保支出820.75万元，占90.68%；城乡社区支出20.81万元，占2.35%。</w:t>
      </w:r>
    </w:p>
    <w:p>
      <w:pPr>
        <w:pStyle w:val="6"/>
        <w:rPr>
          <w:rFonts w:hint="default" w:ascii="Times New Roman" w:hAnsi="Times New Roman" w:eastAsia="仿宋" w:cs="Times New Roman"/>
          <w:b/>
          <w:sz w:val="32"/>
          <w:szCs w:val="32"/>
        </w:rPr>
      </w:pPr>
      <w:bookmarkStart w:id="30" w:name="_Toc15377212"/>
      <w:r>
        <w:rPr>
          <w:rFonts w:hint="default" w:ascii="Times New Roman" w:hAnsi="Times New Roman" w:eastAsia="仿宋" w:cs="Times New Roman"/>
        </w:rPr>
        <w:drawing>
          <wp:inline distT="0" distB="0" distL="114300" distR="114300">
            <wp:extent cx="4534535" cy="1884045"/>
            <wp:effectExtent l="4445" t="4445" r="13970" b="1651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Bdr>
          <w:top w:val="single" w:color="FFFFFF" w:sz="4" w:space="0"/>
          <w:left w:val="single" w:color="FFFFFF" w:sz="4" w:space="31"/>
          <w:bottom w:val="single" w:color="FFFFFF" w:sz="4" w:space="30"/>
          <w:right w:val="single" w:color="FFFFFF" w:sz="4" w:space="0"/>
        </w:pBdr>
        <w:spacing w:line="560" w:lineRule="exact"/>
        <w:ind w:firstLine="660" w:firstLineChars="200"/>
        <w:rPr>
          <w:rFonts w:hint="default" w:ascii="Times New Roman" w:hAnsi="Times New Roman" w:eastAsia="方正仿宋_GBK" w:cs="Times New Roman"/>
          <w:sz w:val="33"/>
          <w:szCs w:val="33"/>
        </w:rPr>
      </w:pPr>
      <w:r>
        <w:rPr>
          <w:rFonts w:hint="default" w:ascii="Times New Roman" w:hAnsi="Times New Roman" w:eastAsia="方正仿宋_GBK" w:cs="Times New Roman"/>
          <w:sz w:val="33"/>
          <w:szCs w:val="33"/>
        </w:rPr>
        <w:t>图6：一般公共预算财政拨款支出决算结构</w:t>
      </w:r>
    </w:p>
    <w:p>
      <w:pPr>
        <w:pBdr>
          <w:top w:val="single" w:color="FFFFFF" w:sz="4" w:space="0"/>
          <w:left w:val="single" w:color="FFFFFF" w:sz="4" w:space="31"/>
          <w:bottom w:val="single" w:color="FFFFFF" w:sz="4" w:space="30"/>
          <w:right w:val="single" w:color="FFFFFF" w:sz="4" w:space="0"/>
        </w:pBdr>
        <w:spacing w:line="56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（三）一般公共预算财政拨款支出决算具体情况</w:t>
      </w:r>
      <w:bookmarkEnd w:id="30"/>
    </w:p>
    <w:p>
      <w:pPr>
        <w:pBdr>
          <w:top w:val="single" w:color="FFFFFF" w:sz="4" w:space="0"/>
          <w:left w:val="single" w:color="FFFFFF" w:sz="4" w:space="31"/>
          <w:bottom w:val="single" w:color="FFFFFF" w:sz="4" w:space="30"/>
          <w:right w:val="single" w:color="FFFFFF" w:sz="4" w:space="0"/>
        </w:pBdr>
        <w:spacing w:line="560" w:lineRule="exact"/>
        <w:ind w:firstLine="640" w:firstLineChars="200"/>
        <w:rPr>
          <w:rFonts w:hint="default" w:ascii="Times New Roman" w:hAnsi="Times New Roman" w:eastAsia="仿宋_GB2312" w:cs="Times New Roman"/>
          <w:sz w:val="32"/>
          <w:szCs w:val="32"/>
        </w:rPr>
      </w:pPr>
      <w:bookmarkStart w:id="31" w:name="_Toc15377444"/>
      <w:bookmarkStart w:id="32" w:name="_Toc15378460"/>
      <w:bookmarkStart w:id="33" w:name="_Toc15377213"/>
      <w:r>
        <w:rPr>
          <w:rFonts w:hint="default" w:ascii="Times New Roman" w:hAnsi="Times New Roman" w:eastAsia="仿宋_GB2312" w:cs="Times New Roman"/>
          <w:sz w:val="32"/>
          <w:szCs w:val="32"/>
        </w:rPr>
        <w:t>2021年一般公共预算支出决算数为365.92万元，完成预算100%。其中：</w:t>
      </w:r>
      <w:bookmarkEnd w:id="31"/>
      <w:bookmarkEnd w:id="32"/>
      <w:bookmarkEnd w:id="33"/>
    </w:p>
    <w:p>
      <w:pPr>
        <w:pBdr>
          <w:top w:val="single" w:color="FFFFFF" w:sz="4" w:space="0"/>
          <w:left w:val="single" w:color="FFFFFF" w:sz="4" w:space="31"/>
          <w:bottom w:val="single" w:color="FFFFFF" w:sz="4" w:space="30"/>
          <w:right w:val="single" w:color="FFFFFF" w:sz="4" w:space="0"/>
        </w:pBd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1.社会保障和就业（类）20805（款）2080505（项）: 支出决算为26.61万元，完成预算100%，决算与预算数持平。</w:t>
      </w:r>
    </w:p>
    <w:p>
      <w:pPr>
        <w:pBdr>
          <w:top w:val="single" w:color="FFFFFF" w:sz="4" w:space="0"/>
          <w:left w:val="single" w:color="FFFFFF" w:sz="4" w:space="31"/>
          <w:bottom w:val="single" w:color="FFFFFF" w:sz="4" w:space="30"/>
          <w:right w:val="single" w:color="FFFFFF" w:sz="4" w:space="0"/>
        </w:pBd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2.节能环保支出（类）21101（款）2110101（项）: 支出决算为230.29万元，完成预算100%。节能环保支出（类）21103（款）2110399（项）: 支出决算为81.54万元，完成预算100%，决算与预算数持平。</w:t>
      </w:r>
    </w:p>
    <w:p>
      <w:pPr>
        <w:pBdr>
          <w:top w:val="single" w:color="FFFFFF" w:sz="4" w:space="0"/>
          <w:left w:val="single" w:color="FFFFFF" w:sz="4" w:space="31"/>
          <w:bottom w:val="single" w:color="FFFFFF" w:sz="4" w:space="30"/>
          <w:right w:val="single" w:color="FFFFFF" w:sz="4" w:space="0"/>
        </w:pBdr>
        <w:spacing w:line="560" w:lineRule="exact"/>
        <w:ind w:firstLine="640" w:firstLineChars="200"/>
        <w:rPr>
          <w:rFonts w:hint="default" w:ascii="Times New Roman" w:hAnsi="Times New Roman" w:eastAsia="方正仿宋_GBK" w:cs="Times New Roman"/>
          <w:sz w:val="33"/>
          <w:szCs w:val="33"/>
        </w:rPr>
      </w:pPr>
      <w:r>
        <w:rPr>
          <w:rFonts w:hint="default" w:ascii="Times New Roman" w:hAnsi="Times New Roman" w:eastAsia="仿宋_GB2312" w:cs="Times New Roman"/>
          <w:sz w:val="32"/>
          <w:szCs w:val="32"/>
        </w:rPr>
        <w:t>3.住房保障支出（类）22102（款）2210201（项）: 支出决算为27.48万元，完成预算100%，决算与预算数持平。</w:t>
      </w:r>
      <w:bookmarkStart w:id="34" w:name="_Toc15377214"/>
      <w:bookmarkStart w:id="35" w:name="_Toc15396608"/>
    </w:p>
    <w:p>
      <w:pPr>
        <w:pBdr>
          <w:top w:val="single" w:color="FFFFFF" w:sz="4" w:space="0"/>
          <w:left w:val="single" w:color="FFFFFF" w:sz="4" w:space="31"/>
          <w:bottom w:val="single" w:color="FFFFFF" w:sz="4" w:space="30"/>
          <w:right w:val="single" w:color="FFFFFF" w:sz="4" w:space="0"/>
        </w:pBdr>
        <w:spacing w:line="560" w:lineRule="exact"/>
        <w:ind w:firstLine="640" w:firstLineChars="200"/>
        <w:rPr>
          <w:rStyle w:val="27"/>
          <w:rFonts w:hint="default" w:ascii="Times New Roman" w:hAnsi="Times New Roman" w:cs="Times New Roman"/>
        </w:rPr>
      </w:pPr>
      <w:r>
        <w:rPr>
          <w:rFonts w:hint="default" w:ascii="Times New Roman" w:hAnsi="Times New Roman" w:eastAsia="黑体" w:cs="Times New Roman"/>
          <w:sz w:val="32"/>
          <w:szCs w:val="32"/>
        </w:rPr>
        <w:t>六</w:t>
      </w:r>
      <w:r>
        <w:rPr>
          <w:rFonts w:hint="default" w:ascii="Times New Roman" w:hAnsi="Times New Roman" w:eastAsia="黑体" w:cs="Times New Roman"/>
          <w:b/>
          <w:sz w:val="32"/>
          <w:szCs w:val="32"/>
        </w:rPr>
        <w:t>、一</w:t>
      </w:r>
      <w:r>
        <w:rPr>
          <w:rStyle w:val="27"/>
          <w:rFonts w:hint="default" w:ascii="Times New Roman" w:hAnsi="Times New Roman" w:eastAsia="黑体" w:cs="Times New Roman"/>
          <w:b w:val="0"/>
        </w:rPr>
        <w:t>般公共预算财政拨款基本支出决算情况说明</w:t>
      </w:r>
      <w:bookmarkEnd w:id="34"/>
      <w:bookmarkEnd w:id="35"/>
      <w:r>
        <w:rPr>
          <w:rStyle w:val="27"/>
          <w:rFonts w:hint="default" w:ascii="Times New Roman" w:hAnsi="Times New Roman" w:eastAsia="黑体" w:cs="Times New Roman"/>
          <w:b w:val="0"/>
        </w:rPr>
        <w:tab/>
      </w:r>
    </w:p>
    <w:p>
      <w:pPr>
        <w:pBdr>
          <w:top w:val="single" w:color="FFFFFF" w:sz="4" w:space="0"/>
          <w:left w:val="single" w:color="FFFFFF" w:sz="4" w:space="31"/>
          <w:bottom w:val="single" w:color="FFFFFF" w:sz="4" w:space="30"/>
          <w:right w:val="single" w:color="FFFFFF" w:sz="4" w:space="0"/>
        </w:pBd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2021年一般公共预算财政拨款基本支出</w:t>
      </w:r>
      <w:r>
        <w:rPr>
          <w:rFonts w:hint="eastAsia" w:eastAsia="仿宋_GB2312" w:cs="Times New Roman"/>
          <w:sz w:val="32"/>
          <w:szCs w:val="32"/>
          <w:lang w:val="en-US" w:eastAsia="zh-CN"/>
        </w:rPr>
        <w:t>284.38</w:t>
      </w:r>
      <w:r>
        <w:rPr>
          <w:rFonts w:hint="default" w:ascii="Times New Roman" w:hAnsi="Times New Roman" w:eastAsia="仿宋_GB2312" w:cs="Times New Roman"/>
          <w:sz w:val="32"/>
          <w:szCs w:val="32"/>
        </w:rPr>
        <w:t>万元，其中：</w:t>
      </w:r>
    </w:p>
    <w:p>
      <w:pPr>
        <w:pBdr>
          <w:top w:val="single" w:color="FFFFFF" w:sz="4" w:space="0"/>
          <w:left w:val="single" w:color="FFFFFF" w:sz="4" w:space="31"/>
          <w:bottom w:val="single" w:color="FFFFFF" w:sz="4" w:space="30"/>
          <w:right w:val="single" w:color="FFFFFF" w:sz="4" w:space="0"/>
        </w:pBd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人员经费233.19万元，主要包括：基本工资、津贴补贴、奖金、伙食补助费、绩效工资、机关事业单位基本养老保险缴费、职业年金缴费、其他社会保障缴费、</w:t>
      </w:r>
      <w:bookmarkStart w:id="67" w:name="_GoBack"/>
      <w:bookmarkEnd w:id="67"/>
      <w:r>
        <w:rPr>
          <w:rFonts w:hint="default" w:ascii="Times New Roman" w:hAnsi="Times New Roman" w:eastAsia="仿宋_GB2312" w:cs="Times New Roman"/>
          <w:sz w:val="32"/>
          <w:szCs w:val="32"/>
        </w:rPr>
        <w:t>其他工资福利支出、离休费、退休费、抚恤金、生活补助、医疗费补助、奖励金、住房公积金、其他对个人和家庭的补助支出等。</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公用经费51.19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bookmarkStart w:id="36" w:name="_Toc15377215"/>
      <w:bookmarkStart w:id="37" w:name="_Toc15396609"/>
    </w:p>
    <w:p>
      <w:pPr>
        <w:pBdr>
          <w:top w:val="single" w:color="FFFFFF" w:sz="4" w:space="0"/>
          <w:left w:val="single" w:color="FFFFFF" w:sz="4" w:space="31"/>
          <w:bottom w:val="single" w:color="FFFFFF" w:sz="4" w:space="30"/>
          <w:right w:val="single" w:color="FFFFFF" w:sz="4" w:space="0"/>
        </w:pBdr>
        <w:spacing w:line="560" w:lineRule="exact"/>
        <w:ind w:firstLine="640" w:firstLineChars="200"/>
        <w:rPr>
          <w:rStyle w:val="27"/>
          <w:rFonts w:hint="default" w:ascii="Times New Roman" w:hAnsi="Times New Roman" w:eastAsia="黑体" w:cs="Times New Roman"/>
          <w:b w:val="0"/>
        </w:rPr>
      </w:pPr>
      <w:r>
        <w:rPr>
          <w:rFonts w:hint="default" w:ascii="Times New Roman" w:hAnsi="Times New Roman" w:eastAsia="黑体" w:cs="Times New Roman"/>
          <w:sz w:val="32"/>
          <w:szCs w:val="32"/>
        </w:rPr>
        <w:t>七、</w:t>
      </w:r>
      <w:r>
        <w:rPr>
          <w:rStyle w:val="27"/>
          <w:rFonts w:hint="default" w:ascii="Times New Roman" w:hAnsi="Times New Roman" w:eastAsia="黑体" w:cs="Times New Roman"/>
        </w:rPr>
        <w:t>“</w:t>
      </w:r>
      <w:r>
        <w:rPr>
          <w:rStyle w:val="27"/>
          <w:rFonts w:hint="default" w:ascii="Times New Roman" w:hAnsi="Times New Roman" w:eastAsia="黑体" w:cs="Times New Roman"/>
          <w:b w:val="0"/>
        </w:rPr>
        <w:t>三公”经费财政拨款支出决算情况说明</w:t>
      </w:r>
      <w:bookmarkEnd w:id="36"/>
      <w:bookmarkEnd w:id="37"/>
      <w:bookmarkStart w:id="38" w:name="_Toc15377216"/>
    </w:p>
    <w:p>
      <w:pPr>
        <w:pBdr>
          <w:top w:val="single" w:color="FFFFFF" w:sz="4" w:space="0"/>
          <w:left w:val="single" w:color="FFFFFF" w:sz="4" w:space="31"/>
          <w:bottom w:val="single" w:color="FFFFFF" w:sz="4" w:space="30"/>
          <w:right w:val="single" w:color="FFFFFF" w:sz="4" w:space="0"/>
        </w:pBdr>
        <w:spacing w:line="56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（一）“三公”经费财政拨款支出决算总体情况说明</w:t>
      </w:r>
      <w:bookmarkEnd w:id="38"/>
      <w:r>
        <w:rPr>
          <w:rFonts w:hint="default" w:ascii="Times New Roman" w:hAnsi="Times New Roman" w:eastAsia="仿宋_GB2312" w:cs="Times New Roman"/>
          <w:b/>
          <w:sz w:val="32"/>
          <w:szCs w:val="32"/>
        </w:rPr>
        <w:t>。</w:t>
      </w:r>
    </w:p>
    <w:p>
      <w:pPr>
        <w:pBdr>
          <w:top w:val="single" w:color="FFFFFF" w:sz="4" w:space="0"/>
          <w:left w:val="single" w:color="FFFFFF" w:sz="4" w:space="31"/>
          <w:bottom w:val="single" w:color="FFFFFF" w:sz="4" w:space="30"/>
          <w:right w:val="single" w:color="FFFFFF" w:sz="4" w:space="0"/>
        </w:pBd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2021年“三公”经费财政拨款支出决算为0.72万元，完成预算100%，决算数与预算数持平。</w:t>
      </w:r>
    </w:p>
    <w:p>
      <w:pPr>
        <w:pBdr>
          <w:top w:val="single" w:color="FFFFFF" w:sz="4" w:space="0"/>
          <w:left w:val="single" w:color="FFFFFF" w:sz="4" w:space="31"/>
          <w:bottom w:val="single" w:color="FFFFFF" w:sz="4" w:space="30"/>
          <w:right w:val="single" w:color="FFFFFF" w:sz="4" w:space="0"/>
        </w:pBdr>
        <w:spacing w:line="560" w:lineRule="exact"/>
        <w:ind w:firstLine="640" w:firstLineChars="200"/>
        <w:rPr>
          <w:rFonts w:hint="default" w:ascii="Times New Roman" w:hAnsi="Times New Roman" w:eastAsia="仿宋_GB2312" w:cs="Times New Roman"/>
          <w:sz w:val="32"/>
          <w:szCs w:val="32"/>
        </w:rPr>
      </w:pPr>
      <w:bookmarkStart w:id="39" w:name="_Toc15377217"/>
      <w:r>
        <w:rPr>
          <w:rFonts w:hint="default" w:ascii="Times New Roman" w:hAnsi="Times New Roman" w:eastAsia="仿宋_GB2312" w:cs="Times New Roman"/>
          <w:sz w:val="32"/>
          <w:szCs w:val="32"/>
        </w:rPr>
        <w:t>（二）“三公”经费财政拨款支出决算具体情况说明</w:t>
      </w:r>
      <w:bookmarkEnd w:id="39"/>
      <w:r>
        <w:rPr>
          <w:rFonts w:hint="default" w:ascii="Times New Roman" w:hAnsi="Times New Roman" w:eastAsia="仿宋_GB2312" w:cs="Times New Roman"/>
          <w:sz w:val="32"/>
          <w:szCs w:val="32"/>
        </w:rPr>
        <w:t>。</w:t>
      </w:r>
    </w:p>
    <w:p>
      <w:pPr>
        <w:pBdr>
          <w:top w:val="single" w:color="FFFFFF" w:sz="4" w:space="0"/>
          <w:left w:val="single" w:color="FFFFFF" w:sz="4" w:space="31"/>
          <w:bottom w:val="single" w:color="FFFFFF" w:sz="4" w:space="30"/>
          <w:right w:val="single" w:color="FFFFFF" w:sz="4" w:space="0"/>
        </w:pBd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2021年“三公”经费财政拨款支出决算中，因公出国（境）费支出决算0万元，占0%；公务用车购置及运行维护费支出决算0万元，占0%；公务接待费支出决算0.72万元，占100%。具体情况如下：</w:t>
      </w:r>
    </w:p>
    <w:p>
      <w:pPr>
        <w:pStyle w:val="6"/>
        <w:rPr>
          <w:rFonts w:hint="default" w:ascii="Times New Roman" w:hAnsi="Times New Roman" w:cs="Times New Roman"/>
        </w:rPr>
      </w:pPr>
      <w:r>
        <w:rPr>
          <w:rFonts w:hint="default" w:ascii="Times New Roman" w:hAnsi="Times New Roman" w:cs="Times New Roman"/>
        </w:rPr>
        <w:drawing>
          <wp:anchor distT="0" distB="0" distL="114300" distR="114300" simplePos="0" relativeHeight="251663360" behindDoc="1" locked="0" layoutInCell="1" allowOverlap="1">
            <wp:simplePos x="0" y="0"/>
            <wp:positionH relativeFrom="column">
              <wp:posOffset>271145</wp:posOffset>
            </wp:positionH>
            <wp:positionV relativeFrom="paragraph">
              <wp:posOffset>79375</wp:posOffset>
            </wp:positionV>
            <wp:extent cx="4457700" cy="2212340"/>
            <wp:effectExtent l="4445" t="5080" r="14605" b="11430"/>
            <wp:wrapThrough wrapText="bothSides">
              <wp:wrapPolygon>
                <wp:start x="-22" y="-50"/>
                <wp:lineTo x="-22" y="21526"/>
                <wp:lineTo x="21578" y="21526"/>
                <wp:lineTo x="21578" y="-50"/>
                <wp:lineTo x="-22" y="-50"/>
              </wp:wrapPolygon>
            </wp:wrapThrough>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pStyle w:val="6"/>
        <w:rPr>
          <w:rFonts w:hint="default" w:ascii="Times New Roman" w:hAnsi="Times New Roman" w:cs="Times New Roman"/>
        </w:rPr>
      </w:pPr>
    </w:p>
    <w:p>
      <w:pPr>
        <w:pBdr>
          <w:top w:val="single" w:color="FFFFFF" w:sz="4" w:space="0"/>
          <w:left w:val="single" w:color="FFFFFF" w:sz="4" w:space="31"/>
          <w:bottom w:val="single" w:color="FFFFFF" w:sz="4" w:space="30"/>
          <w:right w:val="single" w:color="FFFFFF" w:sz="4" w:space="0"/>
        </w:pBdr>
        <w:spacing w:line="560" w:lineRule="exact"/>
        <w:ind w:firstLine="660" w:firstLineChars="200"/>
        <w:rPr>
          <w:rFonts w:hint="default" w:ascii="Times New Roman" w:hAnsi="Times New Roman" w:eastAsia="方正仿宋_GBK" w:cs="Times New Roman"/>
          <w:sz w:val="33"/>
          <w:szCs w:val="33"/>
        </w:rPr>
      </w:pPr>
    </w:p>
    <w:p>
      <w:pPr>
        <w:pBdr>
          <w:top w:val="single" w:color="FFFFFF" w:sz="4" w:space="0"/>
          <w:left w:val="single" w:color="FFFFFF" w:sz="4" w:space="31"/>
          <w:bottom w:val="single" w:color="FFFFFF" w:sz="4" w:space="30"/>
          <w:right w:val="single" w:color="FFFFFF" w:sz="4" w:space="0"/>
        </w:pBdr>
        <w:spacing w:line="560" w:lineRule="exact"/>
        <w:ind w:firstLine="1650" w:firstLineChars="500"/>
        <w:rPr>
          <w:rFonts w:hint="default" w:ascii="Times New Roman" w:hAnsi="Times New Roman" w:eastAsia="方正仿宋_GBK" w:cs="Times New Roman"/>
          <w:sz w:val="33"/>
          <w:szCs w:val="33"/>
        </w:rPr>
      </w:pPr>
      <w:r>
        <w:rPr>
          <w:rFonts w:hint="default" w:ascii="Times New Roman" w:hAnsi="Times New Roman" w:eastAsia="方正仿宋_GBK" w:cs="Times New Roman"/>
          <w:sz w:val="33"/>
          <w:szCs w:val="33"/>
        </w:rPr>
        <w:t>图7：“三公”经费财政拨款支出结构</w:t>
      </w:r>
    </w:p>
    <w:p>
      <w:pPr>
        <w:pBdr>
          <w:top w:val="single" w:color="FFFFFF" w:sz="4" w:space="0"/>
          <w:left w:val="single" w:color="FFFFFF" w:sz="4" w:space="31"/>
          <w:bottom w:val="single" w:color="FFFFFF" w:sz="4" w:space="30"/>
          <w:right w:val="single" w:color="FFFFFF" w:sz="4" w:space="0"/>
        </w:pBd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1.因公出国（境）经费支出</w:t>
      </w:r>
      <w:r>
        <w:rPr>
          <w:rFonts w:hint="default" w:ascii="Times New Roman" w:hAnsi="Times New Roman" w:eastAsia="仿宋_GB2312" w:cs="Times New Roman"/>
          <w:sz w:val="32"/>
          <w:szCs w:val="32"/>
        </w:rPr>
        <w:t>0万元，</w:t>
      </w:r>
      <w:r>
        <w:rPr>
          <w:rStyle w:val="16"/>
          <w:rFonts w:hint="default" w:ascii="Times New Roman" w:hAnsi="Times New Roman" w:eastAsia="仿宋" w:cs="Times New Roman"/>
          <w:b w:val="0"/>
          <w:bCs/>
          <w:sz w:val="32"/>
          <w:szCs w:val="32"/>
        </w:rPr>
        <w:t>完成预算0%。</w:t>
      </w:r>
      <w:r>
        <w:rPr>
          <w:rFonts w:hint="default" w:ascii="Times New Roman" w:hAnsi="Times New Roman" w:eastAsia="仿宋_GB2312" w:cs="Times New Roman"/>
          <w:sz w:val="32"/>
          <w:szCs w:val="32"/>
        </w:rPr>
        <w:t>全年安排因公出国（境）团组0次，出国（境）0人。因公出国（境）支出决算</w:t>
      </w:r>
      <w:r>
        <w:rPr>
          <w:rFonts w:hint="default" w:ascii="Times New Roman" w:hAnsi="Times New Roman" w:eastAsia="方正仿宋_GBK" w:cs="Times New Roman"/>
          <w:sz w:val="33"/>
          <w:szCs w:val="33"/>
        </w:rPr>
        <w:t>与2020</w:t>
      </w:r>
      <w:r>
        <w:rPr>
          <w:rFonts w:hint="default" w:ascii="Times New Roman" w:hAnsi="Times New Roman" w:eastAsia="仿宋_GB2312" w:cs="Times New Roman"/>
          <w:sz w:val="32"/>
          <w:szCs w:val="32"/>
        </w:rPr>
        <w:t>年持平。</w:t>
      </w:r>
    </w:p>
    <w:p>
      <w:pPr>
        <w:pBdr>
          <w:top w:val="single" w:color="FFFFFF" w:sz="4" w:space="0"/>
          <w:left w:val="single" w:color="FFFFFF" w:sz="4" w:space="31"/>
          <w:bottom w:val="single" w:color="FFFFFF" w:sz="4" w:space="30"/>
          <w:right w:val="single" w:color="FFFFFF" w:sz="4" w:space="0"/>
        </w:pBd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2.公务用车购置及运行维护费支出</w:t>
      </w:r>
      <w:r>
        <w:rPr>
          <w:rFonts w:hint="default" w:ascii="Times New Roman" w:hAnsi="Times New Roman" w:eastAsia="仿宋_GB2312" w:cs="Times New Roman"/>
          <w:sz w:val="32"/>
          <w:szCs w:val="32"/>
        </w:rPr>
        <w:t>0万元,完成预算0%。公务用车购置及运行维护费支出决算与2020年持平。</w:t>
      </w:r>
    </w:p>
    <w:p>
      <w:pPr>
        <w:pBdr>
          <w:top w:val="single" w:color="FFFFFF" w:sz="4" w:space="0"/>
          <w:left w:val="single" w:color="FFFFFF" w:sz="4" w:space="31"/>
          <w:bottom w:val="single" w:color="FFFFFF" w:sz="4" w:space="30"/>
          <w:right w:val="single" w:color="FFFFFF" w:sz="4" w:space="0"/>
        </w:pBd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其中：</w:t>
      </w:r>
      <w:r>
        <w:rPr>
          <w:rFonts w:hint="default" w:ascii="Times New Roman" w:hAnsi="Times New Roman" w:eastAsia="仿宋_GB2312" w:cs="Times New Roman"/>
          <w:b/>
          <w:sz w:val="32"/>
          <w:szCs w:val="32"/>
        </w:rPr>
        <w:t>公务用车购置支出</w:t>
      </w:r>
      <w:r>
        <w:rPr>
          <w:rFonts w:hint="default" w:ascii="Times New Roman" w:hAnsi="Times New Roman" w:eastAsia="仿宋_GB2312" w:cs="Times New Roman"/>
          <w:sz w:val="32"/>
          <w:szCs w:val="32"/>
        </w:rPr>
        <w:t>0万元。全年按规定更新购置公务用车0辆，其中：轿车0辆、金额0万元，越野车0辆、金额0万元，载客汽车0辆、金额0万元。截至2021年12月底，单位共有公务用车0辆，其中：轿车0辆、越野车0辆、载客汽车0辆。</w:t>
      </w:r>
    </w:p>
    <w:p>
      <w:pPr>
        <w:pBdr>
          <w:top w:val="single" w:color="FFFFFF" w:sz="4" w:space="0"/>
          <w:left w:val="single" w:color="FFFFFF" w:sz="4" w:space="31"/>
          <w:bottom w:val="single" w:color="FFFFFF" w:sz="4" w:space="30"/>
          <w:right w:val="single" w:color="FFFFFF" w:sz="4" w:space="0"/>
        </w:pBd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公务用车运行维护费支出0</w:t>
      </w:r>
      <w:r>
        <w:rPr>
          <w:rFonts w:hint="default" w:ascii="Times New Roman" w:hAnsi="Times New Roman" w:eastAsia="仿宋_GB2312" w:cs="Times New Roman"/>
          <w:sz w:val="32"/>
          <w:szCs w:val="32"/>
        </w:rPr>
        <w:t>万元。</w:t>
      </w:r>
    </w:p>
    <w:p>
      <w:pPr>
        <w:numPr>
          <w:ilvl w:val="0"/>
          <w:numId w:val="1"/>
        </w:numPr>
        <w:pBdr>
          <w:top w:val="single" w:color="FFFFFF" w:sz="4" w:space="0"/>
          <w:left w:val="single" w:color="FFFFFF" w:sz="4" w:space="31"/>
          <w:bottom w:val="single" w:color="FFFFFF" w:sz="4" w:space="30"/>
          <w:right w:val="single" w:color="FFFFFF" w:sz="4" w:space="0"/>
        </w:pBd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公务接待费支出</w:t>
      </w:r>
      <w:r>
        <w:rPr>
          <w:rFonts w:hint="default" w:ascii="Times New Roman" w:hAnsi="Times New Roman" w:eastAsia="仿宋_GB2312" w:cs="Times New Roman"/>
          <w:sz w:val="32"/>
          <w:szCs w:val="32"/>
        </w:rPr>
        <w:t>0.72万元，完成预算36%。公务接待费支出决算比2020年减少1.28万元，下降64%。主要原因</w:t>
      </w:r>
      <w:r>
        <w:rPr>
          <w:rFonts w:hint="default" w:ascii="Times New Roman" w:hAnsi="Times New Roman" w:eastAsia="仿宋_GB2312" w:cs="Times New Roman"/>
          <w:sz w:val="32"/>
          <w:szCs w:val="32"/>
          <w:lang w:eastAsia="zh-CN"/>
        </w:rPr>
        <w:t>严格按接待标准开展接待业务，</w:t>
      </w:r>
      <w:r>
        <w:rPr>
          <w:rFonts w:hint="default" w:ascii="Times New Roman" w:hAnsi="Times New Roman" w:eastAsia="仿宋_GB2312" w:cs="Times New Roman"/>
          <w:sz w:val="32"/>
          <w:szCs w:val="32"/>
        </w:rPr>
        <w:t>控制</w:t>
      </w:r>
      <w:r>
        <w:rPr>
          <w:rFonts w:hint="default" w:ascii="Times New Roman" w:hAnsi="Times New Roman" w:eastAsia="仿宋_GB2312" w:cs="Times New Roman"/>
          <w:sz w:val="32"/>
          <w:szCs w:val="32"/>
          <w:lang w:eastAsia="zh-CN"/>
        </w:rPr>
        <w:t>接待</w:t>
      </w:r>
      <w:r>
        <w:rPr>
          <w:rFonts w:hint="default" w:ascii="Times New Roman" w:hAnsi="Times New Roman" w:eastAsia="仿宋_GB2312" w:cs="Times New Roman"/>
          <w:sz w:val="32"/>
          <w:szCs w:val="32"/>
        </w:rPr>
        <w:t>成本，厉行节约。</w:t>
      </w:r>
    </w:p>
    <w:p>
      <w:pPr>
        <w:pBdr>
          <w:top w:val="single" w:color="FFFFFF" w:sz="4" w:space="0"/>
          <w:left w:val="single" w:color="FFFFFF" w:sz="4" w:space="31"/>
          <w:bottom w:val="single" w:color="FFFFFF" w:sz="4" w:space="30"/>
          <w:right w:val="single" w:color="FFFFFF" w:sz="4" w:space="0"/>
        </w:pBd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国内公务接待支出</w:t>
      </w:r>
      <w:r>
        <w:rPr>
          <w:rFonts w:hint="default" w:ascii="Times New Roman" w:hAnsi="Times New Roman" w:eastAsia="仿宋_GB2312" w:cs="Times New Roman"/>
          <w:sz w:val="32"/>
          <w:szCs w:val="32"/>
        </w:rPr>
        <w:t>0.72万元，主要用于执行公务、开展业务活动开支的交通费、住宿费、用餐费等。国内公务接待12批次，共计支出0.72万元，具体内容包括：公务接待0.72万元。</w:t>
      </w:r>
    </w:p>
    <w:p>
      <w:pPr>
        <w:pBdr>
          <w:top w:val="single" w:color="FFFFFF" w:sz="4" w:space="0"/>
          <w:left w:val="single" w:color="FFFFFF" w:sz="4" w:space="31"/>
          <w:bottom w:val="single" w:color="FFFFFF" w:sz="4" w:space="30"/>
          <w:right w:val="single" w:color="FFFFFF" w:sz="4" w:space="0"/>
        </w:pBdr>
        <w:spacing w:line="560" w:lineRule="exact"/>
        <w:ind w:firstLine="643" w:firstLineChars="200"/>
        <w:rPr>
          <w:rFonts w:hint="default" w:ascii="Times New Roman" w:hAnsi="Times New Roman" w:eastAsia="黑体" w:cs="Times New Roman"/>
          <w:sz w:val="32"/>
          <w:szCs w:val="32"/>
        </w:rPr>
      </w:pPr>
      <w:r>
        <w:rPr>
          <w:rFonts w:hint="default" w:ascii="Times New Roman" w:hAnsi="Times New Roman" w:eastAsia="仿宋_GB2312" w:cs="Times New Roman"/>
          <w:b/>
          <w:sz w:val="32"/>
          <w:szCs w:val="32"/>
        </w:rPr>
        <w:t>外事接待支出</w:t>
      </w:r>
      <w:r>
        <w:rPr>
          <w:rFonts w:hint="default" w:ascii="Times New Roman" w:hAnsi="Times New Roman" w:eastAsia="仿宋_GB2312" w:cs="Times New Roman"/>
          <w:sz w:val="32"/>
          <w:szCs w:val="32"/>
        </w:rPr>
        <w:t>0万元，无外事支出。</w:t>
      </w:r>
      <w:bookmarkStart w:id="40" w:name="_Toc15377218"/>
      <w:bookmarkStart w:id="41" w:name="_Toc15396610"/>
    </w:p>
    <w:p>
      <w:pPr>
        <w:spacing w:line="600" w:lineRule="exact"/>
        <w:ind w:firstLine="640"/>
        <w:outlineLvl w:val="1"/>
        <w:rPr>
          <w:rStyle w:val="27"/>
          <w:rFonts w:hint="default" w:ascii="Times New Roman" w:hAnsi="Times New Roman" w:eastAsia="黑体" w:cs="Times New Roman"/>
        </w:rPr>
      </w:pPr>
      <w:r>
        <w:rPr>
          <w:rFonts w:hint="default" w:ascii="Times New Roman" w:hAnsi="Times New Roman" w:eastAsia="黑体" w:cs="Times New Roman"/>
          <w:sz w:val="32"/>
          <w:szCs w:val="32"/>
        </w:rPr>
        <w:t>八、</w:t>
      </w:r>
      <w:r>
        <w:rPr>
          <w:rStyle w:val="27"/>
          <w:rFonts w:hint="default" w:ascii="Times New Roman" w:hAnsi="Times New Roman" w:eastAsia="黑体" w:cs="Times New Roman"/>
          <w:b w:val="0"/>
        </w:rPr>
        <w:t>政府性基金预算支出决算情况说明</w:t>
      </w:r>
      <w:bookmarkEnd w:id="40"/>
      <w:bookmarkEnd w:id="41"/>
    </w:p>
    <w:p>
      <w:pPr>
        <w:spacing w:line="600" w:lineRule="exact"/>
        <w:ind w:firstLine="660" w:firstLineChars="200"/>
        <w:rPr>
          <w:rFonts w:hint="default" w:ascii="Times New Roman" w:hAnsi="Times New Roman" w:eastAsia="方正仿宋_GBK" w:cs="Times New Roman"/>
          <w:sz w:val="33"/>
          <w:szCs w:val="33"/>
        </w:rPr>
      </w:pPr>
      <w:r>
        <w:rPr>
          <w:rFonts w:hint="default" w:ascii="Times New Roman" w:hAnsi="Times New Roman" w:eastAsia="方正仿宋_GBK" w:cs="Times New Roman"/>
          <w:sz w:val="33"/>
          <w:szCs w:val="33"/>
        </w:rPr>
        <w:t>2021年政府性基金预算财政拨款支出0万元。</w:t>
      </w:r>
    </w:p>
    <w:p>
      <w:pPr>
        <w:numPr>
          <w:ilvl w:val="0"/>
          <w:numId w:val="2"/>
        </w:numPr>
        <w:spacing w:line="600" w:lineRule="exact"/>
        <w:ind w:firstLine="640"/>
        <w:outlineLvl w:val="1"/>
        <w:rPr>
          <w:rStyle w:val="27"/>
          <w:rFonts w:hint="default" w:ascii="Times New Roman" w:hAnsi="Times New Roman" w:eastAsia="黑体" w:cs="Times New Roman"/>
          <w:b w:val="0"/>
        </w:rPr>
      </w:pPr>
      <w:bookmarkStart w:id="42" w:name="_Toc15377219"/>
      <w:bookmarkStart w:id="43" w:name="_Toc15396611"/>
      <w:r>
        <w:rPr>
          <w:rStyle w:val="27"/>
          <w:rFonts w:hint="default" w:ascii="Times New Roman" w:hAnsi="Times New Roman" w:eastAsia="黑体" w:cs="Times New Roman"/>
          <w:b w:val="0"/>
        </w:rPr>
        <w:t>国有资本经营预算支出决算情况说明</w:t>
      </w:r>
      <w:bookmarkEnd w:id="42"/>
      <w:bookmarkEnd w:id="43"/>
    </w:p>
    <w:p>
      <w:pPr>
        <w:spacing w:line="600" w:lineRule="exact"/>
        <w:ind w:firstLine="660" w:firstLineChars="200"/>
        <w:rPr>
          <w:rFonts w:hint="default" w:ascii="Times New Roman" w:hAnsi="Times New Roman" w:eastAsia="方正仿宋_GBK" w:cs="Times New Roman"/>
          <w:sz w:val="33"/>
          <w:szCs w:val="33"/>
        </w:rPr>
      </w:pPr>
      <w:r>
        <w:rPr>
          <w:rFonts w:hint="default" w:ascii="Times New Roman" w:hAnsi="Times New Roman" w:eastAsia="方正仿宋_GBK" w:cs="Times New Roman"/>
          <w:sz w:val="33"/>
          <w:szCs w:val="33"/>
        </w:rPr>
        <w:t>2021年国有资本经营预算财政拨款支出0万元。</w:t>
      </w:r>
    </w:p>
    <w:p>
      <w:pPr>
        <w:numPr>
          <w:ilvl w:val="0"/>
          <w:numId w:val="2"/>
        </w:numPr>
        <w:spacing w:line="600" w:lineRule="exact"/>
        <w:ind w:firstLine="640"/>
        <w:outlineLvl w:val="1"/>
        <w:rPr>
          <w:rStyle w:val="27"/>
          <w:rFonts w:hint="default" w:ascii="Times New Roman" w:hAnsi="Times New Roman" w:eastAsia="黑体" w:cs="Times New Roman"/>
          <w:b w:val="0"/>
        </w:rPr>
      </w:pPr>
      <w:bookmarkStart w:id="44" w:name="_Toc15377221"/>
      <w:bookmarkStart w:id="45" w:name="_Toc15396612"/>
      <w:r>
        <w:rPr>
          <w:rStyle w:val="27"/>
          <w:rFonts w:hint="default" w:ascii="Times New Roman" w:hAnsi="Times New Roman" w:eastAsia="黑体" w:cs="Times New Roman"/>
          <w:b w:val="0"/>
        </w:rPr>
        <w:t>其他重要事项的情况说明</w:t>
      </w:r>
      <w:bookmarkEnd w:id="44"/>
      <w:bookmarkEnd w:id="45"/>
    </w:p>
    <w:p>
      <w:pPr>
        <w:spacing w:line="600" w:lineRule="exact"/>
        <w:ind w:firstLine="643" w:firstLineChars="200"/>
        <w:outlineLvl w:val="2"/>
        <w:rPr>
          <w:rFonts w:hint="default" w:ascii="Times New Roman" w:hAnsi="Times New Roman" w:eastAsia="仿宋" w:cs="Times New Roman"/>
          <w:sz w:val="32"/>
          <w:szCs w:val="32"/>
        </w:rPr>
      </w:pPr>
      <w:bookmarkStart w:id="46" w:name="_Toc15377222"/>
      <w:r>
        <w:rPr>
          <w:rFonts w:hint="default" w:ascii="Times New Roman" w:hAnsi="Times New Roman" w:eastAsia="仿宋" w:cs="Times New Roman"/>
          <w:b/>
          <w:sz w:val="32"/>
          <w:szCs w:val="32"/>
        </w:rPr>
        <w:t>（一）机关运行经费支出情况</w:t>
      </w:r>
      <w:bookmarkEnd w:id="46"/>
    </w:p>
    <w:p>
      <w:pPr>
        <w:spacing w:line="600" w:lineRule="exact"/>
        <w:ind w:firstLine="640"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2021年，机关运行经费支出51.19万元，比2020年47.07万元增加4.12万元，增长8.7%。主要原因是机构改革。</w:t>
      </w:r>
    </w:p>
    <w:p>
      <w:pPr>
        <w:autoSpaceDE w:val="0"/>
        <w:autoSpaceDN w:val="0"/>
        <w:adjustRightInd w:val="0"/>
        <w:spacing w:line="600" w:lineRule="exact"/>
        <w:ind w:firstLine="643" w:firstLineChars="200"/>
        <w:jc w:val="left"/>
        <w:outlineLvl w:val="2"/>
        <w:rPr>
          <w:rFonts w:hint="default" w:ascii="Times New Roman" w:hAnsi="Times New Roman" w:eastAsia="仿宋" w:cs="Times New Roman"/>
          <w:b/>
          <w:sz w:val="32"/>
          <w:szCs w:val="32"/>
        </w:rPr>
      </w:pPr>
      <w:bookmarkStart w:id="47" w:name="_Toc15377223"/>
      <w:r>
        <w:rPr>
          <w:rFonts w:hint="default" w:ascii="Times New Roman" w:hAnsi="Times New Roman" w:eastAsia="仿宋" w:cs="Times New Roman"/>
          <w:b/>
          <w:sz w:val="32"/>
          <w:szCs w:val="32"/>
        </w:rPr>
        <w:t>（二）政府采购支出情况</w:t>
      </w:r>
      <w:bookmarkEnd w:id="47"/>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2021年，政府采购支出总额0万元，2021年无政府采购。</w:t>
      </w:r>
    </w:p>
    <w:p>
      <w:pPr>
        <w:autoSpaceDE w:val="0"/>
        <w:autoSpaceDN w:val="0"/>
        <w:adjustRightInd w:val="0"/>
        <w:spacing w:line="600" w:lineRule="exact"/>
        <w:ind w:firstLine="643" w:firstLineChars="200"/>
        <w:jc w:val="left"/>
        <w:outlineLvl w:val="2"/>
        <w:rPr>
          <w:rFonts w:hint="default" w:ascii="Times New Roman" w:hAnsi="Times New Roman" w:eastAsia="仿宋" w:cs="Times New Roman"/>
          <w:b/>
          <w:sz w:val="32"/>
          <w:szCs w:val="32"/>
        </w:rPr>
      </w:pPr>
      <w:bookmarkStart w:id="48" w:name="_Toc15377224"/>
      <w:r>
        <w:rPr>
          <w:rFonts w:hint="default" w:ascii="Times New Roman" w:hAnsi="Times New Roman" w:eastAsia="仿宋" w:cs="Times New Roman"/>
          <w:b/>
          <w:sz w:val="32"/>
          <w:szCs w:val="32"/>
        </w:rPr>
        <w:t>（三）国有资产占有使用情况</w:t>
      </w:r>
      <w:bookmarkEnd w:id="48"/>
    </w:p>
    <w:p>
      <w:pPr>
        <w:spacing w:line="600" w:lineRule="exact"/>
        <w:ind w:firstLine="640" w:firstLineChars="200"/>
        <w:rPr>
          <w:rFonts w:hint="default" w:ascii="Times New Roman" w:hAnsi="Times New Roman" w:eastAsia="方正仿宋_GBK" w:cs="Times New Roman"/>
          <w:sz w:val="33"/>
          <w:szCs w:val="33"/>
        </w:rPr>
      </w:pPr>
      <w:r>
        <w:rPr>
          <w:rFonts w:hint="default" w:ascii="Times New Roman" w:hAnsi="Times New Roman" w:eastAsia="仿宋_GB2312" w:cs="Times New Roman"/>
          <w:sz w:val="32"/>
          <w:szCs w:val="32"/>
        </w:rPr>
        <w:t>截至2021年12月31日，西区生态环境局无车辆。单价50万元以上通用设备0台（套），单价100万元以上专用设备0台（套）。</w:t>
      </w:r>
    </w:p>
    <w:p>
      <w:pPr>
        <w:autoSpaceDE w:val="0"/>
        <w:autoSpaceDN w:val="0"/>
        <w:adjustRightInd w:val="0"/>
        <w:spacing w:line="600" w:lineRule="exact"/>
        <w:ind w:firstLine="643" w:firstLineChars="200"/>
        <w:jc w:val="left"/>
        <w:outlineLvl w:val="2"/>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（四）预算绩效管理情况</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预算绩效管理要求，本单位在2021年度预算编制阶段，组织对项目业务运行费、千村示范工程以奖代补资金、原关闭搬迁企业地块土壤污染状况初步调查项目（项目名称）等23个项目开展了预算事前绩效评估，对9个项目编制了绩效目标，预算执行过程中，选取9个项目开展绩效监控，年终执行完毕后，对9个项目开展了绩效自评，2021年特定目标类部门预算项目绩效目标自评表见附件（第四部分）。</w:t>
      </w:r>
    </w:p>
    <w:p>
      <w:pPr>
        <w:pStyle w:val="2"/>
        <w:spacing w:before="93"/>
        <w:rPr>
          <w:rFonts w:hint="default" w:ascii="Times New Roman" w:hAnsi="Times New Roman" w:cs="Times New Roman"/>
          <w:highlight w:val="yellow"/>
        </w:rPr>
      </w:pPr>
    </w:p>
    <w:p>
      <w:pPr>
        <w:widowControl/>
        <w:jc w:val="left"/>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br w:type="page"/>
      </w:r>
    </w:p>
    <w:p>
      <w:pPr>
        <w:numPr>
          <w:ilvl w:val="0"/>
          <w:numId w:val="3"/>
        </w:numPr>
        <w:spacing w:line="600" w:lineRule="exact"/>
        <w:ind w:firstLine="660" w:firstLineChars="150"/>
        <w:jc w:val="center"/>
        <w:outlineLvl w:val="0"/>
        <w:rPr>
          <w:rStyle w:val="26"/>
          <w:rFonts w:hint="default" w:ascii="Times New Roman" w:hAnsi="Times New Roman" w:eastAsia="黑体" w:cs="Times New Roman"/>
          <w:b w:val="0"/>
        </w:rPr>
      </w:pPr>
      <w:bookmarkStart w:id="49" w:name="_Toc15396613"/>
      <w:bookmarkStart w:id="50" w:name="_Toc15377225"/>
      <w:r>
        <w:rPr>
          <w:rFonts w:hint="default" w:ascii="Times New Roman" w:hAnsi="Times New Roman" w:eastAsia="黑体" w:cs="Times New Roman"/>
          <w:sz w:val="44"/>
          <w:szCs w:val="44"/>
        </w:rPr>
        <w:t>名</w:t>
      </w:r>
      <w:r>
        <w:rPr>
          <w:rStyle w:val="26"/>
          <w:rFonts w:hint="default" w:ascii="Times New Roman" w:hAnsi="Times New Roman" w:eastAsia="黑体" w:cs="Times New Roman"/>
          <w:b w:val="0"/>
        </w:rPr>
        <w:t>词解释</w:t>
      </w:r>
      <w:bookmarkEnd w:id="49"/>
      <w:bookmarkEnd w:id="50"/>
    </w:p>
    <w:p>
      <w:pPr>
        <w:spacing w:line="600" w:lineRule="exact"/>
        <w:jc w:val="left"/>
        <w:rPr>
          <w:rFonts w:hint="default" w:ascii="Times New Roman" w:hAnsi="Times New Roman" w:cs="Times New Roman"/>
          <w:b/>
          <w:sz w:val="44"/>
          <w:szCs w:val="44"/>
        </w:rPr>
      </w:pPr>
    </w:p>
    <w:p>
      <w:pPr>
        <w:pStyle w:val="24"/>
        <w:spacing w:line="560" w:lineRule="exact"/>
        <w:ind w:firstLine="640" w:firstLineChars="20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1.财政拨款收入：指单位从同级财政部门取得的财政预算资金。</w:t>
      </w:r>
    </w:p>
    <w:p>
      <w:pPr>
        <w:pStyle w:val="24"/>
        <w:spacing w:line="560" w:lineRule="exact"/>
        <w:ind w:firstLine="640" w:firstLineChars="20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2.其他收入：指单位取得的除上述收入以外的各项收入。主要是区级财政安排资金等。</w:t>
      </w:r>
    </w:p>
    <w:p>
      <w:pPr>
        <w:pStyle w:val="24"/>
        <w:spacing w:line="560" w:lineRule="exact"/>
        <w:ind w:firstLine="640" w:firstLineChars="20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3.使用非财政拨款结余：指事业单位使用以前年度积累的非财政拨款结余弥补当年收支差额的金额。</w:t>
      </w:r>
    </w:p>
    <w:p>
      <w:pPr>
        <w:pStyle w:val="24"/>
        <w:spacing w:line="560" w:lineRule="exact"/>
        <w:ind w:firstLine="640" w:firstLineChars="20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4.年初结转和结余：指以前年度尚未完成、结转到本年按有关规定继续使用的资金。</w:t>
      </w:r>
    </w:p>
    <w:p>
      <w:pPr>
        <w:pStyle w:val="24"/>
        <w:spacing w:line="560" w:lineRule="exact"/>
        <w:ind w:firstLine="640" w:firstLineChars="20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5.年末结转和结余：指单位按有关规定结转到下年或以后年度继续使用的资金。</w:t>
      </w:r>
    </w:p>
    <w:p>
      <w:pPr>
        <w:pStyle w:val="24"/>
        <w:spacing w:line="560" w:lineRule="exact"/>
        <w:ind w:firstLine="640" w:firstLineChars="200"/>
        <w:rPr>
          <w:rFonts w:hint="default" w:ascii="Times New Roman" w:hAnsi="Times New Roman" w:cs="Times New Roman"/>
          <w:color w:val="auto"/>
          <w:sz w:val="32"/>
          <w:szCs w:val="32"/>
        </w:rPr>
      </w:pPr>
      <w:r>
        <w:rPr>
          <w:rFonts w:hint="default" w:ascii="Times New Roman" w:hAnsi="Times New Roman" w:cs="Times New Roman"/>
          <w:sz w:val="32"/>
          <w:szCs w:val="32"/>
        </w:rPr>
        <w:t>6.社会保障和就业（类）行政事业单位养老（款）行政单位离退休（项）：指行政单位（包括实行公务员管理的事业单位）开支的离退休经费。</w:t>
      </w:r>
    </w:p>
    <w:p>
      <w:pPr>
        <w:pStyle w:val="32"/>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7.社会保障和就业（类）行政事业单位养老（款）机关事业单位基本养老保险缴费（项）：指机关事业单位实施养老保险制度由单位缴纳的基本养老保险支出。</w:t>
      </w:r>
    </w:p>
    <w:p>
      <w:pPr>
        <w:pStyle w:val="32"/>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8.社会保障和就业（类）行政事业单位养老（款）机关事业单位职业年金缴费（项）：指机关事业单位实施养老保险制度由单位实际缴纳的职业年金支出。</w:t>
      </w:r>
    </w:p>
    <w:p>
      <w:pPr>
        <w:spacing w:line="600" w:lineRule="exact"/>
        <w:ind w:firstLine="64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9. 卫生健康（类）行政事业单位医疗（款）事业单位医疗（项）：指财政部门安排的事业单位用于缴纳单位基本医疗保险支出。</w:t>
      </w:r>
    </w:p>
    <w:p>
      <w:pPr>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10. 卫生健康（类）行政事业单位医疗（款）公务员医疗补助（项）：指财政部门集中安排的公务员医疗补助经费。</w:t>
      </w:r>
    </w:p>
    <w:p>
      <w:pPr>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11.节能环保支出（类）环境保护管理事务（款）行政运行（项）：指行政单位（包括实行公务员管理的事业单位）的基本支出。</w:t>
      </w:r>
    </w:p>
    <w:p>
      <w:pPr>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12.节能环保（类）环境保护管理事务（款）一般行政管理事务（项）：指行政单位未单独设置项级科目的其他项目支出。</w:t>
      </w:r>
    </w:p>
    <w:p>
      <w:pPr>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13、节能环保支出（类）环境保护管理事务（款）其他环境保护管理事务支出（项）：指除行政运行、一般行政管理事务、机关服务、环境保护宣传等以外其他用于环境保护管理事务方面的支出。</w:t>
      </w:r>
    </w:p>
    <w:p>
      <w:pPr>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14.节能环保支出（类）污染防治（款）其他污染防治支出（项）：指除大气、水体、噪声、固体废弃物与化学品、放射源和放射性废物监管、辐射以外其他用于污染防治方面的支出。</w:t>
      </w:r>
    </w:p>
    <w:p>
      <w:pPr>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15、住房保障支出（类）住房改革支出（款）住房公积金（项）：指行政事业单位按人力资源和社会保障部、财政部规定的基本工资和津贴补贴以及规定比例为职工缴纳的住房公积金。</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16.基本支出：指为保障机构正常运转、完成日常工作任务而发生的人员支出和公用支出。</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17.项目支出：指在基本支出之外为完成特定行政任务和事业发展目标所发生的支出。</w:t>
      </w:r>
    </w:p>
    <w:p>
      <w:pPr>
        <w:pStyle w:val="24"/>
        <w:spacing w:line="560" w:lineRule="exact"/>
        <w:ind w:firstLine="640" w:firstLineChars="20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18.“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60" w:lineRule="exact"/>
        <w:ind w:firstLine="640" w:firstLineChars="200"/>
        <w:rPr>
          <w:rFonts w:hint="default" w:ascii="Times New Roman" w:hAnsi="Times New Roman" w:cs="Times New Roman"/>
          <w:color w:val="auto"/>
          <w:sz w:val="32"/>
          <w:szCs w:val="32"/>
        </w:rPr>
      </w:pPr>
      <w:r>
        <w:rPr>
          <w:rFonts w:hint="default" w:ascii="Times New Roman" w:hAnsi="Times New Roman" w:cs="Times New Roman"/>
          <w:color w:val="auto"/>
          <w:sz w:val="32"/>
          <w:szCs w:val="32"/>
        </w:rPr>
        <w:t>19.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4"/>
        <w:spacing w:line="560" w:lineRule="exact"/>
        <w:ind w:firstLine="640" w:firstLineChars="200"/>
        <w:rPr>
          <w:rFonts w:hint="default" w:ascii="Times New Roman" w:hAnsi="Times New Roman" w:eastAsia="仿宋_GB2312" w:cs="Times New Roman"/>
          <w:color w:val="auto"/>
          <w:sz w:val="32"/>
          <w:szCs w:val="32"/>
        </w:rPr>
      </w:pPr>
    </w:p>
    <w:p>
      <w:pPr>
        <w:spacing w:line="600" w:lineRule="exact"/>
        <w:jc w:val="center"/>
        <w:outlineLvl w:val="0"/>
        <w:rPr>
          <w:rStyle w:val="26"/>
          <w:rFonts w:hint="default" w:ascii="Times New Roman" w:hAnsi="Times New Roman" w:eastAsia="黑体" w:cs="Times New Roman"/>
          <w:b w:val="0"/>
        </w:rPr>
      </w:pPr>
      <w:bookmarkStart w:id="51" w:name="_Toc15377226"/>
      <w:r>
        <w:rPr>
          <w:rFonts w:hint="default" w:ascii="Times New Roman" w:hAnsi="Times New Roman" w:cs="Times New Roman"/>
          <w:b/>
          <w:sz w:val="44"/>
          <w:szCs w:val="44"/>
        </w:rPr>
        <w:br w:type="page"/>
      </w:r>
      <w:bookmarkStart w:id="52" w:name="_Toc15396614"/>
      <w:bookmarkStart w:id="53" w:name="_Toc15396618"/>
      <w:r>
        <w:rPr>
          <w:rFonts w:hint="default" w:ascii="Times New Roman" w:hAnsi="Times New Roman" w:eastAsia="黑体" w:cs="Times New Roman"/>
          <w:sz w:val="44"/>
          <w:szCs w:val="44"/>
        </w:rPr>
        <w:t>第</w:t>
      </w:r>
      <w:r>
        <w:rPr>
          <w:rStyle w:val="26"/>
          <w:rFonts w:hint="default" w:ascii="Times New Roman" w:hAnsi="Times New Roman" w:eastAsia="黑体" w:cs="Times New Roman"/>
          <w:b w:val="0"/>
        </w:rPr>
        <w:t>四部分 附件</w:t>
      </w:r>
      <w:bookmarkEnd w:id="52"/>
    </w:p>
    <w:p>
      <w:pPr>
        <w:spacing w:line="572" w:lineRule="exact"/>
        <w:jc w:val="left"/>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tbl>
      <w:tblPr>
        <w:tblStyle w:val="14"/>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jc w:val="center"/>
              <w:textAlignment w:val="center"/>
              <w:rPr>
                <w:rFonts w:hint="default" w:ascii="Times New Roman" w:hAnsi="Times New Roman" w:cs="Times New Roman"/>
                <w:b/>
                <w:sz w:val="32"/>
                <w:szCs w:val="32"/>
              </w:rPr>
            </w:pPr>
            <w:r>
              <w:rPr>
                <w:rFonts w:hint="default" w:ascii="Times New Roman" w:hAnsi="Times New Roman" w:cs="Times New Roman"/>
                <w:b/>
                <w:sz w:val="32"/>
                <w:szCs w:val="32"/>
              </w:rPr>
              <w:t>2021年业务运行经费项目绩效目标自评</w:t>
            </w:r>
          </w:p>
        </w:tc>
        <w:tc>
          <w:tcPr>
            <w:tcW w:w="234" w:type="dxa"/>
            <w:tcBorders>
              <w:top w:val="nil"/>
              <w:left w:val="nil"/>
              <w:bottom w:val="nil"/>
              <w:right w:val="nil"/>
            </w:tcBorders>
            <w:shd w:val="clear" w:color="auto" w:fill="auto"/>
            <w:vAlign w:val="center"/>
          </w:tcPr>
          <w:p>
            <w:pPr>
              <w:widowControl/>
              <w:jc w:val="center"/>
              <w:textAlignment w:val="center"/>
              <w:rPr>
                <w:rFonts w:hint="default" w:ascii="Times New Roman" w:hAnsi="Times New Roman" w:cs="Times New Roman"/>
                <w:b/>
                <w:kern w:val="0"/>
                <w:sz w:val="32"/>
                <w:szCs w:val="32"/>
              </w:rPr>
            </w:pPr>
          </w:p>
        </w:tc>
      </w:tr>
      <w:tr>
        <w:tblPrEx>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Times New Roman" w:hAnsi="Times New Roman" w:cs="Times New Roman"/>
                <w:sz w:val="24"/>
              </w:rPr>
            </w:pPr>
            <w:r>
              <w:rPr>
                <w:rFonts w:hint="default" w:ascii="Times New Roman" w:hAnsi="Times New Roman" w:cs="Times New Roman"/>
                <w:sz w:val="24"/>
              </w:rPr>
              <w:t>攀枝花市生态环境局（651）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西区生态环境局</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项目预算</w:t>
            </w:r>
            <w:r>
              <w:rPr>
                <w:rFonts w:hint="default" w:ascii="Times New Roman" w:hAnsi="Times New Roman" w:cs="Times New Roman"/>
                <w:kern w:val="0"/>
                <w:sz w:val="24"/>
              </w:rPr>
              <w:br w:type="textWrapping"/>
            </w:r>
            <w:r>
              <w:rPr>
                <w:rFonts w:hint="default" w:ascii="Times New Roman" w:hAnsi="Times New Roman" w:cs="Times New Roman"/>
                <w:kern w:val="0"/>
                <w:sz w:val="24"/>
              </w:rPr>
              <w:t>执行情况</w:t>
            </w:r>
            <w:r>
              <w:rPr>
                <w:rFonts w:hint="default" w:ascii="Times New Roman" w:hAnsi="Times New Roman" w:cs="Times New Roman"/>
                <w:kern w:val="0"/>
                <w:sz w:val="24"/>
              </w:rPr>
              <w:br w:type="textWrapping"/>
            </w:r>
            <w:r>
              <w:rPr>
                <w:rFonts w:hint="default" w:ascii="Times New Roman" w:hAnsi="Times New Roman" w:cs="Times New Roman"/>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sz w:val="24"/>
              </w:rPr>
              <w:t>30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514"/>
              </w:tabs>
              <w:spacing w:line="320" w:lineRule="exact"/>
              <w:jc w:val="left"/>
              <w:textAlignment w:val="center"/>
              <w:rPr>
                <w:rFonts w:hint="default" w:ascii="Times New Roman" w:hAnsi="Times New Roman" w:cs="Times New Roman"/>
                <w:b/>
                <w:bCs/>
                <w:sz w:val="24"/>
              </w:rPr>
            </w:pPr>
            <w:r>
              <w:rPr>
                <w:rFonts w:hint="default" w:ascii="Times New Roman" w:hAnsi="Times New Roman" w:cs="Times New Roman"/>
                <w:sz w:val="24"/>
              </w:rPr>
              <w:t>9.6256</w:t>
            </w: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sz w:val="24"/>
              </w:rPr>
              <w:t>30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Times New Roman" w:hAnsi="Times New Roman" w:cs="Times New Roman"/>
                <w:sz w:val="24"/>
              </w:rPr>
            </w:pPr>
            <w:r>
              <w:rPr>
                <w:rFonts w:hint="default" w:ascii="Times New Roman" w:hAnsi="Times New Roman" w:cs="Times New Roman"/>
                <w:sz w:val="24"/>
              </w:rPr>
              <w:t>30</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kern w:val="0"/>
                <w:sz w:val="24"/>
              </w:rPr>
            </w:pPr>
            <w:r>
              <w:rPr>
                <w:rFonts w:hint="default" w:ascii="Times New Roman" w:hAnsi="Times New Roman" w:cs="Times New Roman"/>
                <w:kern w:val="0"/>
                <w:sz w:val="24"/>
              </w:rPr>
              <w:t>年度总体目标</w:t>
            </w:r>
          </w:p>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保障2021年业务运行</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保障2021年业务运行</w:t>
            </w: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一级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二级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三级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完成</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环境行政检查</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b/>
                <w:bCs/>
                <w:sz w:val="28"/>
                <w:szCs w:val="28"/>
              </w:rPr>
            </w:pPr>
            <w:r>
              <w:rPr>
                <w:rFonts w:hint="default" w:ascii="Times New Roman" w:hAnsi="Times New Roman" w:eastAsia="仿宋_GB2312" w:cs="Times New Roman"/>
                <w:sz w:val="28"/>
                <w:szCs w:val="28"/>
              </w:rPr>
              <w:t>开展各项环境行政检查及执法检查不少于300次/年，督促辖区内企业做好生态环境保护各项工作。</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开展各项环境行政检查及执法检查不少于300次/年，督促辖区内企业做好生态环境保护各项工作。</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提升环境行政监管水平</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b/>
                <w:bCs/>
                <w:sz w:val="28"/>
                <w:szCs w:val="28"/>
              </w:rPr>
            </w:pPr>
            <w:r>
              <w:rPr>
                <w:rFonts w:hint="default" w:ascii="Times New Roman" w:hAnsi="Times New Roman" w:eastAsia="仿宋_GB2312" w:cs="Times New Roman"/>
                <w:sz w:val="28"/>
                <w:szCs w:val="28"/>
              </w:rPr>
              <w:t>完成大气、水、土壤等污染防治检查，自然生态、环评及三同时、排污许可、核与辐射、环境应急等行政检查，完成移动执法任务，提升环境行政监管水平。</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完成大气、水、土壤等污染防治检查，自然生态、环评及三同时、排污许可、核与辐射、环境应急等行政检查，完成移动执法任务，提升环境行政监管水平。</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按上级下达任务期限</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在时限内完成各项行政检查和移动执法任务，不定时开展随机抽查检查</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在时限内完成各项行政检查和移动执法任务，不定时开展随机抽查检查</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业务运行经费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业务运行</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业务运行</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效益</w:t>
            </w:r>
            <w:r>
              <w:rPr>
                <w:rFonts w:hint="default" w:ascii="Times New Roman" w:hAnsi="Times New Roman" w:eastAsia="仿宋_GB2312" w:cs="Times New Roman"/>
                <w:kern w:val="0"/>
                <w:sz w:val="28"/>
                <w:szCs w:val="28"/>
              </w:rPr>
              <w:br w:type="textWrapping"/>
            </w: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重大环境违法行为逐年递减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降低重大环境违法行为发生率，持续巩固改善区域生态环境质量状况。</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降低重大环境违法行为发生率，持续巩固改善区域生态环境质量状况。</w:t>
            </w: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及时发现处理环境问题</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及时发现并妥善处理环境问题，有效减少污染物事故性排放，降低污染排放总量。</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及时发现并妥善处理环境问题，有效减少污染物事故性排放，降低污染排放总量。</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有效推进生态环境保护工作</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持续促进环境质量改善，不断满足群众合法环境需求，提升群众获得感、幸福感。</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持续促进环境质量改善，不断满足群众合法环境需求，提升群众获得感、幸福感。</w:t>
            </w: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满意</w:t>
            </w:r>
            <w:r>
              <w:rPr>
                <w:rFonts w:hint="default" w:ascii="Times New Roman" w:hAnsi="Times New Roman" w:eastAsia="仿宋_GB2312" w:cs="Times New Roman"/>
                <w:kern w:val="0"/>
                <w:sz w:val="28"/>
                <w:szCs w:val="28"/>
              </w:rPr>
              <w:br w:type="textWrapping"/>
            </w:r>
            <w:r>
              <w:rPr>
                <w:rFonts w:hint="default" w:ascii="Times New Roman" w:hAnsi="Times New Roman" w:eastAsia="仿宋_GB2312" w:cs="Times New Roman"/>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满意度</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抽样调查满意度达到90%以上</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抽样调查满意度达到90%以上</w:t>
            </w:r>
          </w:p>
        </w:tc>
      </w:tr>
    </w:tbl>
    <w:p>
      <w:pPr>
        <w:spacing w:line="600" w:lineRule="exact"/>
        <w:jc w:val="center"/>
        <w:outlineLvl w:val="0"/>
        <w:rPr>
          <w:rFonts w:hint="default" w:ascii="Times New Roman" w:hAnsi="Times New Roman" w:eastAsia="黑体" w:cs="Times New Roman"/>
          <w:sz w:val="44"/>
          <w:szCs w:val="44"/>
        </w:rPr>
      </w:pPr>
    </w:p>
    <w:p>
      <w:pPr>
        <w:spacing w:line="572" w:lineRule="exact"/>
        <w:jc w:val="left"/>
        <w:outlineLvl w:val="0"/>
        <w:rPr>
          <w:rFonts w:hint="default" w:ascii="Times New Roman" w:hAnsi="Times New Roman" w:eastAsia="黑体" w:cs="Times New Roman"/>
          <w:sz w:val="32"/>
          <w:szCs w:val="32"/>
        </w:rPr>
      </w:pPr>
    </w:p>
    <w:p>
      <w:pPr>
        <w:spacing w:line="572" w:lineRule="exact"/>
        <w:jc w:val="left"/>
        <w:outlineLvl w:val="0"/>
        <w:rPr>
          <w:rFonts w:hint="default" w:ascii="Times New Roman" w:hAnsi="Times New Roman" w:eastAsia="黑体" w:cs="Times New Roman"/>
          <w:sz w:val="32"/>
          <w:szCs w:val="32"/>
        </w:rPr>
      </w:pPr>
    </w:p>
    <w:p>
      <w:pPr>
        <w:spacing w:line="572" w:lineRule="exact"/>
        <w:jc w:val="left"/>
        <w:outlineLvl w:val="0"/>
        <w:rPr>
          <w:rFonts w:hint="default" w:ascii="Times New Roman" w:hAnsi="Times New Roman" w:eastAsia="黑体" w:cs="Times New Roman"/>
          <w:sz w:val="32"/>
          <w:szCs w:val="32"/>
        </w:rPr>
      </w:pPr>
    </w:p>
    <w:p>
      <w:pPr>
        <w:spacing w:line="572" w:lineRule="exact"/>
        <w:jc w:val="left"/>
        <w:outlineLvl w:val="0"/>
        <w:rPr>
          <w:rFonts w:hint="default" w:ascii="Times New Roman" w:hAnsi="Times New Roman" w:eastAsia="黑体" w:cs="Times New Roman"/>
          <w:sz w:val="32"/>
          <w:szCs w:val="32"/>
        </w:rPr>
      </w:pPr>
    </w:p>
    <w:p>
      <w:pPr>
        <w:spacing w:line="572" w:lineRule="exact"/>
        <w:jc w:val="left"/>
        <w:outlineLvl w:val="0"/>
        <w:rPr>
          <w:rFonts w:hint="default" w:ascii="Times New Roman" w:hAnsi="Times New Roman" w:eastAsia="黑体" w:cs="Times New Roman"/>
          <w:sz w:val="32"/>
          <w:szCs w:val="32"/>
        </w:rPr>
      </w:pPr>
    </w:p>
    <w:p>
      <w:pPr>
        <w:spacing w:line="572" w:lineRule="exact"/>
        <w:jc w:val="left"/>
        <w:outlineLvl w:val="0"/>
        <w:rPr>
          <w:rFonts w:hint="default" w:ascii="Times New Roman" w:hAnsi="Times New Roman" w:eastAsia="黑体" w:cs="Times New Roman"/>
          <w:sz w:val="32"/>
          <w:szCs w:val="32"/>
        </w:rPr>
      </w:pPr>
    </w:p>
    <w:p>
      <w:pPr>
        <w:spacing w:line="572" w:lineRule="exact"/>
        <w:jc w:val="left"/>
        <w:outlineLvl w:val="0"/>
        <w:rPr>
          <w:rFonts w:hint="default" w:ascii="Times New Roman" w:hAnsi="Times New Roman" w:eastAsia="黑体" w:cs="Times New Roman"/>
          <w:sz w:val="32"/>
          <w:szCs w:val="32"/>
        </w:rPr>
      </w:pPr>
    </w:p>
    <w:p>
      <w:pPr>
        <w:spacing w:line="572" w:lineRule="exact"/>
        <w:jc w:val="left"/>
        <w:outlineLvl w:val="0"/>
        <w:rPr>
          <w:rFonts w:hint="default" w:ascii="Times New Roman" w:hAnsi="Times New Roman" w:eastAsia="黑体" w:cs="Times New Roman"/>
          <w:sz w:val="32"/>
          <w:szCs w:val="32"/>
        </w:rPr>
      </w:pPr>
    </w:p>
    <w:p>
      <w:pPr>
        <w:spacing w:line="572" w:lineRule="exact"/>
        <w:jc w:val="left"/>
        <w:outlineLvl w:val="0"/>
        <w:rPr>
          <w:rFonts w:hint="default" w:ascii="Times New Roman" w:hAnsi="Times New Roman" w:eastAsia="黑体" w:cs="Times New Roman"/>
          <w:sz w:val="32"/>
          <w:szCs w:val="32"/>
        </w:rPr>
      </w:pPr>
    </w:p>
    <w:p>
      <w:pPr>
        <w:spacing w:line="572" w:lineRule="exact"/>
        <w:jc w:val="left"/>
        <w:outlineLvl w:val="0"/>
        <w:rPr>
          <w:rFonts w:hint="default" w:ascii="Times New Roman" w:hAnsi="Times New Roman" w:eastAsia="黑体" w:cs="Times New Roman"/>
          <w:sz w:val="32"/>
          <w:szCs w:val="32"/>
        </w:rPr>
      </w:pPr>
    </w:p>
    <w:p>
      <w:pPr>
        <w:spacing w:line="572" w:lineRule="exact"/>
        <w:jc w:val="left"/>
        <w:outlineLvl w:val="0"/>
        <w:rPr>
          <w:rFonts w:hint="default" w:ascii="Times New Roman" w:hAnsi="Times New Roman" w:eastAsia="黑体" w:cs="Times New Roman"/>
          <w:sz w:val="32"/>
          <w:szCs w:val="32"/>
        </w:rPr>
      </w:pPr>
    </w:p>
    <w:p>
      <w:pPr>
        <w:spacing w:line="572" w:lineRule="exact"/>
        <w:jc w:val="left"/>
        <w:outlineLvl w:val="0"/>
        <w:rPr>
          <w:rFonts w:hint="default" w:ascii="Times New Roman" w:hAnsi="Times New Roman" w:eastAsia="黑体" w:cs="Times New Roman"/>
          <w:sz w:val="32"/>
          <w:szCs w:val="32"/>
        </w:rPr>
      </w:pPr>
    </w:p>
    <w:p>
      <w:pPr>
        <w:spacing w:line="572" w:lineRule="exact"/>
        <w:jc w:val="left"/>
        <w:outlineLvl w:val="0"/>
        <w:rPr>
          <w:rFonts w:hint="default" w:ascii="Times New Roman" w:hAnsi="Times New Roman" w:eastAsia="黑体" w:cs="Times New Roman"/>
          <w:sz w:val="32"/>
          <w:szCs w:val="32"/>
        </w:rPr>
      </w:pPr>
    </w:p>
    <w:tbl>
      <w:tblPr>
        <w:tblStyle w:val="14"/>
        <w:tblpPr w:leftFromText="180" w:rightFromText="180" w:vertAnchor="text" w:horzAnchor="page" w:tblpX="1240" w:tblpY="755"/>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jc w:val="center"/>
              <w:textAlignment w:val="center"/>
              <w:rPr>
                <w:rFonts w:hint="default" w:ascii="Times New Roman" w:hAnsi="Times New Roman" w:cs="Times New Roman"/>
                <w:b/>
                <w:sz w:val="32"/>
                <w:szCs w:val="32"/>
              </w:rPr>
            </w:pPr>
            <w:r>
              <w:rPr>
                <w:rFonts w:hint="default" w:ascii="Times New Roman" w:hAnsi="Times New Roman" w:cs="Times New Roman"/>
                <w:b/>
                <w:sz w:val="32"/>
                <w:szCs w:val="32"/>
              </w:rPr>
              <w:t>2021年度西区农村生活污水治理“千村示范工程”项目绩效</w:t>
            </w:r>
          </w:p>
          <w:p>
            <w:pPr>
              <w:widowControl/>
              <w:jc w:val="center"/>
              <w:textAlignment w:val="center"/>
              <w:rPr>
                <w:rFonts w:hint="default" w:ascii="Times New Roman" w:hAnsi="Times New Roman" w:cs="Times New Roman"/>
                <w:b/>
                <w:sz w:val="32"/>
                <w:szCs w:val="32"/>
              </w:rPr>
            </w:pPr>
            <w:r>
              <w:rPr>
                <w:rFonts w:hint="default" w:ascii="Times New Roman" w:hAnsi="Times New Roman" w:cs="Times New Roman"/>
                <w:b/>
                <w:sz w:val="32"/>
                <w:szCs w:val="32"/>
              </w:rPr>
              <w:t>目标自评</w:t>
            </w:r>
          </w:p>
        </w:tc>
        <w:tc>
          <w:tcPr>
            <w:tcW w:w="234" w:type="dxa"/>
            <w:tcBorders>
              <w:top w:val="nil"/>
              <w:left w:val="nil"/>
              <w:bottom w:val="nil"/>
              <w:right w:val="nil"/>
            </w:tcBorders>
            <w:shd w:val="clear" w:color="auto" w:fill="auto"/>
            <w:vAlign w:val="center"/>
          </w:tcPr>
          <w:p>
            <w:pPr>
              <w:widowControl/>
              <w:jc w:val="center"/>
              <w:textAlignment w:val="center"/>
              <w:rPr>
                <w:rFonts w:hint="default" w:ascii="Times New Roman" w:hAnsi="Times New Roman" w:cs="Times New Roman"/>
                <w:b/>
                <w:kern w:val="0"/>
                <w:sz w:val="32"/>
                <w:szCs w:val="32"/>
              </w:rPr>
            </w:pPr>
          </w:p>
        </w:tc>
      </w:tr>
      <w:tr>
        <w:tblPrEx>
          <w:tblCellMar>
            <w:top w:w="0" w:type="dxa"/>
            <w:left w:w="108" w:type="dxa"/>
            <w:bottom w:w="0" w:type="dxa"/>
            <w:right w:w="108" w:type="dxa"/>
          </w:tblCellMar>
        </w:tblPrEx>
        <w:trPr>
          <w:gridAfter w:val="1"/>
          <w:wAfter w:w="234" w:type="dxa"/>
          <w:trHeight w:val="90"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Times New Roman" w:hAnsi="Times New Roman" w:cs="Times New Roman"/>
                <w:sz w:val="24"/>
              </w:rPr>
            </w:pPr>
            <w:r>
              <w:rPr>
                <w:rFonts w:hint="default" w:ascii="Times New Roman" w:hAnsi="Times New Roman" w:cs="Times New Roman"/>
                <w:sz w:val="24"/>
              </w:rPr>
              <w:t>攀枝花市生态环境局（651）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西区生态环境局</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项目预算</w:t>
            </w:r>
            <w:r>
              <w:rPr>
                <w:rFonts w:hint="default" w:ascii="Times New Roman" w:hAnsi="Times New Roman" w:cs="Times New Roman"/>
                <w:kern w:val="0"/>
                <w:sz w:val="24"/>
              </w:rPr>
              <w:br w:type="textWrapping"/>
            </w:r>
            <w:r>
              <w:rPr>
                <w:rFonts w:hint="default" w:ascii="Times New Roman" w:hAnsi="Times New Roman" w:cs="Times New Roman"/>
                <w:kern w:val="0"/>
                <w:sz w:val="24"/>
              </w:rPr>
              <w:t>执行情况</w:t>
            </w:r>
            <w:r>
              <w:rPr>
                <w:rFonts w:hint="default" w:ascii="Times New Roman" w:hAnsi="Times New Roman" w:cs="Times New Roman"/>
                <w:kern w:val="0"/>
                <w:sz w:val="24"/>
              </w:rPr>
              <w:br w:type="textWrapping"/>
            </w:r>
            <w:r>
              <w:rPr>
                <w:rFonts w:hint="default" w:ascii="Times New Roman" w:hAnsi="Times New Roman" w:cs="Times New Roman"/>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sz w:val="24"/>
              </w:rPr>
              <w:t>132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514"/>
              </w:tabs>
              <w:spacing w:line="320" w:lineRule="exact"/>
              <w:jc w:val="left"/>
              <w:textAlignment w:val="center"/>
              <w:rPr>
                <w:rFonts w:hint="default" w:ascii="Times New Roman" w:hAnsi="Times New Roman" w:cs="Times New Roman"/>
                <w:b/>
                <w:bCs/>
                <w:sz w:val="24"/>
              </w:rPr>
            </w:pPr>
            <w:r>
              <w:rPr>
                <w:rFonts w:hint="default" w:ascii="Times New Roman" w:hAnsi="Times New Roman" w:cs="Times New Roman"/>
                <w:sz w:val="24"/>
              </w:rPr>
              <w:t>9.6256</w:t>
            </w: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sz w:val="24"/>
              </w:rPr>
              <w:t>132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Times New Roman" w:hAnsi="Times New Roman" w:cs="Times New Roman"/>
                <w:sz w:val="24"/>
              </w:rPr>
            </w:pPr>
            <w:r>
              <w:rPr>
                <w:rFonts w:hint="default" w:ascii="Times New Roman" w:hAnsi="Times New Roman" w:cs="Times New Roman"/>
                <w:sz w:val="24"/>
              </w:rPr>
              <w:t>132</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kern w:val="0"/>
                <w:sz w:val="24"/>
              </w:rPr>
            </w:pPr>
            <w:r>
              <w:rPr>
                <w:rFonts w:hint="default" w:ascii="Times New Roman" w:hAnsi="Times New Roman" w:cs="Times New Roman"/>
                <w:kern w:val="0"/>
                <w:sz w:val="24"/>
              </w:rPr>
              <w:t>年度总体目标</w:t>
            </w:r>
          </w:p>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在格里坪镇金桥村、金家村基本建成与全面</w:t>
            </w:r>
            <w:r>
              <w:rPr>
                <w:rFonts w:hint="default" w:ascii="Times New Roman" w:hAnsi="Times New Roman" w:cs="Times New Roman"/>
                <w:sz w:val="24"/>
                <w:lang w:eastAsia="zh-CN"/>
              </w:rPr>
              <w:t>建成</w:t>
            </w:r>
            <w:r>
              <w:rPr>
                <w:rFonts w:hint="default" w:ascii="Times New Roman" w:hAnsi="Times New Roman" w:cs="Times New Roman"/>
                <w:sz w:val="24"/>
              </w:rPr>
              <w:t>小康社会相适应的农村生活污水治理体系，生活污水有效处理率不低于60%，实现农村人居环境明显改善。</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在格里坪镇金桥村、金家村基本建成与全面</w:t>
            </w:r>
            <w:r>
              <w:rPr>
                <w:rFonts w:hint="default" w:ascii="Times New Roman" w:hAnsi="Times New Roman" w:cs="Times New Roman"/>
                <w:sz w:val="24"/>
                <w:lang w:eastAsia="zh-CN"/>
              </w:rPr>
              <w:t>建成</w:t>
            </w:r>
            <w:r>
              <w:rPr>
                <w:rFonts w:hint="default" w:ascii="Times New Roman" w:hAnsi="Times New Roman" w:cs="Times New Roman"/>
                <w:sz w:val="24"/>
              </w:rPr>
              <w:t>小康社会相适应的农村生活污水治理体系，生活污水有效处理率不低于60%，实现农村人居环境明显改善。</w:t>
            </w: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一级</w:t>
            </w:r>
          </w:p>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二级</w:t>
            </w:r>
          </w:p>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三级</w:t>
            </w:r>
          </w:p>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完成</w:t>
            </w:r>
          </w:p>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农村污水治理村庄个数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2</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2</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生活污水有效处理率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≥60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≥60</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2021/12/31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2021/12/31</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2021/12/31</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132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132</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107.6621</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效益</w:t>
            </w:r>
            <w:r>
              <w:rPr>
                <w:rFonts w:hint="default" w:ascii="Times New Roman" w:hAnsi="Times New Roman" w:cs="Times New Roman"/>
                <w:sz w:val="24"/>
              </w:rPr>
              <w:br w:type="textWrapping"/>
            </w:r>
            <w:r>
              <w:rPr>
                <w:rFonts w:hint="default" w:ascii="Times New Roman" w:hAnsi="Times New Roman" w:cs="Times New Roman"/>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环境公共服务程度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逐步提高</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逐步提高</w:t>
            </w: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生态环境质量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逐步改善</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逐步改善</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建成的污染设施和监管设</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持续发挥效益</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持续发挥效益</w:t>
            </w: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满意</w:t>
            </w:r>
            <w:r>
              <w:rPr>
                <w:rFonts w:hint="default" w:ascii="Times New Roman" w:hAnsi="Times New Roman" w:cs="Times New Roman"/>
                <w:sz w:val="24"/>
              </w:rPr>
              <w:br w:type="textWrapping"/>
            </w:r>
            <w:r>
              <w:rPr>
                <w:rFonts w:hint="default" w:ascii="Times New Roman" w:hAnsi="Times New Roman" w:cs="Times New Roman"/>
                <w:sz w:val="24"/>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满意度</w:t>
            </w:r>
          </w:p>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≥80%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≥80%</w:t>
            </w:r>
          </w:p>
        </w:tc>
      </w:tr>
    </w:tbl>
    <w:p>
      <w:pPr>
        <w:spacing w:line="572" w:lineRule="exact"/>
        <w:jc w:val="left"/>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spacing w:line="572" w:lineRule="exact"/>
        <w:jc w:val="left"/>
        <w:outlineLvl w:val="0"/>
        <w:rPr>
          <w:rFonts w:hint="default" w:ascii="Times New Roman" w:hAnsi="Times New Roman" w:eastAsia="黑体" w:cs="Times New Roman"/>
          <w:sz w:val="32"/>
          <w:szCs w:val="32"/>
        </w:rPr>
      </w:pPr>
    </w:p>
    <w:p>
      <w:pPr>
        <w:spacing w:line="572" w:lineRule="exact"/>
        <w:jc w:val="left"/>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w:t>
      </w:r>
    </w:p>
    <w:tbl>
      <w:tblPr>
        <w:tblStyle w:val="14"/>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jc w:val="center"/>
              <w:textAlignment w:val="center"/>
              <w:rPr>
                <w:rFonts w:hint="default" w:ascii="Times New Roman" w:hAnsi="Times New Roman" w:cs="Times New Roman"/>
                <w:b/>
                <w:sz w:val="32"/>
                <w:szCs w:val="32"/>
              </w:rPr>
            </w:pPr>
            <w:r>
              <w:rPr>
                <w:rFonts w:hint="default" w:ascii="Times New Roman" w:hAnsi="Times New Roman" w:cs="Times New Roman"/>
                <w:b/>
                <w:sz w:val="32"/>
                <w:szCs w:val="32"/>
              </w:rPr>
              <w:t>山水林田湖项目绩效目标自评</w:t>
            </w:r>
          </w:p>
        </w:tc>
        <w:tc>
          <w:tcPr>
            <w:tcW w:w="234" w:type="dxa"/>
            <w:tcBorders>
              <w:top w:val="nil"/>
              <w:left w:val="nil"/>
              <w:bottom w:val="nil"/>
              <w:right w:val="nil"/>
            </w:tcBorders>
            <w:shd w:val="clear" w:color="auto" w:fill="auto"/>
            <w:vAlign w:val="center"/>
          </w:tcPr>
          <w:p>
            <w:pPr>
              <w:widowControl/>
              <w:jc w:val="center"/>
              <w:textAlignment w:val="center"/>
              <w:rPr>
                <w:rFonts w:hint="default" w:ascii="Times New Roman" w:hAnsi="Times New Roman" w:cs="Times New Roman"/>
                <w:b/>
                <w:kern w:val="0"/>
                <w:sz w:val="32"/>
                <w:szCs w:val="32"/>
              </w:rPr>
            </w:pPr>
          </w:p>
        </w:tc>
      </w:tr>
      <w:tr>
        <w:tblPrEx>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Times New Roman" w:hAnsi="Times New Roman" w:cs="Times New Roman"/>
                <w:sz w:val="24"/>
              </w:rPr>
            </w:pPr>
            <w:r>
              <w:rPr>
                <w:rFonts w:hint="default" w:ascii="Times New Roman" w:hAnsi="Times New Roman" w:cs="Times New Roman"/>
                <w:sz w:val="24"/>
              </w:rPr>
              <w:t>攀枝花市生态环境局（651）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西区生态环境局</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项目预算</w:t>
            </w:r>
            <w:r>
              <w:rPr>
                <w:rFonts w:hint="default" w:ascii="Times New Roman" w:hAnsi="Times New Roman" w:cs="Times New Roman"/>
                <w:kern w:val="0"/>
                <w:sz w:val="24"/>
              </w:rPr>
              <w:br w:type="textWrapping"/>
            </w:r>
            <w:r>
              <w:rPr>
                <w:rFonts w:hint="default" w:ascii="Times New Roman" w:hAnsi="Times New Roman" w:cs="Times New Roman"/>
                <w:kern w:val="0"/>
                <w:sz w:val="24"/>
              </w:rPr>
              <w:t>执行情况</w:t>
            </w:r>
            <w:r>
              <w:rPr>
                <w:rFonts w:hint="default" w:ascii="Times New Roman" w:hAnsi="Times New Roman" w:cs="Times New Roman"/>
                <w:kern w:val="0"/>
                <w:sz w:val="24"/>
              </w:rPr>
              <w:br w:type="textWrapping"/>
            </w:r>
            <w:r>
              <w:rPr>
                <w:rFonts w:hint="default" w:ascii="Times New Roman" w:hAnsi="Times New Roman" w:cs="Times New Roman"/>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sz w:val="24"/>
              </w:rPr>
              <w:t>100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514"/>
              </w:tabs>
              <w:spacing w:line="320" w:lineRule="exact"/>
              <w:jc w:val="left"/>
              <w:textAlignment w:val="center"/>
              <w:rPr>
                <w:rFonts w:hint="default" w:ascii="Times New Roman" w:hAnsi="Times New Roman" w:cs="Times New Roman"/>
                <w:b/>
                <w:bCs/>
                <w:sz w:val="24"/>
              </w:rPr>
            </w:pPr>
            <w:r>
              <w:rPr>
                <w:rFonts w:hint="default" w:ascii="Times New Roman" w:hAnsi="Times New Roman" w:cs="Times New Roman"/>
                <w:sz w:val="24"/>
              </w:rPr>
              <w:t>100</w:t>
            </w: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sz w:val="24"/>
              </w:rPr>
              <w:t>100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Times New Roman" w:hAnsi="Times New Roman" w:cs="Times New Roman"/>
                <w:sz w:val="24"/>
              </w:rPr>
            </w:pPr>
            <w:r>
              <w:rPr>
                <w:rFonts w:hint="default" w:ascii="Times New Roman" w:hAnsi="Times New Roman" w:cs="Times New Roman"/>
                <w:sz w:val="24"/>
              </w:rPr>
              <w:t>100</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kern w:val="0"/>
                <w:sz w:val="24"/>
              </w:rPr>
            </w:pPr>
            <w:r>
              <w:rPr>
                <w:rFonts w:hint="default" w:ascii="Times New Roman" w:hAnsi="Times New Roman" w:cs="Times New Roman"/>
                <w:kern w:val="0"/>
                <w:sz w:val="24"/>
              </w:rPr>
              <w:t>年度总体目标</w:t>
            </w:r>
          </w:p>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kern w:val="0"/>
                <w:sz w:val="18"/>
                <w:szCs w:val="18"/>
              </w:rPr>
              <w:t>西佛山片区环境综合治理及配套基础设施建设项目Ⅱ标段项目</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kern w:val="0"/>
                <w:sz w:val="18"/>
                <w:szCs w:val="18"/>
              </w:rPr>
              <w:t>未完成</w:t>
            </w: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一级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二级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三级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完成</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sz w:val="28"/>
                <w:szCs w:val="28"/>
              </w:rPr>
            </w:pPr>
            <w:r>
              <w:rPr>
                <w:rFonts w:hint="default" w:ascii="Times New Roman" w:hAnsi="Times New Roman" w:cs="Times New Roman"/>
                <w:color w:val="000000"/>
                <w:kern w:val="0"/>
                <w:sz w:val="18"/>
                <w:szCs w:val="18"/>
              </w:rPr>
              <w:t>项目前期准备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sz w:val="28"/>
                <w:szCs w:val="28"/>
              </w:rPr>
            </w:pPr>
            <w:r>
              <w:rPr>
                <w:rFonts w:hint="default" w:ascii="Times New Roman" w:hAnsi="Times New Roman" w:cs="Times New Roman"/>
                <w:color w:val="000000"/>
                <w:kern w:val="0"/>
                <w:sz w:val="18"/>
                <w:szCs w:val="18"/>
              </w:rPr>
              <w:t>已完成项目可研、财评、施工设计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sz w:val="28"/>
                <w:szCs w:val="28"/>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kern w:val="0"/>
                <w:sz w:val="28"/>
                <w:szCs w:val="28"/>
              </w:rPr>
            </w:pPr>
            <w:r>
              <w:rPr>
                <w:rFonts w:hint="default" w:ascii="Times New Roman" w:hAnsi="Times New Roman" w:cs="Times New Roman"/>
                <w:color w:val="000000"/>
                <w:kern w:val="0"/>
                <w:sz w:val="18"/>
                <w:szCs w:val="18"/>
              </w:rPr>
              <w:t>入场施工</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kern w:val="0"/>
                <w:sz w:val="28"/>
                <w:szCs w:val="28"/>
              </w:rPr>
            </w:pPr>
            <w:r>
              <w:rPr>
                <w:rFonts w:hint="default" w:ascii="Times New Roman" w:hAnsi="Times New Roman" w:cs="Times New Roman"/>
                <w:color w:val="000000"/>
                <w:kern w:val="0"/>
                <w:sz w:val="18"/>
                <w:szCs w:val="18"/>
              </w:rPr>
              <w:t>已完成招标，施工单位已入场施工</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cs="Times New Roman"/>
                <w:color w:val="000000"/>
                <w:kern w:val="0"/>
                <w:sz w:val="18"/>
                <w:szCs w:val="18"/>
              </w:rPr>
              <w:t>按期完成项目研究</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按期推进项目进度</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按期推进项目进度</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8"/>
                <w:szCs w:val="28"/>
              </w:rPr>
            </w:pPr>
            <w:r>
              <w:rPr>
                <w:rFonts w:hint="default" w:ascii="Times New Roman" w:hAnsi="Times New Roman" w:cs="Times New Roman"/>
                <w:color w:val="000000"/>
                <w:kern w:val="0"/>
                <w:sz w:val="18"/>
                <w:szCs w:val="18"/>
              </w:rPr>
              <w:t>100万元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100万元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效益</w:t>
            </w:r>
            <w:r>
              <w:rPr>
                <w:rFonts w:hint="default" w:ascii="Times New Roman" w:hAnsi="Times New Roman" w:eastAsia="仿宋_GB2312" w:cs="Times New Roman"/>
                <w:kern w:val="0"/>
                <w:sz w:val="28"/>
                <w:szCs w:val="28"/>
              </w:rPr>
              <w:br w:type="textWrapping"/>
            </w: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kern w:val="0"/>
                <w:sz w:val="28"/>
                <w:szCs w:val="28"/>
              </w:rPr>
            </w:pPr>
            <w:r>
              <w:rPr>
                <w:rFonts w:hint="default" w:ascii="Times New Roman" w:hAnsi="Times New Roman" w:cs="Times New Roman"/>
                <w:color w:val="000000"/>
                <w:kern w:val="0"/>
                <w:sz w:val="18"/>
                <w:szCs w:val="18"/>
              </w:rPr>
              <w:t>为攀枝花经济转型提供生态保障</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kern w:val="0"/>
                <w:sz w:val="28"/>
                <w:szCs w:val="28"/>
              </w:rPr>
            </w:pPr>
            <w:r>
              <w:rPr>
                <w:rFonts w:hint="default" w:ascii="Times New Roman" w:hAnsi="Times New Roman" w:cs="Times New Roman"/>
                <w:color w:val="000000"/>
                <w:kern w:val="0"/>
                <w:sz w:val="18"/>
                <w:szCs w:val="18"/>
              </w:rPr>
              <w:t>为攀枝花经济转型提供生态保障</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kern w:val="0"/>
                <w:sz w:val="28"/>
                <w:szCs w:val="28"/>
              </w:rPr>
            </w:pPr>
            <w:r>
              <w:rPr>
                <w:rFonts w:hint="default" w:ascii="Times New Roman" w:hAnsi="Times New Roman" w:cs="Times New Roman"/>
                <w:color w:val="000000"/>
                <w:kern w:val="0"/>
                <w:sz w:val="18"/>
                <w:szCs w:val="18"/>
              </w:rPr>
              <w:t>提高人居生活质量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kern w:val="0"/>
                <w:sz w:val="28"/>
                <w:szCs w:val="28"/>
              </w:rPr>
            </w:pPr>
            <w:r>
              <w:rPr>
                <w:rFonts w:hint="default" w:ascii="Times New Roman" w:hAnsi="Times New Roman" w:cs="Times New Roman"/>
                <w:color w:val="000000"/>
                <w:kern w:val="0"/>
                <w:sz w:val="18"/>
                <w:szCs w:val="18"/>
              </w:rPr>
              <w:t>降低温度、提高湿度</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8"/>
                <w:szCs w:val="28"/>
              </w:rPr>
            </w:pPr>
            <w:r>
              <w:rPr>
                <w:rFonts w:hint="default" w:ascii="Times New Roman" w:hAnsi="Times New Roman" w:cs="Times New Roman"/>
                <w:color w:val="000000"/>
                <w:kern w:val="0"/>
                <w:sz w:val="18"/>
                <w:szCs w:val="18"/>
              </w:rPr>
              <w:t>指标1：提升生态环境质量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rPr>
              <w:t>提升生态环境质量</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8"/>
                <w:szCs w:val="28"/>
              </w:rPr>
            </w:pPr>
            <w:r>
              <w:rPr>
                <w:rFonts w:hint="default" w:ascii="Times New Roman" w:hAnsi="Times New Roman" w:cs="Times New Roman"/>
                <w:color w:val="000000"/>
                <w:kern w:val="0"/>
                <w:sz w:val="18"/>
                <w:szCs w:val="18"/>
              </w:rPr>
              <w:t>生态环境可持续发展</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hint="default" w:ascii="Times New Roman" w:hAnsi="Times New Roman" w:eastAsia="仿宋_GB2312" w:cs="Times New Roman"/>
                <w:kern w:val="0"/>
                <w:sz w:val="28"/>
                <w:szCs w:val="28"/>
              </w:rPr>
            </w:pPr>
            <w:r>
              <w:rPr>
                <w:rFonts w:hint="default" w:ascii="Times New Roman" w:hAnsi="Times New Roman" w:cs="Times New Roman"/>
                <w:color w:val="000000"/>
                <w:kern w:val="0"/>
                <w:sz w:val="18"/>
                <w:szCs w:val="18"/>
              </w:rPr>
              <w:t>生态环境可持续发展</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满意</w:t>
            </w:r>
            <w:r>
              <w:rPr>
                <w:rFonts w:hint="default" w:ascii="Times New Roman" w:hAnsi="Times New Roman" w:eastAsia="仿宋_GB2312" w:cs="Times New Roman"/>
                <w:kern w:val="0"/>
                <w:sz w:val="28"/>
                <w:szCs w:val="28"/>
              </w:rPr>
              <w:br w:type="textWrapping"/>
            </w:r>
            <w:r>
              <w:rPr>
                <w:rFonts w:hint="default" w:ascii="Times New Roman" w:hAnsi="Times New Roman" w:eastAsia="仿宋_GB2312" w:cs="Times New Roman"/>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满意度</w:t>
            </w:r>
          </w:p>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8"/>
                <w:szCs w:val="28"/>
              </w:rPr>
            </w:pPr>
            <w:r>
              <w:rPr>
                <w:rFonts w:hint="default" w:ascii="Times New Roman" w:hAnsi="Times New Roman" w:cs="Times New Roman"/>
                <w:color w:val="000000"/>
                <w:kern w:val="0"/>
                <w:sz w:val="18"/>
                <w:szCs w:val="18"/>
              </w:rPr>
              <w:t>指标1：群众满意度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抽样调查达到基本满意级以上</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100%</w:t>
            </w:r>
          </w:p>
        </w:tc>
      </w:tr>
    </w:tbl>
    <w:p>
      <w:pPr>
        <w:spacing w:line="600" w:lineRule="exact"/>
        <w:outlineLvl w:val="0"/>
        <w:rPr>
          <w:rFonts w:hint="default" w:ascii="Times New Roman" w:hAnsi="Times New Roman" w:eastAsia="黑体" w:cs="Times New Roman"/>
          <w:sz w:val="44"/>
          <w:szCs w:val="44"/>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ind w:firstLine="0" w:firstLineChars="0"/>
        <w:rPr>
          <w:rFonts w:hint="default" w:ascii="Times New Roman" w:hAnsi="Times New Roman" w:cs="Times New Roman"/>
        </w:rPr>
      </w:pPr>
    </w:p>
    <w:p>
      <w:pPr>
        <w:spacing w:line="572" w:lineRule="exact"/>
        <w:jc w:val="left"/>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附件4</w:t>
      </w:r>
    </w:p>
    <w:tbl>
      <w:tblPr>
        <w:tblStyle w:val="14"/>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jc w:val="center"/>
              <w:textAlignment w:val="center"/>
              <w:rPr>
                <w:rFonts w:hint="default" w:ascii="Times New Roman" w:hAnsi="Times New Roman" w:cs="Times New Roman"/>
                <w:b/>
                <w:sz w:val="32"/>
                <w:szCs w:val="32"/>
              </w:rPr>
            </w:pPr>
            <w:r>
              <w:rPr>
                <w:rFonts w:hint="default" w:ascii="Times New Roman" w:hAnsi="Times New Roman" w:cs="Times New Roman"/>
                <w:b/>
                <w:sz w:val="30"/>
                <w:szCs w:val="30"/>
              </w:rPr>
              <w:t>2017年环保监管能力建设与监管设施运维保障资金项目绩效目标自评</w:t>
            </w:r>
          </w:p>
        </w:tc>
        <w:tc>
          <w:tcPr>
            <w:tcW w:w="234" w:type="dxa"/>
            <w:tcBorders>
              <w:top w:val="nil"/>
              <w:left w:val="nil"/>
              <w:bottom w:val="nil"/>
              <w:right w:val="nil"/>
            </w:tcBorders>
            <w:shd w:val="clear" w:color="auto" w:fill="auto"/>
            <w:vAlign w:val="center"/>
          </w:tcPr>
          <w:p>
            <w:pPr>
              <w:widowControl/>
              <w:jc w:val="center"/>
              <w:textAlignment w:val="center"/>
              <w:rPr>
                <w:rFonts w:hint="default" w:ascii="Times New Roman" w:hAnsi="Times New Roman" w:cs="Times New Roman"/>
                <w:b/>
                <w:kern w:val="0"/>
                <w:sz w:val="32"/>
                <w:szCs w:val="32"/>
              </w:rPr>
            </w:pPr>
          </w:p>
        </w:tc>
      </w:tr>
      <w:tr>
        <w:tblPrEx>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Times New Roman" w:hAnsi="Times New Roman" w:cs="Times New Roman"/>
                <w:sz w:val="24"/>
              </w:rPr>
            </w:pPr>
            <w:r>
              <w:rPr>
                <w:rFonts w:hint="default" w:ascii="Times New Roman" w:hAnsi="Times New Roman" w:cs="Times New Roman"/>
                <w:sz w:val="24"/>
              </w:rPr>
              <w:t>攀枝花市生态环境局（651）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西区生态环境局</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项目预算</w:t>
            </w:r>
            <w:r>
              <w:rPr>
                <w:rFonts w:hint="default" w:ascii="Times New Roman" w:hAnsi="Times New Roman" w:cs="Times New Roman"/>
                <w:kern w:val="0"/>
                <w:sz w:val="24"/>
              </w:rPr>
              <w:br w:type="textWrapping"/>
            </w:r>
            <w:r>
              <w:rPr>
                <w:rFonts w:hint="default" w:ascii="Times New Roman" w:hAnsi="Times New Roman" w:cs="Times New Roman"/>
                <w:kern w:val="0"/>
                <w:sz w:val="24"/>
              </w:rPr>
              <w:t>执行情况</w:t>
            </w:r>
            <w:r>
              <w:rPr>
                <w:rFonts w:hint="default" w:ascii="Times New Roman" w:hAnsi="Times New Roman" w:cs="Times New Roman"/>
                <w:kern w:val="0"/>
                <w:sz w:val="24"/>
              </w:rPr>
              <w:br w:type="textWrapping"/>
            </w:r>
            <w:r>
              <w:rPr>
                <w:rFonts w:hint="default" w:ascii="Times New Roman" w:hAnsi="Times New Roman" w:cs="Times New Roman"/>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sz w:val="24"/>
              </w:rPr>
              <w:t>7</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514"/>
              </w:tabs>
              <w:spacing w:line="320" w:lineRule="exact"/>
              <w:jc w:val="left"/>
              <w:textAlignment w:val="center"/>
              <w:rPr>
                <w:rFonts w:hint="default" w:ascii="Times New Roman" w:hAnsi="Times New Roman" w:cs="Times New Roman"/>
                <w:b/>
                <w:bCs/>
                <w:sz w:val="24"/>
              </w:rPr>
            </w:pPr>
            <w:r>
              <w:rPr>
                <w:rFonts w:hint="default" w:ascii="Times New Roman" w:hAnsi="Times New Roman" w:cs="Times New Roman"/>
                <w:sz w:val="24"/>
              </w:rPr>
              <w:t>7</w:t>
            </w: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sz w:val="24"/>
              </w:rPr>
              <w:t>7</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Times New Roman" w:hAnsi="Times New Roman" w:cs="Times New Roman"/>
                <w:sz w:val="24"/>
              </w:rPr>
            </w:pPr>
            <w:r>
              <w:rPr>
                <w:rFonts w:hint="default" w:ascii="Times New Roman" w:hAnsi="Times New Roman" w:cs="Times New Roman"/>
                <w:sz w:val="24"/>
              </w:rPr>
              <w:t>7</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kern w:val="0"/>
                <w:sz w:val="24"/>
              </w:rPr>
            </w:pPr>
            <w:r>
              <w:rPr>
                <w:rFonts w:hint="default" w:ascii="Times New Roman" w:hAnsi="Times New Roman" w:cs="Times New Roman"/>
                <w:kern w:val="0"/>
                <w:sz w:val="24"/>
              </w:rPr>
              <w:t>年度总体目标</w:t>
            </w:r>
          </w:p>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kern w:val="0"/>
                <w:sz w:val="18"/>
                <w:szCs w:val="18"/>
              </w:rPr>
              <w:t>整合该笔资金，用于实施攀枝花市西区环境应急监控中心项目。</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kern w:val="0"/>
                <w:sz w:val="18"/>
                <w:szCs w:val="18"/>
              </w:rPr>
              <w:t>根据工作安排已完成攀枝花市西区环境应急监控中心项目建设方案编制，攀枝花市西区环境应急监控中心项目已正式开工。</w:t>
            </w: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一级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二级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三级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完成</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eastAsia="仿宋_GB2312" w:cs="Times New Roman"/>
                <w:sz w:val="28"/>
                <w:szCs w:val="28"/>
              </w:rPr>
            </w:pPr>
            <w:r>
              <w:rPr>
                <w:rFonts w:hint="default" w:ascii="Times New Roman" w:hAnsi="Times New Roman" w:cs="Times New Roman"/>
                <w:color w:val="000000"/>
                <w:kern w:val="0"/>
                <w:sz w:val="18"/>
                <w:szCs w:val="18"/>
              </w:rPr>
              <w:t>在现有环境空气质量监测点位的基础上，针对重点、热点区域增设空气微站，升级环境质量管理系统</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sz w:val="28"/>
                <w:szCs w:val="28"/>
              </w:rPr>
            </w:pPr>
            <w:r>
              <w:rPr>
                <w:rFonts w:hint="default" w:ascii="Times New Roman" w:hAnsi="Times New Roman" w:cs="Times New Roman"/>
                <w:kern w:val="0"/>
                <w:sz w:val="18"/>
                <w:szCs w:val="18"/>
              </w:rPr>
              <w:t>完成项目方案设计，软件平台系统搭建。</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sz w:val="28"/>
                <w:szCs w:val="28"/>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8"/>
                <w:szCs w:val="28"/>
              </w:rPr>
            </w:pPr>
            <w:r>
              <w:rPr>
                <w:rFonts w:hint="default" w:ascii="Times New Roman" w:hAnsi="Times New Roman" w:cs="Times New Roman"/>
                <w:color w:val="000000"/>
                <w:kern w:val="0"/>
                <w:sz w:val="18"/>
                <w:szCs w:val="18"/>
              </w:rPr>
              <w:t>全面提升园区污染源精细化、智能化管理水平</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实现环境质量数据展示和分析及预警功能</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cs="Times New Roman"/>
                <w:color w:val="000000"/>
                <w:kern w:val="0"/>
                <w:sz w:val="18"/>
                <w:szCs w:val="18"/>
              </w:rPr>
              <w:t>按期完成项目研究</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按期推进项目进度</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按期推进项目进度</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8"/>
                <w:szCs w:val="28"/>
              </w:rPr>
            </w:pPr>
            <w:r>
              <w:rPr>
                <w:rFonts w:hint="default" w:ascii="Times New Roman" w:hAnsi="Times New Roman" w:cs="Times New Roman"/>
                <w:color w:val="000000"/>
                <w:kern w:val="0"/>
                <w:sz w:val="18"/>
                <w:szCs w:val="18"/>
              </w:rPr>
              <w:t>攀枝花西区环境质量综合监管平台建设276.7万元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攀枝花市西区环境应急监控中心项目建设方案编制费5.6万元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效益</w:t>
            </w:r>
            <w:r>
              <w:rPr>
                <w:rFonts w:hint="default" w:ascii="Times New Roman" w:hAnsi="Times New Roman" w:eastAsia="仿宋_GB2312" w:cs="Times New Roman"/>
                <w:kern w:val="0"/>
                <w:sz w:val="28"/>
                <w:szCs w:val="28"/>
              </w:rPr>
              <w:br w:type="textWrapping"/>
            </w: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8"/>
                <w:szCs w:val="28"/>
              </w:rPr>
            </w:pPr>
            <w:r>
              <w:rPr>
                <w:rFonts w:hint="default" w:ascii="Times New Roman" w:hAnsi="Times New Roman" w:cs="Times New Roman"/>
                <w:color w:val="000000"/>
                <w:kern w:val="0"/>
                <w:sz w:val="18"/>
                <w:szCs w:val="18"/>
              </w:rPr>
              <w:t>为环境保护工作提供智能决策</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实现对污染源和区域环境质量的全面监控、预警</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8"/>
                <w:szCs w:val="28"/>
              </w:rPr>
            </w:pPr>
            <w:r>
              <w:rPr>
                <w:rFonts w:hint="default" w:ascii="Times New Roman" w:hAnsi="Times New Roman" w:cs="Times New Roman"/>
                <w:color w:val="000000"/>
                <w:kern w:val="0"/>
                <w:sz w:val="18"/>
                <w:szCs w:val="18"/>
              </w:rPr>
              <w:t>进一步提升辖区环境管理水平</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实现对污染源和环境质量全面监控、预警、智能决策</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8"/>
                <w:szCs w:val="28"/>
              </w:rPr>
            </w:pPr>
            <w:r>
              <w:rPr>
                <w:rFonts w:hint="default" w:ascii="Times New Roman" w:hAnsi="Times New Roman" w:cs="Times New Roman"/>
                <w:color w:val="000000"/>
                <w:kern w:val="0"/>
                <w:sz w:val="18"/>
                <w:szCs w:val="18"/>
              </w:rPr>
              <w:t>指提高环境质量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加强生态环境综合治理，补齐生态环境短板</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8"/>
                <w:szCs w:val="28"/>
              </w:rPr>
            </w:pPr>
            <w:r>
              <w:rPr>
                <w:rFonts w:hint="default" w:ascii="Times New Roman" w:hAnsi="Times New Roman" w:cs="Times New Roman"/>
                <w:color w:val="000000"/>
                <w:kern w:val="0"/>
                <w:sz w:val="18"/>
                <w:szCs w:val="18"/>
              </w:rPr>
              <w:t>项目连续运行</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firstLine="90" w:firstLineChars="50"/>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良好</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满意</w:t>
            </w:r>
            <w:r>
              <w:rPr>
                <w:rFonts w:hint="default" w:ascii="Times New Roman" w:hAnsi="Times New Roman" w:eastAsia="仿宋_GB2312" w:cs="Times New Roman"/>
                <w:kern w:val="0"/>
                <w:sz w:val="28"/>
                <w:szCs w:val="28"/>
              </w:rPr>
              <w:br w:type="textWrapping"/>
            </w:r>
            <w:r>
              <w:rPr>
                <w:rFonts w:hint="default" w:ascii="Times New Roman" w:hAnsi="Times New Roman" w:eastAsia="仿宋_GB2312" w:cs="Times New Roman"/>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满意度</w:t>
            </w:r>
          </w:p>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8"/>
                <w:szCs w:val="28"/>
              </w:rPr>
            </w:pPr>
            <w:r>
              <w:rPr>
                <w:rFonts w:hint="default" w:ascii="Times New Roman" w:hAnsi="Times New Roman" w:cs="Times New Roman"/>
                <w:color w:val="000000"/>
                <w:kern w:val="0"/>
                <w:sz w:val="18"/>
                <w:szCs w:val="18"/>
              </w:rPr>
              <w:t>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群众满意</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100%</w:t>
            </w:r>
          </w:p>
        </w:tc>
      </w:tr>
    </w:tbl>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spacing w:line="572" w:lineRule="exact"/>
        <w:jc w:val="left"/>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附件5</w:t>
      </w:r>
    </w:p>
    <w:tbl>
      <w:tblPr>
        <w:tblStyle w:val="14"/>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jc w:val="center"/>
              <w:textAlignment w:val="center"/>
              <w:rPr>
                <w:rFonts w:hint="default" w:ascii="Times New Roman" w:hAnsi="Times New Roman" w:cs="Times New Roman"/>
                <w:b/>
                <w:sz w:val="32"/>
                <w:szCs w:val="32"/>
              </w:rPr>
            </w:pPr>
            <w:r>
              <w:rPr>
                <w:rFonts w:hint="default" w:ascii="Times New Roman" w:hAnsi="Times New Roman" w:cs="Times New Roman"/>
                <w:b/>
                <w:sz w:val="32"/>
                <w:szCs w:val="32"/>
              </w:rPr>
              <w:t>2017年第二批省级环保应急机动保障资金项目绩效目标自评</w:t>
            </w:r>
          </w:p>
        </w:tc>
        <w:tc>
          <w:tcPr>
            <w:tcW w:w="234" w:type="dxa"/>
            <w:tcBorders>
              <w:top w:val="nil"/>
              <w:left w:val="nil"/>
              <w:bottom w:val="nil"/>
              <w:right w:val="nil"/>
            </w:tcBorders>
            <w:shd w:val="clear" w:color="auto" w:fill="auto"/>
            <w:vAlign w:val="center"/>
          </w:tcPr>
          <w:p>
            <w:pPr>
              <w:widowControl/>
              <w:jc w:val="center"/>
              <w:textAlignment w:val="center"/>
              <w:rPr>
                <w:rFonts w:hint="default" w:ascii="Times New Roman" w:hAnsi="Times New Roman" w:cs="Times New Roman"/>
                <w:b/>
                <w:kern w:val="0"/>
                <w:sz w:val="32"/>
                <w:szCs w:val="32"/>
              </w:rPr>
            </w:pPr>
          </w:p>
        </w:tc>
      </w:tr>
      <w:tr>
        <w:tblPrEx>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Times New Roman" w:hAnsi="Times New Roman" w:cs="Times New Roman"/>
                <w:sz w:val="24"/>
              </w:rPr>
            </w:pPr>
            <w:r>
              <w:rPr>
                <w:rFonts w:hint="default" w:ascii="Times New Roman" w:hAnsi="Times New Roman" w:cs="Times New Roman"/>
                <w:sz w:val="24"/>
              </w:rPr>
              <w:t>攀枝花市生态环境局（651）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西区生态环境局</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项目预算</w:t>
            </w:r>
            <w:r>
              <w:rPr>
                <w:rFonts w:hint="default" w:ascii="Times New Roman" w:hAnsi="Times New Roman" w:cs="Times New Roman"/>
                <w:kern w:val="0"/>
                <w:sz w:val="24"/>
              </w:rPr>
              <w:br w:type="textWrapping"/>
            </w:r>
            <w:r>
              <w:rPr>
                <w:rFonts w:hint="default" w:ascii="Times New Roman" w:hAnsi="Times New Roman" w:cs="Times New Roman"/>
                <w:kern w:val="0"/>
                <w:sz w:val="24"/>
              </w:rPr>
              <w:t>执行情况</w:t>
            </w:r>
            <w:r>
              <w:rPr>
                <w:rFonts w:hint="default" w:ascii="Times New Roman" w:hAnsi="Times New Roman" w:cs="Times New Roman"/>
                <w:kern w:val="0"/>
                <w:sz w:val="24"/>
              </w:rPr>
              <w:br w:type="textWrapping"/>
            </w:r>
            <w:r>
              <w:rPr>
                <w:rFonts w:hint="default" w:ascii="Times New Roman" w:hAnsi="Times New Roman" w:cs="Times New Roman"/>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18"/>
                <w:szCs w:val="18"/>
              </w:rPr>
              <w:t>198.6326</w:t>
            </w:r>
            <w:r>
              <w:rPr>
                <w:rFonts w:hint="default" w:ascii="Times New Roman" w:hAnsi="Times New Roman" w:cs="Times New Roman"/>
                <w:sz w:val="24"/>
              </w:rPr>
              <w:t>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514"/>
              </w:tabs>
              <w:spacing w:line="320" w:lineRule="exact"/>
              <w:jc w:val="left"/>
              <w:textAlignment w:val="center"/>
              <w:rPr>
                <w:rFonts w:hint="default" w:ascii="Times New Roman" w:hAnsi="Times New Roman" w:cs="Times New Roman"/>
                <w:b/>
                <w:bCs/>
                <w:sz w:val="24"/>
              </w:rPr>
            </w:pPr>
            <w:r>
              <w:rPr>
                <w:rFonts w:hint="default" w:ascii="Times New Roman" w:hAnsi="Times New Roman" w:cs="Times New Roman"/>
                <w:kern w:val="0"/>
                <w:sz w:val="18"/>
                <w:szCs w:val="18"/>
              </w:rPr>
              <w:t>198.6326</w:t>
            </w: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18"/>
                <w:szCs w:val="18"/>
              </w:rPr>
              <w:t>198.6326</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Times New Roman" w:hAnsi="Times New Roman" w:cs="Times New Roman"/>
                <w:sz w:val="24"/>
              </w:rPr>
            </w:pPr>
            <w:r>
              <w:rPr>
                <w:rFonts w:hint="default" w:ascii="Times New Roman" w:hAnsi="Times New Roman" w:cs="Times New Roman"/>
                <w:kern w:val="0"/>
                <w:sz w:val="18"/>
                <w:szCs w:val="18"/>
              </w:rPr>
              <w:t>198.6326</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kern w:val="0"/>
                <w:sz w:val="24"/>
              </w:rPr>
            </w:pPr>
            <w:r>
              <w:rPr>
                <w:rFonts w:hint="default" w:ascii="Times New Roman" w:hAnsi="Times New Roman" w:cs="Times New Roman"/>
                <w:kern w:val="0"/>
                <w:sz w:val="24"/>
              </w:rPr>
              <w:t>年度总体目标</w:t>
            </w:r>
          </w:p>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kern w:val="0"/>
                <w:sz w:val="18"/>
                <w:szCs w:val="18"/>
              </w:rPr>
              <w:t>整合该笔资金，用于实施攀枝花市西区环境应急监控中心项目。</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kern w:val="0"/>
                <w:sz w:val="18"/>
                <w:szCs w:val="18"/>
              </w:rPr>
              <w:t>根据工作安排已完成攀枝花市西区环境应急监控中心项目建设方案编制，攀枝花市西区环境应急监控中心项目已正式开工。</w:t>
            </w: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一级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二级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三级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完成</w:t>
            </w:r>
          </w:p>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eastAsia="仿宋_GB2312" w:cs="Times New Roman"/>
                <w:sz w:val="28"/>
                <w:szCs w:val="28"/>
              </w:rPr>
            </w:pPr>
            <w:r>
              <w:rPr>
                <w:rFonts w:hint="default" w:ascii="Times New Roman" w:hAnsi="Times New Roman" w:cs="Times New Roman"/>
                <w:color w:val="000000"/>
                <w:kern w:val="0"/>
                <w:sz w:val="18"/>
                <w:szCs w:val="18"/>
              </w:rPr>
              <w:t>在现有环境空气质量监测点位的基础上，针对重点、热点区域增设空气微站，升级环境质量管理系统</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sz w:val="28"/>
                <w:szCs w:val="28"/>
              </w:rPr>
            </w:pPr>
            <w:r>
              <w:rPr>
                <w:rFonts w:hint="default" w:ascii="Times New Roman" w:hAnsi="Times New Roman" w:cs="Times New Roman"/>
                <w:kern w:val="0"/>
                <w:sz w:val="18"/>
                <w:szCs w:val="18"/>
              </w:rPr>
              <w:t>完成项目方案设计，软件平台系统搭建。</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sz w:val="28"/>
                <w:szCs w:val="28"/>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8"/>
                <w:szCs w:val="28"/>
              </w:rPr>
            </w:pPr>
            <w:r>
              <w:rPr>
                <w:rFonts w:hint="default" w:ascii="Times New Roman" w:hAnsi="Times New Roman" w:cs="Times New Roman"/>
                <w:color w:val="000000"/>
                <w:kern w:val="0"/>
                <w:sz w:val="18"/>
                <w:szCs w:val="18"/>
              </w:rPr>
              <w:t>指标1：全面提升园区污染源精细化、智能化管理水平</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实现环境质量数据展示和分析及预警功能</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8"/>
                <w:szCs w:val="28"/>
              </w:rPr>
            </w:pPr>
            <w:r>
              <w:rPr>
                <w:rFonts w:hint="default" w:ascii="Times New Roman" w:hAnsi="Times New Roman" w:cs="Times New Roman"/>
                <w:color w:val="000000"/>
                <w:kern w:val="0"/>
                <w:sz w:val="18"/>
                <w:szCs w:val="18"/>
              </w:rPr>
              <w:t>指标1：按期完成项目建设</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按期推进项目进度</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8"/>
                <w:szCs w:val="28"/>
              </w:rPr>
            </w:pPr>
            <w:r>
              <w:rPr>
                <w:rFonts w:hint="default" w:ascii="Times New Roman" w:hAnsi="Times New Roman" w:cs="Times New Roman"/>
                <w:color w:val="000000"/>
                <w:kern w:val="0"/>
                <w:sz w:val="18"/>
                <w:szCs w:val="18"/>
              </w:rPr>
              <w:t>指标1：攀枝花西区环境质量综合监管平台建设276.7万元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攀枝花市西区环境应急监控中心项目建设方案编制费5.6万元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效益</w:t>
            </w:r>
            <w:r>
              <w:rPr>
                <w:rFonts w:hint="default" w:ascii="Times New Roman" w:hAnsi="Times New Roman" w:eastAsia="仿宋_GB2312" w:cs="Times New Roman"/>
                <w:kern w:val="0"/>
                <w:sz w:val="28"/>
                <w:szCs w:val="28"/>
              </w:rPr>
              <w:br w:type="textWrapping"/>
            </w: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8"/>
                <w:szCs w:val="28"/>
              </w:rPr>
            </w:pPr>
            <w:r>
              <w:rPr>
                <w:rFonts w:hint="default" w:ascii="Times New Roman" w:hAnsi="Times New Roman" w:cs="Times New Roman"/>
                <w:color w:val="000000"/>
                <w:kern w:val="0"/>
                <w:sz w:val="18"/>
                <w:szCs w:val="18"/>
              </w:rPr>
              <w:t>指标1：为环境保护工作提供智能决策</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实现对污染源和区域环境质量的全面监控、预警</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8"/>
                <w:szCs w:val="28"/>
              </w:rPr>
            </w:pPr>
            <w:r>
              <w:rPr>
                <w:rFonts w:hint="default" w:ascii="Times New Roman" w:hAnsi="Times New Roman" w:cs="Times New Roman"/>
                <w:color w:val="000000"/>
                <w:kern w:val="0"/>
                <w:sz w:val="18"/>
                <w:szCs w:val="18"/>
              </w:rPr>
              <w:t>指标1：进一步提升辖区环境管理水平</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实现对污染源和环境质量全面监控、预警、智能决策</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8"/>
                <w:szCs w:val="28"/>
              </w:rPr>
            </w:pPr>
            <w:r>
              <w:rPr>
                <w:rFonts w:hint="default" w:ascii="Times New Roman" w:hAnsi="Times New Roman" w:cs="Times New Roman"/>
                <w:color w:val="000000"/>
                <w:kern w:val="0"/>
                <w:sz w:val="18"/>
                <w:szCs w:val="18"/>
              </w:rPr>
              <w:t>指标1：指提高环境质量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加强生态环境综合治理，补齐生态环境短板</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default" w:ascii="Times New Roman" w:hAnsi="Times New Roman" w:eastAsia="仿宋_GB2312" w:cs="Times New Roman"/>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8"/>
                <w:szCs w:val="28"/>
              </w:rPr>
            </w:pPr>
            <w:r>
              <w:rPr>
                <w:rFonts w:hint="default" w:ascii="Times New Roman" w:hAnsi="Times New Roman" w:cs="Times New Roman"/>
                <w:color w:val="000000"/>
                <w:kern w:val="0"/>
                <w:sz w:val="18"/>
                <w:szCs w:val="18"/>
              </w:rPr>
              <w:t>指标1：项目连续运行</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firstLine="90" w:firstLineChars="50"/>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良好</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eastAsia="仿宋_GB2312" w:cs="Times New Roman"/>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满意</w:t>
            </w:r>
            <w:r>
              <w:rPr>
                <w:rFonts w:hint="default" w:ascii="Times New Roman" w:hAnsi="Times New Roman" w:eastAsia="仿宋_GB2312" w:cs="Times New Roman"/>
                <w:kern w:val="0"/>
                <w:sz w:val="28"/>
                <w:szCs w:val="28"/>
              </w:rPr>
              <w:br w:type="textWrapping"/>
            </w:r>
            <w:r>
              <w:rPr>
                <w:rFonts w:hint="default" w:ascii="Times New Roman" w:hAnsi="Times New Roman" w:eastAsia="仿宋_GB2312" w:cs="Times New Roman"/>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满意度</w:t>
            </w:r>
          </w:p>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8"/>
                <w:szCs w:val="28"/>
              </w:rPr>
            </w:pPr>
            <w:r>
              <w:rPr>
                <w:rFonts w:hint="default" w:ascii="Times New Roman" w:hAnsi="Times New Roman" w:cs="Times New Roman"/>
                <w:color w:val="000000"/>
                <w:kern w:val="0"/>
                <w:sz w:val="18"/>
                <w:szCs w:val="18"/>
              </w:rPr>
              <w:t>指标1：群众满意度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群众满意</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8"/>
                <w:szCs w:val="28"/>
              </w:rPr>
            </w:pPr>
            <w:r>
              <w:rPr>
                <w:rFonts w:hint="default" w:ascii="Times New Roman" w:hAnsi="Times New Roman" w:cs="Times New Roman"/>
                <w:kern w:val="0"/>
                <w:sz w:val="18"/>
                <w:szCs w:val="18"/>
              </w:rPr>
              <w:t>100%</w:t>
            </w:r>
          </w:p>
        </w:tc>
      </w:tr>
    </w:tbl>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spacing w:line="572" w:lineRule="exact"/>
        <w:jc w:val="left"/>
        <w:outlineLvl w:val="0"/>
        <w:rPr>
          <w:rFonts w:hint="default" w:ascii="Times New Roman" w:hAnsi="Times New Roman" w:cs="Times New Roman"/>
        </w:rPr>
      </w:pPr>
      <w:r>
        <w:rPr>
          <w:rFonts w:hint="default" w:ascii="Times New Roman" w:hAnsi="Times New Roman" w:eastAsia="黑体" w:cs="Times New Roman"/>
          <w:sz w:val="32"/>
          <w:szCs w:val="32"/>
        </w:rPr>
        <w:t>附件6</w:t>
      </w:r>
    </w:p>
    <w:tbl>
      <w:tblPr>
        <w:tblStyle w:val="14"/>
        <w:tblpPr w:leftFromText="180" w:rightFromText="180" w:vertAnchor="text" w:horzAnchor="page" w:tblpX="1240" w:tblpY="755"/>
        <w:tblOverlap w:val="never"/>
        <w:tblW w:w="9811" w:type="dxa"/>
        <w:tblInd w:w="0" w:type="dxa"/>
        <w:tblLayout w:type="fixed"/>
        <w:tblCellMar>
          <w:top w:w="0" w:type="dxa"/>
          <w:left w:w="108" w:type="dxa"/>
          <w:bottom w:w="0" w:type="dxa"/>
          <w:right w:w="108" w:type="dxa"/>
        </w:tblCellMar>
      </w:tblPr>
      <w:tblGrid>
        <w:gridCol w:w="2025"/>
        <w:gridCol w:w="1170"/>
        <w:gridCol w:w="1675"/>
        <w:gridCol w:w="1218"/>
        <w:gridCol w:w="1254"/>
        <w:gridCol w:w="2469"/>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jc w:val="center"/>
              <w:textAlignment w:val="center"/>
              <w:rPr>
                <w:rFonts w:hint="default" w:ascii="Times New Roman" w:hAnsi="Times New Roman" w:cs="Times New Roman"/>
                <w:b/>
                <w:sz w:val="32"/>
                <w:szCs w:val="32"/>
              </w:rPr>
            </w:pPr>
            <w:r>
              <w:rPr>
                <w:rFonts w:hint="default" w:ascii="Times New Roman" w:hAnsi="Times New Roman" w:cs="Times New Roman"/>
                <w:b/>
                <w:sz w:val="32"/>
                <w:szCs w:val="32"/>
              </w:rPr>
              <w:t>重新下达2016年省级重点区域污染防治资金-拨付格里坪工业园区污染防护净化带项目项目绩效目标自评</w:t>
            </w:r>
          </w:p>
        </w:tc>
      </w:tr>
      <w:tr>
        <w:tblPrEx>
          <w:tblCellMar>
            <w:top w:w="0" w:type="dxa"/>
            <w:left w:w="108" w:type="dxa"/>
            <w:bottom w:w="0" w:type="dxa"/>
            <w:right w:w="108" w:type="dxa"/>
          </w:tblCellMar>
        </w:tblPrEx>
        <w:trPr>
          <w:trHeight w:val="90"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Times New Roman" w:hAnsi="Times New Roman" w:cs="Times New Roman"/>
                <w:sz w:val="24"/>
              </w:rPr>
            </w:pPr>
            <w:r>
              <w:rPr>
                <w:rFonts w:hint="default" w:ascii="Times New Roman" w:hAnsi="Times New Roman" w:cs="Times New Roman"/>
                <w:sz w:val="24"/>
              </w:rPr>
              <w:t>攀枝花市生态环境局（651）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西区生态环境局</w:t>
            </w:r>
          </w:p>
        </w:tc>
      </w:tr>
      <w:tr>
        <w:tblPrEx>
          <w:tblCellMar>
            <w:top w:w="0" w:type="dxa"/>
            <w:left w:w="108" w:type="dxa"/>
            <w:bottom w:w="0" w:type="dxa"/>
            <w:right w:w="108" w:type="dxa"/>
          </w:tblCellMar>
        </w:tblPrEx>
        <w:trPr>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项目预算</w:t>
            </w:r>
            <w:r>
              <w:rPr>
                <w:rFonts w:hint="default" w:ascii="Times New Roman" w:hAnsi="Times New Roman" w:cs="Times New Roman"/>
                <w:kern w:val="0"/>
                <w:sz w:val="24"/>
              </w:rPr>
              <w:br w:type="textWrapping"/>
            </w:r>
            <w:r>
              <w:rPr>
                <w:rFonts w:hint="default" w:ascii="Times New Roman" w:hAnsi="Times New Roman" w:cs="Times New Roman"/>
                <w:kern w:val="0"/>
                <w:sz w:val="24"/>
              </w:rPr>
              <w:t>执行情况</w:t>
            </w:r>
            <w:r>
              <w:rPr>
                <w:rFonts w:hint="default" w:ascii="Times New Roman" w:hAnsi="Times New Roman" w:cs="Times New Roman"/>
                <w:kern w:val="0"/>
                <w:sz w:val="24"/>
              </w:rPr>
              <w:br w:type="textWrapping"/>
            </w:r>
            <w:r>
              <w:rPr>
                <w:rFonts w:hint="default" w:ascii="Times New Roman" w:hAnsi="Times New Roman" w:cs="Times New Roman"/>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18"/>
                <w:szCs w:val="18"/>
              </w:rPr>
              <w:t>224.8074</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514"/>
              </w:tabs>
              <w:spacing w:line="320" w:lineRule="exact"/>
              <w:jc w:val="left"/>
              <w:textAlignment w:val="center"/>
              <w:rPr>
                <w:rFonts w:hint="default" w:ascii="Times New Roman" w:hAnsi="Times New Roman" w:cs="Times New Roman"/>
                <w:b/>
                <w:bCs/>
                <w:sz w:val="24"/>
              </w:rPr>
            </w:pPr>
            <w:r>
              <w:rPr>
                <w:rFonts w:hint="default" w:ascii="Times New Roman" w:hAnsi="Times New Roman" w:cs="Times New Roman"/>
                <w:kern w:val="0"/>
                <w:sz w:val="18"/>
                <w:szCs w:val="18"/>
              </w:rPr>
              <w:t>224.8074</w:t>
            </w:r>
          </w:p>
        </w:tc>
      </w:tr>
      <w:tr>
        <w:tblPrEx>
          <w:tblCellMar>
            <w:top w:w="0" w:type="dxa"/>
            <w:left w:w="108" w:type="dxa"/>
            <w:bottom w:w="0" w:type="dxa"/>
            <w:right w:w="108" w:type="dxa"/>
          </w:tblCellMar>
        </w:tblPrEx>
        <w:trPr>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18"/>
                <w:szCs w:val="18"/>
              </w:rPr>
              <w:t>224.8074</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Times New Roman" w:hAnsi="Times New Roman" w:cs="Times New Roman"/>
                <w:sz w:val="24"/>
              </w:rPr>
            </w:pPr>
            <w:r>
              <w:rPr>
                <w:rFonts w:hint="default" w:ascii="Times New Roman" w:hAnsi="Times New Roman" w:cs="Times New Roman"/>
                <w:kern w:val="0"/>
                <w:sz w:val="18"/>
                <w:szCs w:val="18"/>
              </w:rPr>
              <w:t>224.8074</w:t>
            </w:r>
          </w:p>
        </w:tc>
      </w:tr>
      <w:tr>
        <w:tblPrEx>
          <w:tblCellMar>
            <w:top w:w="0" w:type="dxa"/>
            <w:left w:w="108" w:type="dxa"/>
            <w:bottom w:w="0" w:type="dxa"/>
            <w:right w:w="108" w:type="dxa"/>
          </w:tblCellMar>
        </w:tblPrEx>
        <w:trPr>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p>
        </w:tc>
      </w:tr>
      <w:tr>
        <w:tblPrEx>
          <w:tblCellMar>
            <w:top w:w="0" w:type="dxa"/>
            <w:left w:w="108" w:type="dxa"/>
            <w:bottom w:w="0" w:type="dxa"/>
            <w:right w:w="108" w:type="dxa"/>
          </w:tblCellMar>
        </w:tblPrEx>
        <w:trPr>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kern w:val="0"/>
                <w:sz w:val="24"/>
              </w:rPr>
            </w:pPr>
            <w:r>
              <w:rPr>
                <w:rFonts w:hint="default" w:ascii="Times New Roman" w:hAnsi="Times New Roman" w:cs="Times New Roman"/>
                <w:kern w:val="0"/>
                <w:sz w:val="24"/>
              </w:rPr>
              <w:t>年度总体目标</w:t>
            </w:r>
          </w:p>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目标实际完成情况</w:t>
            </w:r>
          </w:p>
        </w:tc>
      </w:tr>
      <w:tr>
        <w:tblPrEx>
          <w:tblCellMar>
            <w:top w:w="0" w:type="dxa"/>
            <w:left w:w="108" w:type="dxa"/>
            <w:bottom w:w="0" w:type="dxa"/>
            <w:right w:w="108" w:type="dxa"/>
          </w:tblCellMar>
        </w:tblPrEx>
        <w:trPr>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养护攀枝花市西区格里坪工业园区污染防护净化带项目绿植，确保绿植成活率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已完成</w:t>
            </w:r>
          </w:p>
        </w:tc>
      </w:tr>
      <w:tr>
        <w:tblPrEx>
          <w:tblCellMar>
            <w:top w:w="0" w:type="dxa"/>
            <w:left w:w="108" w:type="dxa"/>
            <w:bottom w:w="0" w:type="dxa"/>
            <w:right w:w="108" w:type="dxa"/>
          </w:tblCellMar>
        </w:tblPrEx>
        <w:trPr>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一级</w:t>
            </w:r>
          </w:p>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二级</w:t>
            </w:r>
          </w:p>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三级</w:t>
            </w:r>
          </w:p>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实际完成指标值</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完成</w:t>
            </w:r>
          </w:p>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cs="Times New Roman"/>
                <w:sz w:val="24"/>
              </w:rPr>
            </w:pPr>
            <w:r>
              <w:rPr>
                <w:rFonts w:hint="default" w:ascii="Times New Roman" w:hAnsi="Times New Roman" w:cs="Times New Roman"/>
                <w:color w:val="000000"/>
                <w:kern w:val="0"/>
                <w:sz w:val="18"/>
                <w:szCs w:val="18"/>
              </w:rPr>
              <w:t>指标1：</w:t>
            </w:r>
            <w:r>
              <w:rPr>
                <w:rFonts w:hint="default" w:ascii="Times New Roman" w:hAnsi="Times New Roman" w:cs="Times New Roman"/>
                <w:kern w:val="0"/>
                <w:sz w:val="18"/>
                <w:szCs w:val="18"/>
              </w:rPr>
              <w:t>格里坪工业园区污染防护净化带项目后期养护</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全年对651.64亩苗木进行养护</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cs="Times New Roman"/>
                <w:sz w:val="24"/>
              </w:rPr>
            </w:pPr>
            <w:r>
              <w:rPr>
                <w:rFonts w:hint="default" w:ascii="Times New Roman" w:hAnsi="Times New Roman" w:cs="Times New Roman"/>
                <w:color w:val="000000"/>
                <w:kern w:val="0"/>
                <w:sz w:val="18"/>
                <w:szCs w:val="18"/>
              </w:rPr>
              <w:t>指标1：确保苗木成活率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577"/>
              </w:tabs>
              <w:spacing w:line="240" w:lineRule="exact"/>
              <w:jc w:val="left"/>
              <w:rPr>
                <w:rFonts w:hint="default" w:ascii="Times New Roman" w:hAnsi="Times New Roman" w:cs="Times New Roman"/>
                <w:sz w:val="24"/>
              </w:rPr>
            </w:pPr>
            <w:r>
              <w:rPr>
                <w:rFonts w:hint="default" w:ascii="Times New Roman" w:hAnsi="Times New Roman" w:cs="Times New Roman"/>
                <w:kern w:val="0"/>
                <w:sz w:val="18"/>
                <w:szCs w:val="18"/>
              </w:rPr>
              <w:t>达工程清单数量的80%以上</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trHeight w:val="415"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cs="Times New Roman"/>
                <w:sz w:val="24"/>
              </w:rPr>
            </w:pPr>
            <w:r>
              <w:rPr>
                <w:rFonts w:hint="default" w:ascii="Times New Roman" w:hAnsi="Times New Roman" w:cs="Times New Roman"/>
                <w:color w:val="000000"/>
                <w:kern w:val="0"/>
                <w:sz w:val="18"/>
                <w:szCs w:val="18"/>
              </w:rPr>
              <w:t>指标1：</w:t>
            </w:r>
            <w:r>
              <w:rPr>
                <w:rFonts w:hint="default" w:ascii="Times New Roman" w:hAnsi="Times New Roman" w:cs="Times New Roman"/>
                <w:kern w:val="0"/>
                <w:sz w:val="18"/>
                <w:szCs w:val="18"/>
              </w:rPr>
              <w:t>按合同约定定期养护</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按合同约定定期养护</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hint="default" w:ascii="Times New Roman" w:hAnsi="Times New Roman" w:cs="Times New Roman"/>
                <w:sz w:val="24"/>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cs="Times New Roman"/>
                <w:sz w:val="24"/>
              </w:rPr>
            </w:pPr>
            <w:r>
              <w:rPr>
                <w:rFonts w:hint="default" w:ascii="Times New Roman" w:hAnsi="Times New Roman" w:cs="Times New Roman"/>
                <w:color w:val="000000"/>
                <w:kern w:val="0"/>
                <w:sz w:val="18"/>
                <w:szCs w:val="18"/>
              </w:rPr>
              <w:t>指标1：1000万元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1000万元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效益</w:t>
            </w:r>
            <w:r>
              <w:rPr>
                <w:rFonts w:hint="default" w:ascii="Times New Roman" w:hAnsi="Times New Roman" w:cs="Times New Roman"/>
                <w:sz w:val="24"/>
              </w:rPr>
              <w:br w:type="textWrapping"/>
            </w:r>
            <w:r>
              <w:rPr>
                <w:rFonts w:hint="default" w:ascii="Times New Roman" w:hAnsi="Times New Roman" w:cs="Times New Roman"/>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cs="Times New Roman"/>
                <w:sz w:val="24"/>
              </w:rPr>
            </w:pPr>
            <w:r>
              <w:rPr>
                <w:rFonts w:hint="default" w:ascii="Times New Roman" w:hAnsi="Times New Roman" w:cs="Times New Roman"/>
                <w:color w:val="000000"/>
                <w:kern w:val="0"/>
                <w:sz w:val="18"/>
                <w:szCs w:val="18"/>
              </w:rPr>
              <w:t>指标1：为我区经济转型提供生态环境保障</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区域污染防治</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cs="Times New Roman"/>
                <w:sz w:val="24"/>
              </w:rPr>
            </w:pPr>
            <w:r>
              <w:rPr>
                <w:rFonts w:hint="default" w:ascii="Times New Roman" w:hAnsi="Times New Roman" w:cs="Times New Roman"/>
                <w:color w:val="000000"/>
                <w:kern w:val="0"/>
                <w:sz w:val="18"/>
                <w:szCs w:val="18"/>
              </w:rPr>
              <w:t>指标1：区域污染综合整治</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解决环境突出问题</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trHeight w:val="577"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cs="Times New Roman"/>
                <w:sz w:val="24"/>
              </w:rPr>
            </w:pPr>
            <w:r>
              <w:rPr>
                <w:rFonts w:hint="default" w:ascii="Times New Roman" w:hAnsi="Times New Roman" w:cs="Times New Roman"/>
                <w:color w:val="000000"/>
                <w:kern w:val="0"/>
                <w:sz w:val="18"/>
                <w:szCs w:val="18"/>
              </w:rPr>
              <w:t>指标1：改善我区生态环境质量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有效减轻工业废气、道路扬尘及汽车尾气对项目周边区域（主要是经堂村、苦荞村、滥坝村、格里坪镇及苏铁自然保护区）大气环境的影响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trHeight w:val="480"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cs="Times New Roman"/>
                <w:sz w:val="24"/>
              </w:rPr>
            </w:pPr>
            <w:r>
              <w:rPr>
                <w:rFonts w:hint="default" w:ascii="Times New Roman" w:hAnsi="Times New Roman" w:cs="Times New Roman"/>
                <w:color w:val="000000"/>
                <w:kern w:val="0"/>
                <w:sz w:val="18"/>
                <w:szCs w:val="18"/>
              </w:rPr>
              <w:t>指标1：随着苗木生长，持续改善区域生态环境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hint="default" w:ascii="Times New Roman" w:hAnsi="Times New Roman" w:cs="Times New Roman"/>
                <w:sz w:val="24"/>
              </w:rPr>
            </w:pPr>
            <w:r>
              <w:rPr>
                <w:rFonts w:hint="default" w:ascii="Times New Roman" w:hAnsi="Times New Roman" w:cs="Times New Roman"/>
                <w:kern w:val="0"/>
                <w:sz w:val="18"/>
                <w:szCs w:val="18"/>
              </w:rPr>
              <w:t>长期</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满意</w:t>
            </w:r>
            <w:r>
              <w:rPr>
                <w:rFonts w:hint="default" w:ascii="Times New Roman" w:hAnsi="Times New Roman" w:cs="Times New Roman"/>
                <w:sz w:val="24"/>
              </w:rPr>
              <w:br w:type="textWrapping"/>
            </w:r>
            <w:r>
              <w:rPr>
                <w:rFonts w:hint="default" w:ascii="Times New Roman" w:hAnsi="Times New Roman" w:cs="Times New Roman"/>
                <w:sz w:val="24"/>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满意度</w:t>
            </w:r>
          </w:p>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cs="Times New Roman"/>
                <w:sz w:val="24"/>
              </w:rPr>
            </w:pPr>
            <w:r>
              <w:rPr>
                <w:rFonts w:hint="default" w:ascii="Times New Roman" w:hAnsi="Times New Roman" w:cs="Times New Roman"/>
                <w:color w:val="000000"/>
                <w:kern w:val="0"/>
                <w:sz w:val="18"/>
                <w:szCs w:val="18"/>
              </w:rPr>
              <w:t>指标1：群众满意度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抽样调查达到基本满意级以上</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100%</w:t>
            </w:r>
          </w:p>
        </w:tc>
      </w:tr>
    </w:tbl>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spacing w:line="572" w:lineRule="exact"/>
        <w:jc w:val="left"/>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附件7</w:t>
      </w:r>
    </w:p>
    <w:tbl>
      <w:tblPr>
        <w:tblStyle w:val="14"/>
        <w:tblpPr w:leftFromText="180" w:rightFromText="180" w:vertAnchor="text" w:horzAnchor="page" w:tblpX="1240" w:tblpY="755"/>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jc w:val="center"/>
              <w:textAlignment w:val="center"/>
              <w:rPr>
                <w:rFonts w:hint="default" w:ascii="Times New Roman" w:hAnsi="Times New Roman" w:cs="Times New Roman"/>
                <w:b/>
                <w:sz w:val="32"/>
                <w:szCs w:val="32"/>
              </w:rPr>
            </w:pPr>
            <w:r>
              <w:rPr>
                <w:rFonts w:hint="default" w:ascii="Times New Roman" w:hAnsi="Times New Roman" w:cs="Times New Roman"/>
                <w:b/>
                <w:sz w:val="32"/>
                <w:szCs w:val="32"/>
              </w:rPr>
              <w:t>生态环境保护督察专项工作经费项目绩效目标自评</w:t>
            </w:r>
          </w:p>
        </w:tc>
        <w:tc>
          <w:tcPr>
            <w:tcW w:w="234" w:type="dxa"/>
            <w:tcBorders>
              <w:top w:val="nil"/>
              <w:left w:val="nil"/>
              <w:bottom w:val="nil"/>
              <w:right w:val="nil"/>
            </w:tcBorders>
            <w:shd w:val="clear" w:color="auto" w:fill="auto"/>
            <w:vAlign w:val="center"/>
          </w:tcPr>
          <w:p>
            <w:pPr>
              <w:widowControl/>
              <w:jc w:val="center"/>
              <w:textAlignment w:val="center"/>
              <w:rPr>
                <w:rFonts w:hint="default" w:ascii="Times New Roman" w:hAnsi="Times New Roman" w:cs="Times New Roman"/>
                <w:b/>
                <w:kern w:val="0"/>
                <w:sz w:val="32"/>
                <w:szCs w:val="32"/>
              </w:rPr>
            </w:pPr>
          </w:p>
        </w:tc>
      </w:tr>
      <w:tr>
        <w:tblPrEx>
          <w:tblCellMar>
            <w:top w:w="0" w:type="dxa"/>
            <w:left w:w="108" w:type="dxa"/>
            <w:bottom w:w="0" w:type="dxa"/>
            <w:right w:w="108" w:type="dxa"/>
          </w:tblCellMar>
        </w:tblPrEx>
        <w:trPr>
          <w:gridAfter w:val="1"/>
          <w:wAfter w:w="234" w:type="dxa"/>
          <w:trHeight w:val="90"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Times New Roman" w:hAnsi="Times New Roman" w:cs="Times New Roman"/>
                <w:sz w:val="24"/>
              </w:rPr>
            </w:pPr>
            <w:r>
              <w:rPr>
                <w:rFonts w:hint="default" w:ascii="Times New Roman" w:hAnsi="Times New Roman" w:cs="Times New Roman"/>
                <w:sz w:val="24"/>
              </w:rPr>
              <w:t>攀枝花市生态环境局（651）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西区生态环境局</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项目预算</w:t>
            </w:r>
            <w:r>
              <w:rPr>
                <w:rFonts w:hint="default" w:ascii="Times New Roman" w:hAnsi="Times New Roman" w:cs="Times New Roman"/>
                <w:kern w:val="0"/>
                <w:sz w:val="24"/>
              </w:rPr>
              <w:br w:type="textWrapping"/>
            </w:r>
            <w:r>
              <w:rPr>
                <w:rFonts w:hint="default" w:ascii="Times New Roman" w:hAnsi="Times New Roman" w:cs="Times New Roman"/>
                <w:kern w:val="0"/>
                <w:sz w:val="24"/>
              </w:rPr>
              <w:t>执行情况</w:t>
            </w:r>
            <w:r>
              <w:rPr>
                <w:rFonts w:hint="default" w:ascii="Times New Roman" w:hAnsi="Times New Roman" w:cs="Times New Roman"/>
                <w:kern w:val="0"/>
                <w:sz w:val="24"/>
              </w:rPr>
              <w:br w:type="textWrapping"/>
            </w:r>
            <w:r>
              <w:rPr>
                <w:rFonts w:hint="default" w:ascii="Times New Roman" w:hAnsi="Times New Roman" w:cs="Times New Roman"/>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sz w:val="24"/>
              </w:rPr>
              <w:t>132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514"/>
              </w:tabs>
              <w:spacing w:line="320" w:lineRule="exact"/>
              <w:jc w:val="left"/>
              <w:textAlignment w:val="center"/>
              <w:rPr>
                <w:rFonts w:hint="default" w:ascii="Times New Roman" w:hAnsi="Times New Roman" w:cs="Times New Roman"/>
                <w:b/>
                <w:bCs/>
                <w:sz w:val="24"/>
              </w:rPr>
            </w:pPr>
            <w:r>
              <w:rPr>
                <w:rFonts w:hint="default" w:ascii="Times New Roman" w:hAnsi="Times New Roman" w:cs="Times New Roman"/>
                <w:sz w:val="24"/>
              </w:rPr>
              <w:t>9.6256</w:t>
            </w: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sz w:val="24"/>
              </w:rPr>
              <w:t>132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Times New Roman" w:hAnsi="Times New Roman" w:cs="Times New Roman"/>
                <w:sz w:val="24"/>
              </w:rPr>
            </w:pPr>
            <w:r>
              <w:rPr>
                <w:rFonts w:hint="default" w:ascii="Times New Roman" w:hAnsi="Times New Roman" w:cs="Times New Roman"/>
                <w:sz w:val="24"/>
              </w:rPr>
              <w:t>132</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kern w:val="0"/>
                <w:sz w:val="24"/>
              </w:rPr>
            </w:pPr>
            <w:r>
              <w:rPr>
                <w:rFonts w:hint="default" w:ascii="Times New Roman" w:hAnsi="Times New Roman" w:cs="Times New Roman"/>
                <w:kern w:val="0"/>
                <w:sz w:val="24"/>
              </w:rPr>
              <w:t>年度总体目标</w:t>
            </w:r>
          </w:p>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为全面做好第二轮四川省生态环境保护督察各项迎检工作，确保西区突出生态环境问题整改扎实开展</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为全面做好第二轮四川省生态环境保护督察各项迎检工作，确保西区突出生态环境问题整改扎实开展</w:t>
            </w: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一级</w:t>
            </w:r>
          </w:p>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二级</w:t>
            </w:r>
          </w:p>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三级</w:t>
            </w:r>
          </w:p>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完成</w:t>
            </w:r>
          </w:p>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生态环境保护督察工作</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1</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1</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：全面做好第二轮四川省生态环境保护督察各项迎检工作，确保西区突出生态环境问题整改扎实开展。</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：全面做好第二轮四川省生态环境保护督察各项迎检工作，确保西区突出生态环境问题整改扎实开展。</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≥60：全面做好第二轮四川省生态环境保护督察各项迎检工作，确保西区突出生态环境问题整改扎实开展。</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2021/12/31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2021/12/31</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2021/12/31</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13</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13</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13</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效益</w:t>
            </w:r>
            <w:r>
              <w:rPr>
                <w:rFonts w:hint="default" w:ascii="Times New Roman" w:hAnsi="Times New Roman" w:cs="Times New Roman"/>
                <w:sz w:val="24"/>
              </w:rPr>
              <w:br w:type="textWrapping"/>
            </w:r>
            <w:r>
              <w:rPr>
                <w:rFonts w:hint="default" w:ascii="Times New Roman" w:hAnsi="Times New Roman" w:cs="Times New Roman"/>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环境公共服务程度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逐步提高</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逐步提高</w:t>
            </w: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生态环境质量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逐步改善</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逐步改善</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生态可持续发展</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生态可持续发展</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生态可持续发展</w:t>
            </w: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满意</w:t>
            </w:r>
            <w:r>
              <w:rPr>
                <w:rFonts w:hint="default" w:ascii="Times New Roman" w:hAnsi="Times New Roman" w:cs="Times New Roman"/>
                <w:sz w:val="24"/>
              </w:rPr>
              <w:br w:type="textWrapping"/>
            </w:r>
            <w:r>
              <w:rPr>
                <w:rFonts w:hint="default" w:ascii="Times New Roman" w:hAnsi="Times New Roman" w:cs="Times New Roman"/>
                <w:sz w:val="24"/>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满意度</w:t>
            </w:r>
          </w:p>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≥80%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≥80%</w:t>
            </w:r>
          </w:p>
        </w:tc>
      </w:tr>
    </w:tbl>
    <w:p>
      <w:pPr>
        <w:spacing w:line="572" w:lineRule="exact"/>
        <w:jc w:val="left"/>
        <w:outlineLvl w:val="0"/>
        <w:rPr>
          <w:rFonts w:hint="default" w:ascii="Times New Roman" w:hAnsi="Times New Roman" w:eastAsia="黑体" w:cs="Times New Roman"/>
          <w:sz w:val="32"/>
          <w:szCs w:val="32"/>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pStyle w:val="6"/>
        <w:ind w:firstLine="0" w:firstLineChars="0"/>
        <w:rPr>
          <w:rFonts w:hint="default" w:ascii="Times New Roman" w:hAnsi="Times New Roman" w:cs="Times New Roman"/>
        </w:rPr>
      </w:pPr>
    </w:p>
    <w:p>
      <w:pPr>
        <w:spacing w:line="572" w:lineRule="exact"/>
        <w:jc w:val="left"/>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附件8</w:t>
      </w:r>
    </w:p>
    <w:tbl>
      <w:tblPr>
        <w:tblStyle w:val="14"/>
        <w:tblpPr w:leftFromText="180" w:rightFromText="180" w:vertAnchor="text" w:horzAnchor="page" w:tblpX="1240" w:tblpY="755"/>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jc w:val="center"/>
              <w:textAlignment w:val="center"/>
              <w:rPr>
                <w:rFonts w:hint="default" w:ascii="Times New Roman" w:hAnsi="Times New Roman" w:cs="Times New Roman"/>
                <w:b/>
                <w:sz w:val="32"/>
                <w:szCs w:val="32"/>
              </w:rPr>
            </w:pPr>
            <w:r>
              <w:rPr>
                <w:rFonts w:hint="default" w:ascii="Times New Roman" w:hAnsi="Times New Roman" w:cs="Times New Roman"/>
                <w:b/>
                <w:sz w:val="32"/>
                <w:szCs w:val="32"/>
              </w:rPr>
              <w:t>重新安排2015年市级环保专项资金绩效目标自评</w:t>
            </w:r>
          </w:p>
        </w:tc>
        <w:tc>
          <w:tcPr>
            <w:tcW w:w="234" w:type="dxa"/>
            <w:tcBorders>
              <w:top w:val="nil"/>
              <w:left w:val="nil"/>
              <w:bottom w:val="nil"/>
              <w:right w:val="nil"/>
            </w:tcBorders>
            <w:shd w:val="clear" w:color="auto" w:fill="auto"/>
            <w:vAlign w:val="center"/>
          </w:tcPr>
          <w:p>
            <w:pPr>
              <w:widowControl/>
              <w:jc w:val="center"/>
              <w:textAlignment w:val="center"/>
              <w:rPr>
                <w:rFonts w:hint="default" w:ascii="Times New Roman" w:hAnsi="Times New Roman" w:cs="Times New Roman"/>
                <w:b/>
                <w:kern w:val="0"/>
                <w:sz w:val="32"/>
                <w:szCs w:val="32"/>
              </w:rPr>
            </w:pPr>
          </w:p>
        </w:tc>
      </w:tr>
      <w:tr>
        <w:tblPrEx>
          <w:tblCellMar>
            <w:top w:w="0" w:type="dxa"/>
            <w:left w:w="108" w:type="dxa"/>
            <w:bottom w:w="0" w:type="dxa"/>
            <w:right w:w="108" w:type="dxa"/>
          </w:tblCellMar>
        </w:tblPrEx>
        <w:trPr>
          <w:gridAfter w:val="1"/>
          <w:wAfter w:w="234" w:type="dxa"/>
          <w:trHeight w:val="90"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Times New Roman" w:hAnsi="Times New Roman" w:cs="Times New Roman"/>
                <w:sz w:val="24"/>
              </w:rPr>
            </w:pPr>
            <w:r>
              <w:rPr>
                <w:rFonts w:hint="default" w:ascii="Times New Roman" w:hAnsi="Times New Roman" w:cs="Times New Roman"/>
                <w:sz w:val="24"/>
              </w:rPr>
              <w:t>攀枝花市生态环境局（651）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西区生态环境局</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项目预算</w:t>
            </w:r>
            <w:r>
              <w:rPr>
                <w:rFonts w:hint="default" w:ascii="Times New Roman" w:hAnsi="Times New Roman" w:cs="Times New Roman"/>
                <w:kern w:val="0"/>
                <w:sz w:val="24"/>
              </w:rPr>
              <w:br w:type="textWrapping"/>
            </w:r>
            <w:r>
              <w:rPr>
                <w:rFonts w:hint="default" w:ascii="Times New Roman" w:hAnsi="Times New Roman" w:cs="Times New Roman"/>
                <w:kern w:val="0"/>
                <w:sz w:val="24"/>
              </w:rPr>
              <w:t>执行情况</w:t>
            </w:r>
            <w:r>
              <w:rPr>
                <w:rFonts w:hint="default" w:ascii="Times New Roman" w:hAnsi="Times New Roman" w:cs="Times New Roman"/>
                <w:kern w:val="0"/>
                <w:sz w:val="24"/>
              </w:rPr>
              <w:br w:type="textWrapping"/>
            </w:r>
            <w:r>
              <w:rPr>
                <w:rFonts w:hint="default" w:ascii="Times New Roman" w:hAnsi="Times New Roman" w:cs="Times New Roman"/>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18"/>
                <w:szCs w:val="18"/>
              </w:rPr>
              <w:t>19.4</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514"/>
              </w:tabs>
              <w:spacing w:line="320" w:lineRule="exact"/>
              <w:jc w:val="left"/>
              <w:textAlignment w:val="center"/>
              <w:rPr>
                <w:rFonts w:hint="default" w:ascii="Times New Roman" w:hAnsi="Times New Roman" w:cs="Times New Roman"/>
                <w:b/>
                <w:bCs/>
                <w:sz w:val="24"/>
              </w:rPr>
            </w:pPr>
            <w:r>
              <w:rPr>
                <w:rFonts w:hint="default" w:ascii="Times New Roman" w:hAnsi="Times New Roman" w:cs="Times New Roman"/>
                <w:kern w:val="0"/>
                <w:sz w:val="18"/>
                <w:szCs w:val="18"/>
              </w:rPr>
              <w:t>19.4</w:t>
            </w: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18"/>
                <w:szCs w:val="18"/>
              </w:rPr>
              <w:t>19.4</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Times New Roman" w:hAnsi="Times New Roman" w:cs="Times New Roman"/>
                <w:sz w:val="24"/>
              </w:rPr>
            </w:pPr>
            <w:r>
              <w:rPr>
                <w:rFonts w:hint="default" w:ascii="Times New Roman" w:hAnsi="Times New Roman" w:cs="Times New Roman"/>
                <w:kern w:val="0"/>
                <w:sz w:val="18"/>
                <w:szCs w:val="18"/>
              </w:rPr>
              <w:t>19.4</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kern w:val="0"/>
                <w:sz w:val="24"/>
              </w:rPr>
            </w:pPr>
            <w:r>
              <w:rPr>
                <w:rFonts w:hint="default" w:ascii="Times New Roman" w:hAnsi="Times New Roman" w:cs="Times New Roman"/>
                <w:kern w:val="0"/>
                <w:sz w:val="24"/>
              </w:rPr>
              <w:t>年度总体目标</w:t>
            </w:r>
          </w:p>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固体废弃物成分分析及产业化综合利用课题研究服务项目尾款。</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固体废弃物成分分析及产业化综合利用课题研究服务项目已完成并通过验收。</w:t>
            </w: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一级</w:t>
            </w:r>
          </w:p>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二级</w:t>
            </w:r>
          </w:p>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三级</w:t>
            </w:r>
          </w:p>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完成</w:t>
            </w:r>
          </w:p>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cs="Times New Roman"/>
                <w:sz w:val="24"/>
              </w:rPr>
            </w:pPr>
            <w:r>
              <w:rPr>
                <w:rFonts w:hint="default" w:ascii="Times New Roman" w:hAnsi="Times New Roman" w:cs="Times New Roman"/>
                <w:color w:val="000000"/>
                <w:kern w:val="0"/>
                <w:sz w:val="18"/>
                <w:szCs w:val="18"/>
              </w:rPr>
              <w:t>指标1：</w:t>
            </w:r>
            <w:r>
              <w:rPr>
                <w:rFonts w:hint="default" w:ascii="Times New Roman" w:hAnsi="Times New Roman" w:cs="Times New Roman"/>
                <w:kern w:val="0"/>
                <w:sz w:val="18"/>
                <w:szCs w:val="18"/>
              </w:rPr>
              <w:t>编制《攀枝花市西区固体废弃物成分分析及基础实验报告》</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1本</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1本</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cs="Times New Roman"/>
                <w:sz w:val="24"/>
              </w:rPr>
            </w:pPr>
            <w:r>
              <w:rPr>
                <w:rFonts w:hint="default" w:ascii="Times New Roman" w:hAnsi="Times New Roman" w:cs="Times New Roman"/>
                <w:color w:val="000000"/>
                <w:kern w:val="0"/>
                <w:sz w:val="18"/>
                <w:szCs w:val="18"/>
              </w:rPr>
              <w:t>指标1：完成对西区辖区内的固体废弃物进行分析测试，并在测试的基础上开展固废资源开发利用基础实验、价值评估和利用方向途径研究</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提出固废综合利用方向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cs="Times New Roman"/>
                <w:sz w:val="24"/>
              </w:rPr>
            </w:pPr>
            <w:r>
              <w:rPr>
                <w:rFonts w:hint="default" w:ascii="Times New Roman" w:hAnsi="Times New Roman" w:cs="Times New Roman"/>
                <w:color w:val="000000"/>
                <w:kern w:val="0"/>
                <w:sz w:val="18"/>
                <w:szCs w:val="18"/>
              </w:rPr>
              <w:t>指标1：按期完成项目研究</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按期推进项目进度</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cs="Times New Roman"/>
                <w:sz w:val="24"/>
              </w:rPr>
            </w:pPr>
            <w:r>
              <w:rPr>
                <w:rFonts w:hint="default" w:ascii="Times New Roman" w:hAnsi="Times New Roman" w:cs="Times New Roman"/>
                <w:color w:val="000000"/>
                <w:kern w:val="0"/>
                <w:sz w:val="18"/>
                <w:szCs w:val="18"/>
              </w:rPr>
              <w:t>指标1：</w:t>
            </w:r>
            <w:r>
              <w:rPr>
                <w:rFonts w:hint="default" w:ascii="Times New Roman" w:hAnsi="Times New Roman" w:cs="Times New Roman"/>
                <w:kern w:val="0"/>
                <w:sz w:val="18"/>
                <w:szCs w:val="18"/>
              </w:rPr>
              <w:t>项目服务费尾款</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19.4万元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效益</w:t>
            </w:r>
            <w:r>
              <w:rPr>
                <w:rFonts w:hint="default" w:ascii="Times New Roman" w:hAnsi="Times New Roman" w:cs="Times New Roman"/>
                <w:sz w:val="24"/>
              </w:rPr>
              <w:br w:type="textWrapping"/>
            </w:r>
            <w:r>
              <w:rPr>
                <w:rFonts w:hint="default" w:ascii="Times New Roman" w:hAnsi="Times New Roman" w:cs="Times New Roman"/>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cs="Times New Roman"/>
                <w:sz w:val="24"/>
              </w:rPr>
            </w:pPr>
            <w:r>
              <w:rPr>
                <w:rFonts w:hint="default" w:ascii="Times New Roman" w:hAnsi="Times New Roman" w:cs="Times New Roman"/>
                <w:color w:val="000000"/>
                <w:kern w:val="0"/>
                <w:sz w:val="18"/>
                <w:szCs w:val="18"/>
              </w:rPr>
              <w:t>指标1：提高固废价值</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hint="default" w:ascii="Times New Roman" w:hAnsi="Times New Roman" w:cs="Times New Roman"/>
                <w:sz w:val="24"/>
              </w:rPr>
            </w:pPr>
            <w:r>
              <w:rPr>
                <w:rFonts w:hint="default" w:ascii="Times New Roman" w:hAnsi="Times New Roman" w:cs="Times New Roman"/>
                <w:color w:val="000000"/>
                <w:kern w:val="0"/>
                <w:sz w:val="18"/>
                <w:szCs w:val="18"/>
              </w:rPr>
              <w:t>增加固废综合利用产业</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cs="Times New Roman"/>
                <w:sz w:val="24"/>
              </w:rPr>
            </w:pPr>
            <w:r>
              <w:rPr>
                <w:rFonts w:hint="default" w:ascii="Times New Roman" w:hAnsi="Times New Roman" w:cs="Times New Roman"/>
                <w:color w:val="000000"/>
                <w:kern w:val="0"/>
                <w:sz w:val="18"/>
                <w:szCs w:val="18"/>
              </w:rPr>
              <w:t>指标1：降低固体废弃物引发的社会矛盾</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color w:val="000000"/>
                <w:kern w:val="0"/>
                <w:sz w:val="18"/>
                <w:szCs w:val="18"/>
              </w:rPr>
              <w:t>降低固体废弃物引发的社会矛盾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cs="Times New Roman"/>
                <w:sz w:val="24"/>
              </w:rPr>
            </w:pPr>
            <w:r>
              <w:rPr>
                <w:rFonts w:hint="default" w:ascii="Times New Roman" w:hAnsi="Times New Roman" w:cs="Times New Roman"/>
                <w:color w:val="000000"/>
                <w:kern w:val="0"/>
                <w:sz w:val="18"/>
                <w:szCs w:val="18"/>
              </w:rPr>
              <w:t>指标1：进一步提升辖区固废综合利用率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加强生态环境综合治理，补齐生态环境短板</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cs="Times New Roman"/>
                <w:sz w:val="24"/>
              </w:rPr>
            </w:pPr>
            <w:r>
              <w:rPr>
                <w:rFonts w:hint="default" w:ascii="Times New Roman" w:hAnsi="Times New Roman" w:cs="Times New Roman"/>
                <w:color w:val="000000"/>
                <w:kern w:val="0"/>
                <w:sz w:val="18"/>
                <w:szCs w:val="18"/>
              </w:rPr>
              <w:t>指标1：项目连续运行</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firstLine="90" w:firstLineChars="50"/>
              <w:rPr>
                <w:rFonts w:hint="default" w:ascii="Times New Roman" w:hAnsi="Times New Roman" w:cs="Times New Roman"/>
                <w:sz w:val="24"/>
              </w:rPr>
            </w:pPr>
            <w:r>
              <w:rPr>
                <w:rFonts w:hint="default" w:ascii="Times New Roman" w:hAnsi="Times New Roman" w:cs="Times New Roman"/>
                <w:kern w:val="0"/>
                <w:sz w:val="18"/>
                <w:szCs w:val="18"/>
              </w:rPr>
              <w:t>良好</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满意</w:t>
            </w:r>
            <w:r>
              <w:rPr>
                <w:rFonts w:hint="default" w:ascii="Times New Roman" w:hAnsi="Times New Roman" w:cs="Times New Roman"/>
                <w:sz w:val="24"/>
              </w:rPr>
              <w:br w:type="textWrapping"/>
            </w:r>
            <w:r>
              <w:rPr>
                <w:rFonts w:hint="default" w:ascii="Times New Roman" w:hAnsi="Times New Roman" w:cs="Times New Roman"/>
                <w:sz w:val="24"/>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满意度</w:t>
            </w:r>
          </w:p>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cs="Times New Roman"/>
                <w:sz w:val="24"/>
              </w:rPr>
            </w:pPr>
            <w:r>
              <w:rPr>
                <w:rFonts w:hint="default" w:ascii="Times New Roman" w:hAnsi="Times New Roman" w:cs="Times New Roman"/>
                <w:color w:val="000000"/>
                <w:kern w:val="0"/>
                <w:sz w:val="18"/>
                <w:szCs w:val="18"/>
              </w:rPr>
              <w:t>指标1：群众满意度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群众满意</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100%</w:t>
            </w:r>
          </w:p>
        </w:tc>
      </w:tr>
    </w:tbl>
    <w:p>
      <w:pPr>
        <w:widowControl/>
        <w:adjustRightInd w:val="0"/>
        <w:snapToGrid w:val="0"/>
        <w:spacing w:line="580" w:lineRule="exact"/>
        <w:contextualSpacing/>
        <w:jc w:val="left"/>
        <w:rPr>
          <w:rFonts w:hint="default" w:ascii="Times New Roman" w:hAnsi="Times New Roman" w:cs="Times New Roman"/>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572" w:lineRule="exact"/>
        <w:jc w:val="left"/>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附件9</w:t>
      </w:r>
    </w:p>
    <w:tbl>
      <w:tblPr>
        <w:tblStyle w:val="14"/>
        <w:tblpPr w:leftFromText="180" w:rightFromText="180" w:vertAnchor="text" w:horzAnchor="page" w:tblpX="1240" w:tblpY="755"/>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jc w:val="center"/>
              <w:textAlignment w:val="center"/>
              <w:rPr>
                <w:rFonts w:hint="default" w:ascii="Times New Roman" w:hAnsi="Times New Roman" w:cs="Times New Roman"/>
                <w:b/>
                <w:sz w:val="32"/>
                <w:szCs w:val="32"/>
              </w:rPr>
            </w:pPr>
            <w:r>
              <w:rPr>
                <w:rFonts w:hint="default" w:ascii="Times New Roman" w:hAnsi="Times New Roman" w:cs="Times New Roman"/>
                <w:b/>
                <w:sz w:val="32"/>
                <w:szCs w:val="32"/>
              </w:rPr>
              <w:t>2018省控重点污染源自动监控项目专项资金绩效目标自评</w:t>
            </w:r>
          </w:p>
        </w:tc>
        <w:tc>
          <w:tcPr>
            <w:tcW w:w="234" w:type="dxa"/>
            <w:tcBorders>
              <w:top w:val="nil"/>
              <w:left w:val="nil"/>
              <w:bottom w:val="nil"/>
              <w:right w:val="nil"/>
            </w:tcBorders>
            <w:shd w:val="clear" w:color="auto" w:fill="auto"/>
            <w:vAlign w:val="center"/>
          </w:tcPr>
          <w:p>
            <w:pPr>
              <w:widowControl/>
              <w:jc w:val="center"/>
              <w:textAlignment w:val="center"/>
              <w:rPr>
                <w:rFonts w:hint="default" w:ascii="Times New Roman" w:hAnsi="Times New Roman" w:cs="Times New Roman"/>
                <w:b/>
                <w:kern w:val="0"/>
                <w:sz w:val="32"/>
                <w:szCs w:val="32"/>
              </w:rPr>
            </w:pPr>
          </w:p>
        </w:tc>
      </w:tr>
      <w:tr>
        <w:tblPrEx>
          <w:tblCellMar>
            <w:top w:w="0" w:type="dxa"/>
            <w:left w:w="108" w:type="dxa"/>
            <w:bottom w:w="0" w:type="dxa"/>
            <w:right w:w="108" w:type="dxa"/>
          </w:tblCellMar>
        </w:tblPrEx>
        <w:trPr>
          <w:gridAfter w:val="1"/>
          <w:wAfter w:w="234" w:type="dxa"/>
          <w:trHeight w:val="90"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Times New Roman" w:hAnsi="Times New Roman" w:cs="Times New Roman"/>
                <w:sz w:val="24"/>
              </w:rPr>
            </w:pPr>
            <w:r>
              <w:rPr>
                <w:rFonts w:hint="default" w:ascii="Times New Roman" w:hAnsi="Times New Roman" w:cs="Times New Roman"/>
                <w:sz w:val="24"/>
              </w:rPr>
              <w:t>攀枝花市生态环境局（651）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西区生态环境局</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项目预算</w:t>
            </w:r>
            <w:r>
              <w:rPr>
                <w:rFonts w:hint="default" w:ascii="Times New Roman" w:hAnsi="Times New Roman" w:cs="Times New Roman"/>
                <w:kern w:val="0"/>
                <w:sz w:val="24"/>
              </w:rPr>
              <w:br w:type="textWrapping"/>
            </w:r>
            <w:r>
              <w:rPr>
                <w:rFonts w:hint="default" w:ascii="Times New Roman" w:hAnsi="Times New Roman" w:cs="Times New Roman"/>
                <w:kern w:val="0"/>
                <w:sz w:val="24"/>
              </w:rPr>
              <w:t>执行情况</w:t>
            </w:r>
            <w:r>
              <w:rPr>
                <w:rFonts w:hint="default" w:ascii="Times New Roman" w:hAnsi="Times New Roman" w:cs="Times New Roman"/>
                <w:kern w:val="0"/>
                <w:sz w:val="24"/>
              </w:rPr>
              <w:br w:type="textWrapping"/>
            </w:r>
            <w:r>
              <w:rPr>
                <w:rFonts w:hint="default" w:ascii="Times New Roman" w:hAnsi="Times New Roman" w:cs="Times New Roman"/>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18"/>
                <w:szCs w:val="18"/>
              </w:rPr>
              <w:t>15</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514"/>
              </w:tabs>
              <w:spacing w:line="320" w:lineRule="exact"/>
              <w:jc w:val="left"/>
              <w:textAlignment w:val="center"/>
              <w:rPr>
                <w:rFonts w:hint="default" w:ascii="Times New Roman" w:hAnsi="Times New Roman" w:cs="Times New Roman"/>
                <w:b/>
                <w:bCs/>
                <w:sz w:val="24"/>
              </w:rPr>
            </w:pPr>
            <w:r>
              <w:rPr>
                <w:rFonts w:hint="default" w:ascii="Times New Roman" w:hAnsi="Times New Roman" w:cs="Times New Roman"/>
                <w:kern w:val="0"/>
                <w:sz w:val="18"/>
                <w:szCs w:val="18"/>
              </w:rPr>
              <w:t>15</w:t>
            </w: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18"/>
                <w:szCs w:val="18"/>
              </w:rPr>
              <w:t>15</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Times New Roman" w:hAnsi="Times New Roman" w:cs="Times New Roman"/>
                <w:sz w:val="24"/>
              </w:rPr>
            </w:pPr>
            <w:r>
              <w:rPr>
                <w:rFonts w:hint="default" w:ascii="Times New Roman" w:hAnsi="Times New Roman" w:cs="Times New Roman"/>
                <w:sz w:val="24"/>
              </w:rPr>
              <w:t>15</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kern w:val="0"/>
                <w:sz w:val="24"/>
              </w:rPr>
            </w:pPr>
            <w:r>
              <w:rPr>
                <w:rFonts w:hint="default" w:ascii="Times New Roman" w:hAnsi="Times New Roman" w:cs="Times New Roman"/>
                <w:kern w:val="0"/>
                <w:sz w:val="24"/>
              </w:rPr>
              <w:t>年度总体目标</w:t>
            </w:r>
          </w:p>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整合该笔资金，用于实施攀枝花市西区环境应急监控中心项目。</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根据工作安排已完成攀枝花市西区环境应急监控中心项目建设方案编制，攀枝花市西区环境应急监控中心项目已正式开工。</w:t>
            </w: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一级</w:t>
            </w:r>
          </w:p>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二级</w:t>
            </w:r>
          </w:p>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三级</w:t>
            </w:r>
          </w:p>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完成</w:t>
            </w:r>
          </w:p>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cs="Times New Roman"/>
                <w:sz w:val="24"/>
              </w:rPr>
            </w:pPr>
            <w:r>
              <w:rPr>
                <w:rFonts w:hint="default" w:ascii="Times New Roman" w:hAnsi="Times New Roman" w:cs="Times New Roman"/>
                <w:color w:val="000000"/>
                <w:kern w:val="0"/>
                <w:sz w:val="18"/>
                <w:szCs w:val="18"/>
              </w:rPr>
              <w:t>指标2：在现有环境空气质量监测点位的基础上，针对重点、热点区域增设空气微站，升级环境质量管理系统</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完成项目方案设计，软件平台系统搭建。</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cs="Times New Roman"/>
                <w:sz w:val="24"/>
              </w:rPr>
            </w:pPr>
            <w:r>
              <w:rPr>
                <w:rFonts w:hint="default" w:ascii="Times New Roman" w:hAnsi="Times New Roman" w:cs="Times New Roman"/>
                <w:color w:val="000000"/>
                <w:kern w:val="0"/>
                <w:sz w:val="18"/>
                <w:szCs w:val="18"/>
              </w:rPr>
              <w:t>指标1：全面提升园区污染源精细化、智能化管理水平</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实现环境质量数据展示和分析及预警功能</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cs="Times New Roman"/>
                <w:sz w:val="24"/>
              </w:rPr>
            </w:pPr>
            <w:r>
              <w:rPr>
                <w:rFonts w:hint="default" w:ascii="Times New Roman" w:hAnsi="Times New Roman" w:cs="Times New Roman"/>
                <w:color w:val="000000"/>
                <w:kern w:val="0"/>
                <w:sz w:val="18"/>
                <w:szCs w:val="18"/>
              </w:rPr>
              <w:t>指标1：按期完成项目建设</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按期推进项目进度</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hint="default" w:ascii="Times New Roman" w:hAnsi="Times New Roman" w:cs="Times New Roman"/>
                <w:sz w:val="24"/>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cs="Times New Roman"/>
                <w:sz w:val="24"/>
              </w:rPr>
            </w:pPr>
            <w:r>
              <w:rPr>
                <w:rFonts w:hint="default" w:ascii="Times New Roman" w:hAnsi="Times New Roman" w:cs="Times New Roman"/>
                <w:color w:val="000000"/>
                <w:kern w:val="0"/>
                <w:sz w:val="18"/>
                <w:szCs w:val="18"/>
              </w:rPr>
              <w:t>指标1：攀枝花西区环境质量综合监管平台建设276.7万元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攀枝花市西区环境应急监控中心项目建设方案编制费5.6万元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效益</w:t>
            </w:r>
            <w:r>
              <w:rPr>
                <w:rFonts w:hint="default" w:ascii="Times New Roman" w:hAnsi="Times New Roman" w:cs="Times New Roman"/>
                <w:sz w:val="24"/>
              </w:rPr>
              <w:br w:type="textWrapping"/>
            </w:r>
            <w:r>
              <w:rPr>
                <w:rFonts w:hint="default" w:ascii="Times New Roman" w:hAnsi="Times New Roman" w:cs="Times New Roman"/>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cs="Times New Roman"/>
                <w:sz w:val="24"/>
              </w:rPr>
            </w:pPr>
            <w:r>
              <w:rPr>
                <w:rFonts w:hint="default" w:ascii="Times New Roman" w:hAnsi="Times New Roman" w:cs="Times New Roman"/>
                <w:color w:val="000000"/>
                <w:kern w:val="0"/>
                <w:sz w:val="18"/>
                <w:szCs w:val="18"/>
              </w:rPr>
              <w:t>指标1：为环境保护工作提供智能决策</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实现对污染源和区域环境质量的全面监控、预警</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cs="Times New Roman"/>
                <w:sz w:val="24"/>
              </w:rPr>
            </w:pPr>
            <w:r>
              <w:rPr>
                <w:rFonts w:hint="default" w:ascii="Times New Roman" w:hAnsi="Times New Roman" w:cs="Times New Roman"/>
                <w:color w:val="000000"/>
                <w:kern w:val="0"/>
                <w:sz w:val="18"/>
                <w:szCs w:val="18"/>
              </w:rPr>
              <w:t>指标1：进一步提升辖区环境管理水平</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实现对污染源和环境质量全面监控、预警、智能决策</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cs="Times New Roman"/>
                <w:sz w:val="24"/>
              </w:rPr>
            </w:pPr>
            <w:r>
              <w:rPr>
                <w:rFonts w:hint="default" w:ascii="Times New Roman" w:hAnsi="Times New Roman" w:cs="Times New Roman"/>
                <w:color w:val="000000"/>
                <w:kern w:val="0"/>
                <w:sz w:val="18"/>
                <w:szCs w:val="18"/>
              </w:rPr>
              <w:t>指标1：指提高环境质量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加强生态环境综合治理，补齐生态环境短板</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cs="Times New Roman"/>
                <w:sz w:val="24"/>
              </w:rPr>
            </w:pPr>
            <w:r>
              <w:rPr>
                <w:rFonts w:hint="default" w:ascii="Times New Roman" w:hAnsi="Times New Roman" w:cs="Times New Roman"/>
                <w:color w:val="000000"/>
                <w:kern w:val="0"/>
                <w:sz w:val="18"/>
                <w:szCs w:val="18"/>
              </w:rPr>
              <w:t>指标1：项目连续运行</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ind w:firstLine="90" w:firstLineChars="50"/>
              <w:rPr>
                <w:rFonts w:hint="default" w:ascii="Times New Roman" w:hAnsi="Times New Roman" w:cs="Times New Roman"/>
                <w:sz w:val="24"/>
              </w:rPr>
            </w:pPr>
            <w:r>
              <w:rPr>
                <w:rFonts w:hint="default" w:ascii="Times New Roman" w:hAnsi="Times New Roman" w:cs="Times New Roman"/>
                <w:kern w:val="0"/>
                <w:sz w:val="18"/>
                <w:szCs w:val="18"/>
              </w:rPr>
              <w:t>良好</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100%</w:t>
            </w: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hint="default" w:ascii="Times New Roman" w:hAnsi="Times New Roman" w:cs="Times New Roman"/>
                <w:sz w:val="24"/>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满意</w:t>
            </w:r>
            <w:r>
              <w:rPr>
                <w:rFonts w:hint="default" w:ascii="Times New Roman" w:hAnsi="Times New Roman" w:cs="Times New Roman"/>
                <w:sz w:val="24"/>
              </w:rPr>
              <w:br w:type="textWrapping"/>
            </w:r>
            <w:r>
              <w:rPr>
                <w:rFonts w:hint="default" w:ascii="Times New Roman" w:hAnsi="Times New Roman" w:cs="Times New Roman"/>
                <w:sz w:val="24"/>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满意度</w:t>
            </w:r>
          </w:p>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hint="default" w:ascii="Times New Roman" w:hAnsi="Times New Roman" w:cs="Times New Roman"/>
                <w:sz w:val="24"/>
              </w:rPr>
            </w:pPr>
            <w:r>
              <w:rPr>
                <w:rFonts w:hint="default" w:ascii="Times New Roman" w:hAnsi="Times New Roman" w:cs="Times New Roman"/>
                <w:color w:val="000000"/>
                <w:kern w:val="0"/>
                <w:sz w:val="18"/>
                <w:szCs w:val="18"/>
              </w:rPr>
              <w:t>指标1：群众满意度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群众满意</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default" w:ascii="Times New Roman" w:hAnsi="Times New Roman" w:cs="Times New Roman"/>
                <w:sz w:val="24"/>
              </w:rPr>
            </w:pPr>
            <w:r>
              <w:rPr>
                <w:rFonts w:hint="default" w:ascii="Times New Roman" w:hAnsi="Times New Roman" w:cs="Times New Roman"/>
                <w:kern w:val="0"/>
                <w:sz w:val="18"/>
                <w:szCs w:val="18"/>
              </w:rPr>
              <w:t>100%</w:t>
            </w:r>
          </w:p>
        </w:tc>
      </w:tr>
    </w:tbl>
    <w:p>
      <w:pPr>
        <w:pStyle w:val="6"/>
        <w:rPr>
          <w:rFonts w:hint="default" w:ascii="Times New Roman" w:hAnsi="Times New Roman" w:cs="Times New Roman"/>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仿宋" w:cs="Times New Roman"/>
        </w:rPr>
      </w:pPr>
      <w:r>
        <w:rPr>
          <w:rFonts w:hint="default" w:ascii="Times New Roman" w:hAnsi="Times New Roman" w:eastAsia="黑体" w:cs="Times New Roman"/>
          <w:sz w:val="44"/>
          <w:szCs w:val="44"/>
        </w:rPr>
        <w:t>第</w:t>
      </w:r>
      <w:r>
        <w:rPr>
          <w:rStyle w:val="26"/>
          <w:rFonts w:hint="default" w:ascii="Times New Roman" w:hAnsi="Times New Roman" w:eastAsia="黑体" w:cs="Times New Roman"/>
          <w:b w:val="0"/>
        </w:rPr>
        <w:t>五部分 附表</w:t>
      </w:r>
      <w:bookmarkEnd w:id="51"/>
      <w:bookmarkEnd w:id="53"/>
      <w:bookmarkStart w:id="54" w:name="_Toc15396619"/>
    </w:p>
    <w:p>
      <w:pPr>
        <w:pStyle w:val="4"/>
        <w:rPr>
          <w:rFonts w:hint="default" w:ascii="Times New Roman" w:hAnsi="Times New Roman" w:eastAsia="仿宋" w:cs="Times New Roman"/>
        </w:rPr>
      </w:pPr>
      <w:r>
        <w:rPr>
          <w:rFonts w:hint="default" w:ascii="Times New Roman" w:hAnsi="Times New Roman" w:eastAsia="仿宋" w:cs="Times New Roman"/>
          <w:b w:val="0"/>
        </w:rPr>
        <w:t>一、收</w:t>
      </w:r>
      <w:r>
        <w:rPr>
          <w:rStyle w:val="27"/>
          <w:rFonts w:hint="default" w:ascii="Times New Roman" w:hAnsi="Times New Roman" w:eastAsia="仿宋" w:cs="Times New Roman"/>
          <w:b w:val="0"/>
          <w:bCs w:val="0"/>
        </w:rPr>
        <w:t>入支出决算总表</w:t>
      </w:r>
      <w:bookmarkEnd w:id="54"/>
    </w:p>
    <w:p>
      <w:pPr>
        <w:pStyle w:val="4"/>
        <w:rPr>
          <w:rFonts w:hint="default" w:ascii="Times New Roman" w:hAnsi="Times New Roman" w:eastAsia="仿宋" w:cs="Times New Roman"/>
        </w:rPr>
      </w:pPr>
      <w:bookmarkStart w:id="55" w:name="_Toc15396620"/>
      <w:r>
        <w:rPr>
          <w:rFonts w:hint="default" w:ascii="Times New Roman" w:hAnsi="Times New Roman" w:eastAsia="仿宋" w:cs="Times New Roman"/>
          <w:b w:val="0"/>
        </w:rPr>
        <w:t>二、收</w:t>
      </w:r>
      <w:r>
        <w:rPr>
          <w:rStyle w:val="27"/>
          <w:rFonts w:hint="default" w:ascii="Times New Roman" w:hAnsi="Times New Roman" w:eastAsia="仿宋" w:cs="Times New Roman"/>
          <w:b w:val="0"/>
          <w:bCs w:val="0"/>
        </w:rPr>
        <w:t>入决算表</w:t>
      </w:r>
      <w:bookmarkEnd w:id="55"/>
    </w:p>
    <w:p>
      <w:pPr>
        <w:pStyle w:val="4"/>
        <w:rPr>
          <w:rFonts w:hint="default" w:ascii="Times New Roman" w:hAnsi="Times New Roman" w:eastAsia="仿宋" w:cs="Times New Roman"/>
        </w:rPr>
      </w:pPr>
      <w:bookmarkStart w:id="56" w:name="_Toc15396621"/>
      <w:r>
        <w:rPr>
          <w:rStyle w:val="27"/>
          <w:rFonts w:hint="default" w:ascii="Times New Roman" w:hAnsi="Times New Roman" w:eastAsia="仿宋" w:cs="Times New Roman"/>
          <w:b w:val="0"/>
          <w:bCs w:val="0"/>
        </w:rPr>
        <w:t>三、</w:t>
      </w:r>
      <w:r>
        <w:rPr>
          <w:rFonts w:hint="default" w:ascii="Times New Roman" w:hAnsi="Times New Roman" w:eastAsia="仿宋" w:cs="Times New Roman"/>
          <w:b w:val="0"/>
        </w:rPr>
        <w:t>支</w:t>
      </w:r>
      <w:r>
        <w:rPr>
          <w:rStyle w:val="27"/>
          <w:rFonts w:hint="default" w:ascii="Times New Roman" w:hAnsi="Times New Roman" w:eastAsia="仿宋" w:cs="Times New Roman"/>
          <w:b w:val="0"/>
          <w:bCs w:val="0"/>
        </w:rPr>
        <w:t>出决算表</w:t>
      </w:r>
      <w:bookmarkEnd w:id="56"/>
    </w:p>
    <w:p>
      <w:pPr>
        <w:pStyle w:val="4"/>
        <w:rPr>
          <w:rFonts w:hint="default" w:ascii="Times New Roman" w:hAnsi="Times New Roman" w:eastAsia="仿宋" w:cs="Times New Roman"/>
          <w:b w:val="0"/>
        </w:rPr>
      </w:pPr>
      <w:bookmarkStart w:id="57" w:name="_Toc15396622"/>
      <w:r>
        <w:rPr>
          <w:rStyle w:val="27"/>
          <w:rFonts w:hint="default" w:ascii="Times New Roman" w:hAnsi="Times New Roman" w:eastAsia="仿宋" w:cs="Times New Roman"/>
          <w:b w:val="0"/>
          <w:bCs w:val="0"/>
        </w:rPr>
        <w:t>四、</w:t>
      </w:r>
      <w:r>
        <w:rPr>
          <w:rFonts w:hint="default" w:ascii="Times New Roman" w:hAnsi="Times New Roman" w:eastAsia="仿宋" w:cs="Times New Roman"/>
          <w:b w:val="0"/>
        </w:rPr>
        <w:t>财</w:t>
      </w:r>
      <w:r>
        <w:rPr>
          <w:rStyle w:val="27"/>
          <w:rFonts w:hint="default" w:ascii="Times New Roman" w:hAnsi="Times New Roman" w:eastAsia="仿宋" w:cs="Times New Roman"/>
          <w:b w:val="0"/>
          <w:bCs w:val="0"/>
        </w:rPr>
        <w:t>政拨款收入支出决算总表</w:t>
      </w:r>
      <w:bookmarkEnd w:id="57"/>
    </w:p>
    <w:p>
      <w:pPr>
        <w:pStyle w:val="4"/>
        <w:rPr>
          <w:rStyle w:val="27"/>
          <w:rFonts w:hint="default" w:ascii="Times New Roman" w:hAnsi="Times New Roman" w:eastAsia="仿宋" w:cs="Times New Roman"/>
          <w:b w:val="0"/>
          <w:bCs w:val="0"/>
        </w:rPr>
      </w:pPr>
      <w:bookmarkStart w:id="58" w:name="_Toc15396623"/>
      <w:r>
        <w:rPr>
          <w:rStyle w:val="27"/>
          <w:rFonts w:hint="default" w:ascii="Times New Roman" w:hAnsi="Times New Roman" w:eastAsia="仿宋" w:cs="Times New Roman"/>
          <w:b w:val="0"/>
          <w:bCs w:val="0"/>
        </w:rPr>
        <w:t>五、</w:t>
      </w:r>
      <w:r>
        <w:rPr>
          <w:rFonts w:hint="default" w:ascii="Times New Roman" w:hAnsi="Times New Roman" w:eastAsia="仿宋" w:cs="Times New Roman"/>
          <w:b w:val="0"/>
        </w:rPr>
        <w:t>财</w:t>
      </w:r>
      <w:r>
        <w:rPr>
          <w:rStyle w:val="27"/>
          <w:rFonts w:hint="default" w:ascii="Times New Roman" w:hAnsi="Times New Roman" w:eastAsia="仿宋" w:cs="Times New Roman"/>
          <w:b w:val="0"/>
          <w:bCs w:val="0"/>
        </w:rPr>
        <w:t>政拨款支出决算明细表</w:t>
      </w:r>
      <w:bookmarkEnd w:id="58"/>
      <w:bookmarkStart w:id="59" w:name="_Toc15396624"/>
    </w:p>
    <w:p>
      <w:pPr>
        <w:pStyle w:val="4"/>
        <w:rPr>
          <w:rFonts w:hint="default" w:ascii="Times New Roman" w:hAnsi="Times New Roman" w:eastAsia="仿宋" w:cs="Times New Roman"/>
        </w:rPr>
      </w:pPr>
      <w:r>
        <w:rPr>
          <w:rStyle w:val="27"/>
          <w:rFonts w:hint="default" w:ascii="Times New Roman" w:hAnsi="Times New Roman" w:eastAsia="仿宋" w:cs="Times New Roman"/>
          <w:b w:val="0"/>
          <w:bCs w:val="0"/>
        </w:rPr>
        <w:t>六、</w:t>
      </w:r>
      <w:r>
        <w:rPr>
          <w:rFonts w:hint="default" w:ascii="Times New Roman" w:hAnsi="Times New Roman" w:eastAsia="仿宋" w:cs="Times New Roman"/>
          <w:b w:val="0"/>
        </w:rPr>
        <w:t>一</w:t>
      </w:r>
      <w:r>
        <w:rPr>
          <w:rStyle w:val="27"/>
          <w:rFonts w:hint="default" w:ascii="Times New Roman" w:hAnsi="Times New Roman" w:eastAsia="仿宋" w:cs="Times New Roman"/>
          <w:b w:val="0"/>
          <w:bCs w:val="0"/>
        </w:rPr>
        <w:t>般公共预算财政拨款支出决算表</w:t>
      </w:r>
      <w:bookmarkEnd w:id="59"/>
    </w:p>
    <w:p>
      <w:pPr>
        <w:pStyle w:val="4"/>
        <w:rPr>
          <w:rFonts w:hint="default" w:ascii="Times New Roman" w:hAnsi="Times New Roman" w:eastAsia="仿宋" w:cs="Times New Roman"/>
        </w:rPr>
      </w:pPr>
      <w:bookmarkStart w:id="60" w:name="_Toc15396625"/>
      <w:r>
        <w:rPr>
          <w:rStyle w:val="27"/>
          <w:rFonts w:hint="default" w:ascii="Times New Roman" w:hAnsi="Times New Roman" w:eastAsia="仿宋" w:cs="Times New Roman"/>
          <w:b w:val="0"/>
          <w:bCs w:val="0"/>
        </w:rPr>
        <w:t>七、</w:t>
      </w:r>
      <w:r>
        <w:rPr>
          <w:rFonts w:hint="default" w:ascii="Times New Roman" w:hAnsi="Times New Roman" w:eastAsia="仿宋" w:cs="Times New Roman"/>
          <w:b w:val="0"/>
        </w:rPr>
        <w:t>一</w:t>
      </w:r>
      <w:r>
        <w:rPr>
          <w:rStyle w:val="27"/>
          <w:rFonts w:hint="default" w:ascii="Times New Roman" w:hAnsi="Times New Roman" w:eastAsia="仿宋" w:cs="Times New Roman"/>
          <w:b w:val="0"/>
          <w:bCs w:val="0"/>
        </w:rPr>
        <w:t>般公共预算财政拨款支出决算明细表</w:t>
      </w:r>
      <w:bookmarkEnd w:id="60"/>
    </w:p>
    <w:p>
      <w:pPr>
        <w:pStyle w:val="4"/>
        <w:rPr>
          <w:rFonts w:hint="default" w:ascii="Times New Roman" w:hAnsi="Times New Roman" w:eastAsia="仿宋" w:cs="Times New Roman"/>
        </w:rPr>
      </w:pPr>
      <w:bookmarkStart w:id="61" w:name="_Toc15396626"/>
      <w:r>
        <w:rPr>
          <w:rStyle w:val="27"/>
          <w:rFonts w:hint="default" w:ascii="Times New Roman" w:hAnsi="Times New Roman" w:eastAsia="仿宋" w:cs="Times New Roman"/>
          <w:b w:val="0"/>
          <w:bCs w:val="0"/>
        </w:rPr>
        <w:t>八、</w:t>
      </w:r>
      <w:r>
        <w:rPr>
          <w:rFonts w:hint="default" w:ascii="Times New Roman" w:hAnsi="Times New Roman" w:eastAsia="仿宋" w:cs="Times New Roman"/>
          <w:b w:val="0"/>
        </w:rPr>
        <w:t>一</w:t>
      </w:r>
      <w:r>
        <w:rPr>
          <w:rStyle w:val="27"/>
          <w:rFonts w:hint="default" w:ascii="Times New Roman" w:hAnsi="Times New Roman" w:eastAsia="仿宋" w:cs="Times New Roman"/>
          <w:b w:val="0"/>
          <w:bCs w:val="0"/>
        </w:rPr>
        <w:t>般公共预算财政拨款基本支出决算表</w:t>
      </w:r>
      <w:bookmarkEnd w:id="61"/>
    </w:p>
    <w:p>
      <w:pPr>
        <w:pStyle w:val="4"/>
        <w:rPr>
          <w:rFonts w:hint="default" w:ascii="Times New Roman" w:hAnsi="Times New Roman" w:eastAsia="仿宋" w:cs="Times New Roman"/>
        </w:rPr>
      </w:pPr>
      <w:bookmarkStart w:id="62" w:name="_Toc15396627"/>
      <w:r>
        <w:rPr>
          <w:rStyle w:val="27"/>
          <w:rFonts w:hint="default" w:ascii="Times New Roman" w:hAnsi="Times New Roman" w:eastAsia="仿宋" w:cs="Times New Roman"/>
          <w:b w:val="0"/>
          <w:bCs w:val="0"/>
        </w:rPr>
        <w:t>九、</w:t>
      </w:r>
      <w:r>
        <w:rPr>
          <w:rFonts w:hint="default" w:ascii="Times New Roman" w:hAnsi="Times New Roman" w:eastAsia="仿宋" w:cs="Times New Roman"/>
          <w:b w:val="0"/>
        </w:rPr>
        <w:t>一</w:t>
      </w:r>
      <w:r>
        <w:rPr>
          <w:rStyle w:val="27"/>
          <w:rFonts w:hint="default" w:ascii="Times New Roman" w:hAnsi="Times New Roman" w:eastAsia="仿宋" w:cs="Times New Roman"/>
          <w:b w:val="0"/>
          <w:bCs w:val="0"/>
        </w:rPr>
        <w:t>般公共预算财政拨款项目支出决算表</w:t>
      </w:r>
      <w:bookmarkEnd w:id="62"/>
    </w:p>
    <w:p>
      <w:pPr>
        <w:pStyle w:val="4"/>
        <w:rPr>
          <w:rFonts w:hint="default" w:ascii="Times New Roman" w:hAnsi="Times New Roman" w:eastAsia="仿宋" w:cs="Times New Roman"/>
        </w:rPr>
      </w:pPr>
      <w:bookmarkStart w:id="63" w:name="_Toc15396628"/>
      <w:r>
        <w:rPr>
          <w:rStyle w:val="27"/>
          <w:rFonts w:hint="default" w:ascii="Times New Roman" w:hAnsi="Times New Roman" w:eastAsia="仿宋" w:cs="Times New Roman"/>
          <w:b w:val="0"/>
          <w:bCs w:val="0"/>
        </w:rPr>
        <w:t>十、</w:t>
      </w:r>
      <w:r>
        <w:rPr>
          <w:rFonts w:hint="default" w:ascii="Times New Roman" w:hAnsi="Times New Roman" w:eastAsia="仿宋" w:cs="Times New Roman"/>
          <w:b w:val="0"/>
        </w:rPr>
        <w:t>一</w:t>
      </w:r>
      <w:r>
        <w:rPr>
          <w:rStyle w:val="27"/>
          <w:rFonts w:hint="default" w:ascii="Times New Roman" w:hAnsi="Times New Roman" w:eastAsia="仿宋" w:cs="Times New Roman"/>
          <w:b w:val="0"/>
          <w:bCs w:val="0"/>
        </w:rPr>
        <w:t>般公共预算财政拨款“三公”经费支出决算表</w:t>
      </w:r>
      <w:bookmarkEnd w:id="63"/>
    </w:p>
    <w:p>
      <w:pPr>
        <w:pStyle w:val="4"/>
        <w:rPr>
          <w:rFonts w:hint="default" w:ascii="Times New Roman" w:hAnsi="Times New Roman" w:eastAsia="仿宋" w:cs="Times New Roman"/>
        </w:rPr>
      </w:pPr>
      <w:bookmarkStart w:id="64" w:name="_Toc15396629"/>
      <w:r>
        <w:rPr>
          <w:rStyle w:val="27"/>
          <w:rFonts w:hint="default" w:ascii="Times New Roman" w:hAnsi="Times New Roman" w:eastAsia="仿宋" w:cs="Times New Roman"/>
          <w:b w:val="0"/>
          <w:bCs w:val="0"/>
        </w:rPr>
        <w:t>十一、</w:t>
      </w:r>
      <w:r>
        <w:rPr>
          <w:rFonts w:hint="default" w:ascii="Times New Roman" w:hAnsi="Times New Roman" w:eastAsia="仿宋" w:cs="Times New Roman"/>
          <w:b w:val="0"/>
        </w:rPr>
        <w:t>政</w:t>
      </w:r>
      <w:r>
        <w:rPr>
          <w:rStyle w:val="27"/>
          <w:rFonts w:hint="default" w:ascii="Times New Roman" w:hAnsi="Times New Roman" w:eastAsia="仿宋" w:cs="Times New Roman"/>
          <w:b w:val="0"/>
          <w:bCs w:val="0"/>
        </w:rPr>
        <w:t>府性基金预算财政拨款收入支出决算表</w:t>
      </w:r>
      <w:bookmarkEnd w:id="64"/>
    </w:p>
    <w:p>
      <w:pPr>
        <w:pStyle w:val="4"/>
        <w:rPr>
          <w:rFonts w:hint="default" w:ascii="Times New Roman" w:hAnsi="Times New Roman" w:eastAsia="仿宋" w:cs="Times New Roman"/>
        </w:rPr>
      </w:pPr>
      <w:bookmarkStart w:id="65" w:name="_Toc15396630"/>
      <w:r>
        <w:rPr>
          <w:rStyle w:val="27"/>
          <w:rFonts w:hint="default" w:ascii="Times New Roman" w:hAnsi="Times New Roman" w:eastAsia="仿宋" w:cs="Times New Roman"/>
          <w:b w:val="0"/>
          <w:bCs w:val="0"/>
        </w:rPr>
        <w:t>十二、</w:t>
      </w:r>
      <w:r>
        <w:rPr>
          <w:rFonts w:hint="default" w:ascii="Times New Roman" w:hAnsi="Times New Roman" w:eastAsia="仿宋" w:cs="Times New Roman"/>
          <w:b w:val="0"/>
        </w:rPr>
        <w:t>政</w:t>
      </w:r>
      <w:r>
        <w:rPr>
          <w:rStyle w:val="27"/>
          <w:rFonts w:hint="default" w:ascii="Times New Roman" w:hAnsi="Times New Roman" w:eastAsia="仿宋" w:cs="Times New Roman"/>
          <w:b w:val="0"/>
          <w:bCs w:val="0"/>
        </w:rPr>
        <w:t>府性基金预算财政拨款“三公”经费支出决算表</w:t>
      </w:r>
      <w:bookmarkEnd w:id="65"/>
    </w:p>
    <w:p>
      <w:pPr>
        <w:pStyle w:val="4"/>
        <w:rPr>
          <w:rStyle w:val="27"/>
          <w:rFonts w:hint="default" w:ascii="Times New Roman" w:hAnsi="Times New Roman" w:eastAsia="仿宋" w:cs="Times New Roman"/>
          <w:b w:val="0"/>
          <w:bCs w:val="0"/>
        </w:rPr>
      </w:pPr>
      <w:bookmarkStart w:id="66" w:name="_Toc15396631"/>
      <w:r>
        <w:rPr>
          <w:rStyle w:val="27"/>
          <w:rFonts w:hint="default" w:ascii="Times New Roman" w:hAnsi="Times New Roman" w:eastAsia="仿宋" w:cs="Times New Roman"/>
          <w:b w:val="0"/>
          <w:bCs w:val="0"/>
        </w:rPr>
        <w:t>十三、</w:t>
      </w:r>
      <w:r>
        <w:rPr>
          <w:rFonts w:hint="default" w:ascii="Times New Roman" w:hAnsi="Times New Roman" w:eastAsia="仿宋" w:cs="Times New Roman"/>
          <w:b w:val="0"/>
        </w:rPr>
        <w:t>国</w:t>
      </w:r>
      <w:r>
        <w:rPr>
          <w:rStyle w:val="27"/>
          <w:rFonts w:hint="default" w:ascii="Times New Roman" w:hAnsi="Times New Roman" w:eastAsia="仿宋" w:cs="Times New Roman"/>
          <w:b w:val="0"/>
          <w:bCs w:val="0"/>
        </w:rPr>
        <w:t>有资本经营预算财政拨款收入支出决算表</w:t>
      </w:r>
      <w:bookmarkEnd w:id="66"/>
    </w:p>
    <w:p>
      <w:pPr>
        <w:rPr>
          <w:rFonts w:hint="default" w:ascii="Times New Roman" w:hAnsi="Times New Roman" w:eastAsia="仿宋" w:cs="Times New Roman"/>
        </w:rPr>
      </w:pPr>
      <w:r>
        <w:rPr>
          <w:rStyle w:val="27"/>
          <w:rFonts w:hint="default" w:ascii="Times New Roman" w:hAnsi="Times New Roman" w:eastAsia="仿宋" w:cs="Times New Roman"/>
          <w:b w:val="0"/>
          <w:bCs w:val="0"/>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embedRegular r:id="rId1" w:fontKey="{3DFD0F58-9931-4DBB-9CC5-B4401ABDF7F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FC95F130-B399-42AA-A08A-C65F6050B103}"/>
  </w:font>
  <w:font w:name="仿宋">
    <w:panose1 w:val="02010609060101010101"/>
    <w:charset w:val="86"/>
    <w:family w:val="modern"/>
    <w:pitch w:val="default"/>
    <w:sig w:usb0="800002BF" w:usb1="38CF7CFA" w:usb2="00000016" w:usb3="00000000" w:csb0="00040001" w:csb1="00000000"/>
    <w:embedRegular r:id="rId3" w:fontKey="{57E6FA81-0B49-4004-8B0F-676040C4F7E3}"/>
  </w:font>
  <w:font w:name="方正小标宋简体">
    <w:panose1 w:val="03000509000000000000"/>
    <w:charset w:val="86"/>
    <w:family w:val="script"/>
    <w:pitch w:val="default"/>
    <w:sig w:usb0="00000000" w:usb1="00000000" w:usb2="00000000" w:usb3="00000000" w:csb0="00000000" w:csb1="00000000"/>
    <w:embedRegular r:id="rId4" w:fontKey="{C66E8C85-206C-4B0E-B578-1EFFA6EACE34}"/>
  </w:font>
  <w:font w:name="方正仿宋_GBK">
    <w:altName w:val="Arial Unicode MS"/>
    <w:panose1 w:val="00000000000000000000"/>
    <w:charset w:val="86"/>
    <w:family w:val="script"/>
    <w:pitch w:val="default"/>
    <w:sig w:usb0="00000000" w:usb1="00000000" w:usb2="00082016" w:usb3="00000000" w:csb0="00040001" w:csb1="00000000"/>
    <w:embedRegular r:id="rId5" w:fontKey="{4569FD6F-BEDF-4854-8120-A1EB3A8398C1}"/>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9</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6B0BB2C9"/>
    <w:multiLevelType w:val="singleLevel"/>
    <w:tmpl w:val="6B0BB2C9"/>
    <w:lvl w:ilvl="0" w:tentative="0">
      <w:start w:val="3"/>
      <w:numFmt w:val="decimal"/>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ViNzE4ZTllNjdkODE0Nzc1MTI1ZTJmYWQxMzg1OWEifQ=="/>
  </w:docVars>
  <w:rsids>
    <w:rsidRoot w:val="00F1361C"/>
    <w:rsid w:val="000222C6"/>
    <w:rsid w:val="0002549F"/>
    <w:rsid w:val="000468DB"/>
    <w:rsid w:val="0006487A"/>
    <w:rsid w:val="00065F8F"/>
    <w:rsid w:val="00070A43"/>
    <w:rsid w:val="000721CC"/>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B7564"/>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24C8"/>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2490"/>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D0AD3"/>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6C87"/>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0923"/>
    <w:rsid w:val="00CD1E3F"/>
    <w:rsid w:val="00CE44F6"/>
    <w:rsid w:val="00CE49DA"/>
    <w:rsid w:val="00CE7B61"/>
    <w:rsid w:val="00D00095"/>
    <w:rsid w:val="00D114F0"/>
    <w:rsid w:val="00D20620"/>
    <w:rsid w:val="00D22AE4"/>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91A19"/>
    <w:rsid w:val="00EA010F"/>
    <w:rsid w:val="00ED1B63"/>
    <w:rsid w:val="00ED3C1F"/>
    <w:rsid w:val="00ED4085"/>
    <w:rsid w:val="00ED420E"/>
    <w:rsid w:val="00ED6FBE"/>
    <w:rsid w:val="00EE228C"/>
    <w:rsid w:val="00EE2F57"/>
    <w:rsid w:val="00EF4C34"/>
    <w:rsid w:val="00EF77C6"/>
    <w:rsid w:val="00F05438"/>
    <w:rsid w:val="00F05806"/>
    <w:rsid w:val="00F05A5B"/>
    <w:rsid w:val="00F1361C"/>
    <w:rsid w:val="00F156F0"/>
    <w:rsid w:val="00F160C7"/>
    <w:rsid w:val="00F2408F"/>
    <w:rsid w:val="00F240E9"/>
    <w:rsid w:val="00F36D8F"/>
    <w:rsid w:val="00F417B1"/>
    <w:rsid w:val="00F45853"/>
    <w:rsid w:val="00F602DF"/>
    <w:rsid w:val="00F70E66"/>
    <w:rsid w:val="00F754A1"/>
    <w:rsid w:val="00F81FD9"/>
    <w:rsid w:val="00F841AA"/>
    <w:rsid w:val="00F84A94"/>
    <w:rsid w:val="00F87E96"/>
    <w:rsid w:val="00FA23E8"/>
    <w:rsid w:val="00FD3CC1"/>
    <w:rsid w:val="00FF1E02"/>
    <w:rsid w:val="00FF30B4"/>
    <w:rsid w:val="05C75478"/>
    <w:rsid w:val="075D7677"/>
    <w:rsid w:val="0A2032A3"/>
    <w:rsid w:val="0B783336"/>
    <w:rsid w:val="0B8A37D8"/>
    <w:rsid w:val="0ECB7BC6"/>
    <w:rsid w:val="0F13135B"/>
    <w:rsid w:val="10C055FF"/>
    <w:rsid w:val="1119758B"/>
    <w:rsid w:val="118107EC"/>
    <w:rsid w:val="11DD6519"/>
    <w:rsid w:val="13991DB2"/>
    <w:rsid w:val="16BB723D"/>
    <w:rsid w:val="17B013AC"/>
    <w:rsid w:val="17C36BEB"/>
    <w:rsid w:val="18015F3F"/>
    <w:rsid w:val="18F920B1"/>
    <w:rsid w:val="193E16C9"/>
    <w:rsid w:val="1A536AFB"/>
    <w:rsid w:val="1B86023C"/>
    <w:rsid w:val="1BE8440E"/>
    <w:rsid w:val="1D155CEE"/>
    <w:rsid w:val="20F57F95"/>
    <w:rsid w:val="211A0780"/>
    <w:rsid w:val="22FB147D"/>
    <w:rsid w:val="240371BF"/>
    <w:rsid w:val="25C741E6"/>
    <w:rsid w:val="27842671"/>
    <w:rsid w:val="29FD04D3"/>
    <w:rsid w:val="2ABE7A3E"/>
    <w:rsid w:val="2DEC3126"/>
    <w:rsid w:val="2EFA178C"/>
    <w:rsid w:val="30B46D73"/>
    <w:rsid w:val="31210792"/>
    <w:rsid w:val="319F7F4E"/>
    <w:rsid w:val="39AE70AB"/>
    <w:rsid w:val="3C0C0783"/>
    <w:rsid w:val="3F9F3A96"/>
    <w:rsid w:val="493C27E9"/>
    <w:rsid w:val="496F39ED"/>
    <w:rsid w:val="49FF41D3"/>
    <w:rsid w:val="4BE068DB"/>
    <w:rsid w:val="4BF6002B"/>
    <w:rsid w:val="4ECE2238"/>
    <w:rsid w:val="509E70EE"/>
    <w:rsid w:val="51DB4B86"/>
    <w:rsid w:val="5237441E"/>
    <w:rsid w:val="527916C4"/>
    <w:rsid w:val="527A565A"/>
    <w:rsid w:val="54A5761F"/>
    <w:rsid w:val="55333C3E"/>
    <w:rsid w:val="57110593"/>
    <w:rsid w:val="5DD701E7"/>
    <w:rsid w:val="60081EBC"/>
    <w:rsid w:val="601645C0"/>
    <w:rsid w:val="64CA39A1"/>
    <w:rsid w:val="65A66C7E"/>
    <w:rsid w:val="66903A02"/>
    <w:rsid w:val="683433C3"/>
    <w:rsid w:val="6A6941CF"/>
    <w:rsid w:val="6BB35C21"/>
    <w:rsid w:val="6C4A05C8"/>
    <w:rsid w:val="6E315A2C"/>
    <w:rsid w:val="6F9D6B1E"/>
    <w:rsid w:val="70C164A9"/>
    <w:rsid w:val="711C6FA9"/>
    <w:rsid w:val="72734D90"/>
    <w:rsid w:val="74A253B0"/>
    <w:rsid w:val="75CB0397"/>
    <w:rsid w:val="77343F30"/>
    <w:rsid w:val="794E2B1A"/>
    <w:rsid w:val="79E7B28D"/>
    <w:rsid w:val="7C0D5E5B"/>
    <w:rsid w:val="7DBA6EDA"/>
    <w:rsid w:val="7F9F20EE"/>
    <w:rsid w:val="9E3A10E2"/>
    <w:rsid w:val="F2E1F9D4"/>
    <w:rsid w:val="F788081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3"/>
    <w:qFormat/>
    <w:uiPriority w:val="99"/>
    <w:pPr>
      <w:spacing w:beforeLines="30"/>
    </w:pPr>
    <w:rPr>
      <w:rFonts w:ascii="仿宋_GB2312" w:eastAsia="仿宋_GB2312"/>
      <w:kern w:val="0"/>
      <w:sz w:val="30"/>
    </w:rPr>
  </w:style>
  <w:style w:type="paragraph" w:styleId="6">
    <w:name w:val="Normal Indent"/>
    <w:basedOn w:val="1"/>
    <w:qFormat/>
    <w:uiPriority w:val="0"/>
    <w:pPr>
      <w:suppressAutoHyphens/>
      <w:ind w:firstLine="420" w:firstLineChars="200"/>
    </w:p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9"/>
    <w:semiHidden/>
    <w:unhideWhenUsed/>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qFormat/>
    <w:uiPriority w:val="0"/>
    <w:pPr>
      <w:widowControl/>
      <w:spacing w:before="100" w:beforeAutospacing="1" w:after="100" w:afterAutospacing="1"/>
      <w:jc w:val="left"/>
    </w:pPr>
    <w:rPr>
      <w:rFonts w:ascii="宋体" w:cs="宋体"/>
      <w:kern w:val="0"/>
      <w:sz w:val="24"/>
    </w:r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10"/>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9"/>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2"/>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3"/>
    <w:qFormat/>
    <w:uiPriority w:val="9"/>
    <w:rPr>
      <w:rFonts w:ascii="Times New Roman" w:hAnsi="Times New Roman"/>
      <w:b/>
      <w:bCs/>
      <w:kern w:val="44"/>
      <w:sz w:val="44"/>
      <w:szCs w:val="44"/>
    </w:rPr>
  </w:style>
  <w:style w:type="character" w:customStyle="1" w:styleId="27">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9">
    <w:name w:val="批注框文本 Char"/>
    <w:basedOn w:val="15"/>
    <w:link w:val="8"/>
    <w:semiHidden/>
    <w:qFormat/>
    <w:uiPriority w:val="99"/>
    <w:rPr>
      <w:rFonts w:ascii="Times New Roman" w:hAnsi="Times New Roman"/>
      <w:kern w:val="2"/>
      <w:sz w:val="18"/>
      <w:szCs w:val="18"/>
    </w:rPr>
  </w:style>
  <w:style w:type="character" w:customStyle="1" w:styleId="30">
    <w:name w:val="标题 3 Char"/>
    <w:basedOn w:val="15"/>
    <w:link w:val="5"/>
    <w:qFormat/>
    <w:uiPriority w:val="9"/>
    <w:rPr>
      <w:rFonts w:ascii="Times New Roman" w:hAnsi="Times New Roman"/>
      <w:b/>
      <w:bCs/>
      <w:kern w:val="2"/>
      <w:sz w:val="32"/>
      <w:szCs w:val="32"/>
    </w:rPr>
  </w:style>
  <w:style w:type="paragraph" w:customStyle="1" w:styleId="31">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styleId="32">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82670164699025"/>
          <c:y val="0.0498194945848375"/>
          <c:w val="0.876169654569306"/>
          <c:h val="0.721636582430806"/>
        </c:manualLayout>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Sheet1!$A$2:$A$3</c:f>
              <c:numCache>
                <c:formatCode>General</c:formatCode>
                <c:ptCount val="2"/>
                <c:pt idx="0">
                  <c:v>2020</c:v>
                </c:pt>
                <c:pt idx="1">
                  <c:v>2021</c:v>
                </c:pt>
              </c:numCache>
            </c:numRef>
          </c:cat>
          <c:val>
            <c:numRef>
              <c:f>Sheet1!$B$2:$B$3</c:f>
              <c:numCache>
                <c:formatCode>General</c:formatCode>
                <c:ptCount val="2"/>
                <c:pt idx="0">
                  <c:v>1011.81</c:v>
                </c:pt>
                <c:pt idx="1">
                  <c:v>735.68</c:v>
                </c:pt>
              </c:numCache>
            </c:numRef>
          </c:val>
        </c:ser>
        <c:ser>
          <c:idx val="1"/>
          <c:order val="1"/>
          <c:tx>
            <c:strRef>
              <c:f>Sheet1!$C$1</c:f>
              <c:strCache>
                <c:ptCount val="1"/>
                <c:pt idx="0">
                  <c:v>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Sheet1!$A$2:$A$3</c:f>
              <c:numCache>
                <c:formatCode>General</c:formatCode>
                <c:ptCount val="2"/>
                <c:pt idx="0">
                  <c:v>2020</c:v>
                </c:pt>
                <c:pt idx="1">
                  <c:v>2021</c:v>
                </c:pt>
              </c:numCache>
            </c:numRef>
          </c:cat>
          <c:val>
            <c:numRef>
              <c:f>Sheet1!$C$2:$C$3</c:f>
              <c:numCache>
                <c:formatCode>General</c:formatCode>
                <c:ptCount val="2"/>
                <c:pt idx="0">
                  <c:v>2040.56</c:v>
                </c:pt>
                <c:pt idx="1">
                  <c:v>905.08</c:v>
                </c:pt>
              </c:numCache>
            </c:numRef>
          </c:val>
        </c:ser>
        <c:dLbls>
          <c:showLegendKey val="0"/>
          <c:showVal val="1"/>
          <c:showCatName val="0"/>
          <c:showSerName val="0"/>
          <c:showPercent val="0"/>
          <c:showBubbleSize val="0"/>
        </c:dLbls>
        <c:gapWidth val="219"/>
        <c:overlap val="-27"/>
        <c:axId val="140539392"/>
        <c:axId val="140582912"/>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delete val="1"/>
                </c:dLbls>
                <c:cat>
                  <c:numRef>
                    <c:extLst>
                      <c:ext uri="{02D57815-91ED-43cb-92C2-25804820EDAC}">
                        <c15:fullRef>
                          <c15:sqref/>
                        </c15:fullRef>
                        <c15:formulaRef>
                          <c15:sqref>Sheet1!$A$2:$A$3</c15:sqref>
                        </c15:formulaRef>
                      </c:ext>
                    </c:extLst>
                    <c:numCache>
                      <c:formatCode>General</c:formatCode>
                      <c:ptCount val="2"/>
                      <c:pt idx="0">
                        <c:v>2020</c:v>
                      </c:pt>
                      <c:pt idx="1">
                        <c:v>2021</c:v>
                      </c:pt>
                    </c:numCache>
                  </c:num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140539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0582912"/>
        <c:crosses val="autoZero"/>
        <c:auto val="1"/>
        <c:lblAlgn val="ctr"/>
        <c:lblOffset val="100"/>
        <c:noMultiLvlLbl val="0"/>
      </c:catAx>
      <c:valAx>
        <c:axId val="14058291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05393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Sheet1!$A$2:$A$9</c:f>
              <c:strCache>
                <c:ptCount val="8"/>
                <c:pt idx="0">
                  <c:v>一般公共预算财政拨款收入</c:v>
                </c:pt>
                <c:pt idx="1">
                  <c:v>其他收入</c:v>
                </c:pt>
                <c:pt idx="2">
                  <c:v>政府性基金预算财政拨款收入</c:v>
                </c:pt>
                <c:pt idx="3">
                  <c:v>国有资本经营预算财政拨款收入</c:v>
                </c:pt>
                <c:pt idx="4">
                  <c:v>上级补助收入</c:v>
                </c:pt>
                <c:pt idx="5">
                  <c:v>事业收入</c:v>
                </c:pt>
                <c:pt idx="6">
                  <c:v>经营收入</c:v>
                </c:pt>
                <c:pt idx="7">
                  <c:v>附属单位上缴收入</c:v>
                </c:pt>
              </c:strCache>
            </c:strRef>
          </c:cat>
          <c:val>
            <c:numRef>
              <c:f>Sheet1!$B$2:$B$9</c:f>
              <c:numCache>
                <c:formatCode>0.00%</c:formatCode>
                <c:ptCount val="8"/>
                <c:pt idx="0">
                  <c:v>0.4974</c:v>
                </c:pt>
                <c:pt idx="1">
                  <c:v>0.5026</c:v>
                </c:pt>
                <c:pt idx="2">
                  <c:v>0</c:v>
                </c:pt>
                <c:pt idx="3">
                  <c:v>0</c:v>
                </c:pt>
                <c:pt idx="4">
                  <c:v>0</c:v>
                </c:pt>
                <c:pt idx="5">
                  <c:v>0</c:v>
                </c:pt>
                <c:pt idx="6">
                  <c:v>0</c:v>
                </c:pt>
                <c:pt idx="7">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dLblPos val="inEnd"/>
              <c:showLegendKey val="0"/>
              <c:showVal val="1"/>
              <c:showCatName val="0"/>
              <c:showSerName val="0"/>
              <c:showPercent val="0"/>
              <c:showBubbleSize val="0"/>
              <c:extLst>
                <c:ext xmlns:c15="http://schemas.microsoft.com/office/drawing/2012/chart" uri="{CE6537A1-D6FC-4f65-9D91-7224C49458BB}"/>
              </c:extLst>
            </c:dLbl>
            <c:dLbl>
              <c:idx val="2"/>
              <c:delete val="1"/>
            </c:dLbl>
            <c:dLbl>
              <c:idx val="3"/>
              <c:delete val="1"/>
            </c:dLbl>
            <c:dLbl>
              <c:idx val="4"/>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0%</c:formatCode>
                <c:ptCount val="5"/>
                <c:pt idx="0">
                  <c:v>0.46</c:v>
                </c:pt>
                <c:pt idx="1">
                  <c:v>0.54</c:v>
                </c:pt>
                <c:pt idx="2" c:formatCode="General">
                  <c:v>0</c:v>
                </c:pt>
                <c:pt idx="3" c:formatCode="General">
                  <c:v>0</c:v>
                </c:pt>
                <c:pt idx="4" c:formatCode="General">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Sheet1!$A$2:$A$3</c:f>
              <c:numCache>
                <c:formatCode>General</c:formatCode>
                <c:ptCount val="2"/>
                <c:pt idx="0">
                  <c:v>2020</c:v>
                </c:pt>
                <c:pt idx="1">
                  <c:v>2021</c:v>
                </c:pt>
              </c:numCache>
            </c:numRef>
          </c:cat>
          <c:val>
            <c:numRef>
              <c:f>Sheet1!$B$2:$B$3</c:f>
              <c:numCache>
                <c:formatCode>General</c:formatCode>
                <c:ptCount val="2"/>
                <c:pt idx="0">
                  <c:v>1011.81</c:v>
                </c:pt>
                <c:pt idx="1">
                  <c:v>735.68</c:v>
                </c:pt>
              </c:numCache>
            </c:numRef>
          </c:val>
        </c:ser>
        <c:ser>
          <c:idx val="1"/>
          <c:order val="1"/>
          <c:tx>
            <c:strRef>
              <c:f>Sheet1!$C$1</c:f>
              <c:strCache>
                <c:ptCount val="1"/>
                <c:pt idx="0">
                  <c:v>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Sheet1!$A$2:$A$3</c:f>
              <c:numCache>
                <c:formatCode>General</c:formatCode>
                <c:ptCount val="2"/>
                <c:pt idx="0">
                  <c:v>2020</c:v>
                </c:pt>
                <c:pt idx="1">
                  <c:v>2021</c:v>
                </c:pt>
              </c:numCache>
            </c:numRef>
          </c:cat>
          <c:val>
            <c:numRef>
              <c:f>Sheet1!$C$2:$C$3</c:f>
              <c:numCache>
                <c:formatCode>General</c:formatCode>
                <c:ptCount val="2"/>
                <c:pt idx="0">
                  <c:v>2040.56</c:v>
                </c:pt>
                <c:pt idx="1">
                  <c:v>905.08</c:v>
                </c:pt>
              </c:numCache>
            </c:numRef>
          </c:val>
        </c:ser>
        <c:dLbls>
          <c:showLegendKey val="0"/>
          <c:showVal val="1"/>
          <c:showCatName val="0"/>
          <c:showSerName val="0"/>
          <c:showPercent val="0"/>
          <c:showBubbleSize val="0"/>
        </c:dLbls>
        <c:gapWidth val="219"/>
        <c:overlap val="-27"/>
        <c:axId val="160905088"/>
        <c:axId val="160906624"/>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delete val="1"/>
                </c:dLbls>
                <c:cat>
                  <c:numRef>
                    <c:extLst>
                      <c:ext uri="{02D57815-91ED-43cb-92C2-25804820EDAC}">
                        <c15:fullRef>
                          <c15:sqref/>
                        </c15:fullRef>
                        <c15:formulaRef>
                          <c15:sqref>Sheet1!$A$2:$A$3</c15:sqref>
                        </c15:formulaRef>
                      </c:ext>
                    </c:extLst>
                    <c:numCache>
                      <c:formatCode>General</c:formatCode>
                      <c:ptCount val="2"/>
                      <c:pt idx="0">
                        <c:v>2020</c:v>
                      </c:pt>
                      <c:pt idx="1">
                        <c:v>2021</c:v>
                      </c:pt>
                    </c:numCache>
                  </c:num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16090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0906624"/>
        <c:crosses val="autoZero"/>
        <c:auto val="1"/>
        <c:lblAlgn val="ctr"/>
        <c:lblOffset val="100"/>
        <c:noMultiLvlLbl val="0"/>
      </c:catAx>
      <c:valAx>
        <c:axId val="16090662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090508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般公共预算财政拨款支出</c:v>
                </c:pt>
              </c:strCache>
            </c:strRef>
          </c:tx>
          <c:spPr>
            <a:solidFill>
              <a:schemeClr val="accent1"/>
            </a:solidFill>
            <a:ln>
              <a:noFill/>
            </a:ln>
            <a:effectLst/>
          </c:spPr>
          <c:invertIfNegative val="0"/>
          <c:dLbls>
            <c:delete val="1"/>
          </c:dLbls>
          <c:cat>
            <c:numRef>
              <c:f>Sheet1!$A$2:$A$3</c:f>
              <c:numCache>
                <c:formatCode>General</c:formatCode>
                <c:ptCount val="2"/>
                <c:pt idx="0">
                  <c:v>2020</c:v>
                </c:pt>
                <c:pt idx="1">
                  <c:v>2021</c:v>
                </c:pt>
              </c:numCache>
            </c:numRef>
          </c:cat>
          <c:val>
            <c:numRef>
              <c:f>Sheet1!$B$2:$B$3</c:f>
              <c:numCache>
                <c:formatCode>General</c:formatCode>
                <c:ptCount val="2"/>
                <c:pt idx="0">
                  <c:v>2026.56</c:v>
                </c:pt>
                <c:pt idx="1">
                  <c:v>365.92</c:v>
                </c:pt>
              </c:numCache>
            </c:numRef>
          </c:val>
        </c:ser>
        <c:dLbls>
          <c:showLegendKey val="0"/>
          <c:showVal val="0"/>
          <c:showCatName val="0"/>
          <c:showSerName val="0"/>
          <c:showPercent val="0"/>
          <c:showBubbleSize val="0"/>
        </c:dLbls>
        <c:gapWidth val="219"/>
        <c:overlap val="-27"/>
        <c:axId val="113027712"/>
        <c:axId val="113033600"/>
        <c:extLst>
          <c:ext xmlns:c15="http://schemas.microsoft.com/office/drawing/2012/chart" uri="{02D57815-91ED-43cb-92C2-25804820EDAC}">
            <c15:filteredBarSeries>
              <c15:ser>
                <c:idx val="1"/>
                <c:order val="1"/>
                <c:tx>
                  <c:strRef>
                    <c:extLst>
                      <c:ext uri="{02D57815-91ED-43cb-92C2-25804820EDAC}">
                        <c15:formulaRef>
                          <c15:sqref>Sheet1!#REF!</c15:sqref>
                        </c15:formulaRef>
                      </c:ext>
                    </c:extLst>
                    <c:strCache>
                      <c:ptCount val="1"/>
                      <c:pt idx="0">
                        <c:v/>
                      </c:pt>
                    </c:strCache>
                  </c:strRef>
                </c:tx>
                <c:spPr>
                  <a:solidFill>
                    <a:schemeClr val="accent2"/>
                  </a:solidFill>
                  <a:ln>
                    <a:noFill/>
                  </a:ln>
                  <a:effectLst/>
                </c:spPr>
                <c:invertIfNegative val="0"/>
                <c:dLbls>
                  <c:delete val="1"/>
                </c:dLbls>
                <c:cat>
                  <c:numRef>
                    <c:extLst>
                      <c:ext uri="{02D57815-91ED-43cb-92C2-25804820EDAC}">
                        <c15:fullRef>
                          <c15:sqref/>
                        </c15:fullRef>
                        <c15:formulaRef>
                          <c15:sqref>Sheet1!$A$2:$A$3</c15:sqref>
                        </c15:formulaRef>
                      </c:ext>
                    </c:extLst>
                    <c:numCache>
                      <c:formatCode>General</c:formatCode>
                      <c:ptCount val="2"/>
                      <c:pt idx="0">
                        <c:v>2020</c:v>
                      </c:pt>
                      <c:pt idx="1">
                        <c:v>2021</c:v>
                      </c:pt>
                    </c:numCache>
                  </c:numRef>
                </c:cat>
                <c:val>
                  <c:numRef>
                    <c:extLst>
                      <c:ext uri="{02D57815-91ED-43cb-92C2-25804820EDAC}">
                        <c15:formulaRef>
                          <c15:sqref>Sheet1!#REF!</c15:sqref>
                        </c15:formulaRef>
                      </c:ext>
                    </c:extLst>
                    <c:numCache>
                      <c:formatCode>General</c:formatCode>
                      <c:ptCount val="1"/>
                      <c:pt idx="0">
                        <c:v>1</c:v>
                      </c:pt>
                    </c:numCache>
                  </c:numRef>
                </c:val>
              </c15:ser>
            </c15:filteredBarSeries>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delete val="1"/>
                </c:dLbls>
                <c:cat>
                  <c:numRef>
                    <c:extLst>
                      <c:ext uri="{02D57815-91ED-43cb-92C2-25804820EDAC}">
                        <c15:fullRef>
                          <c15:sqref/>
                        </c15:fullRef>
                        <c15:formulaRef>
                          <c15:sqref>Sheet1!$A$2:$A$3</c15:sqref>
                        </c15:formulaRef>
                      </c:ext>
                    </c:extLst>
                    <c:numCache>
                      <c:formatCode>General</c:formatCode>
                      <c:ptCount val="2"/>
                      <c:pt idx="0">
                        <c:v>2020</c:v>
                      </c:pt>
                      <c:pt idx="1">
                        <c:v>2021</c:v>
                      </c:pt>
                    </c:numCache>
                  </c:num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113027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3033600"/>
        <c:crosses val="autoZero"/>
        <c:auto val="1"/>
        <c:lblAlgn val="ctr"/>
        <c:lblOffset val="100"/>
        <c:noMultiLvlLbl val="0"/>
      </c:catAx>
      <c:valAx>
        <c:axId val="11303360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30277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dLblPos val="inEnd"/>
              <c:showLegendKey val="0"/>
              <c:showVal val="1"/>
              <c:showCatName val="0"/>
              <c:showSerName val="0"/>
              <c:showPercent val="0"/>
              <c:showBubbleSize val="0"/>
              <c:extLst>
                <c:ext xmlns:c15="http://schemas.microsoft.com/office/drawing/2012/chart" uri="{CE6537A1-D6FC-4f65-9D91-7224C49458BB}"/>
              </c:extLst>
            </c:dLbl>
            <c:dLbl>
              <c:idx val="2"/>
              <c:delete val="1"/>
            </c:dLbl>
            <c:dLbl>
              <c:idx val="3"/>
              <c:layout/>
              <c:dLblPos val="bestFit"/>
              <c:showLegendKey val="0"/>
              <c:showVal val="1"/>
              <c:showCatName val="0"/>
              <c:showSerName val="0"/>
              <c:showPercent val="0"/>
              <c:showBubbleSize val="0"/>
              <c:extLst>
                <c:ext xmlns:c15="http://schemas.microsoft.com/office/drawing/2012/chart" uri="{CE6537A1-D6FC-4f65-9D91-7224C49458BB}"/>
              </c:extLst>
            </c:dLbl>
            <c:dLbl>
              <c:idx val="4"/>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Sheet1!$A$2:$A$6</c:f>
              <c:strCache>
                <c:ptCount val="5"/>
                <c:pt idx="0">
                  <c:v>社会保障和就业（类）支出</c:v>
                </c:pt>
                <c:pt idx="1">
                  <c:v>卫生健康支出</c:v>
                </c:pt>
                <c:pt idx="2">
                  <c:v>住房保障支出</c:v>
                </c:pt>
                <c:pt idx="3">
                  <c:v>节能环保支出</c:v>
                </c:pt>
                <c:pt idx="4">
                  <c:v>城乡社区支出</c:v>
                </c:pt>
              </c:strCache>
            </c:strRef>
          </c:cat>
          <c:val>
            <c:numRef>
              <c:f>Sheet1!$B$2:$B$6</c:f>
              <c:numCache>
                <c:formatCode>0.00%</c:formatCode>
                <c:ptCount val="5"/>
                <c:pt idx="0">
                  <c:v>0.0357</c:v>
                </c:pt>
                <c:pt idx="1">
                  <c:v>0.001</c:v>
                </c:pt>
                <c:pt idx="2" c:formatCode="0%">
                  <c:v>0.033</c:v>
                </c:pt>
                <c:pt idx="3">
                  <c:v>0.9068</c:v>
                </c:pt>
                <c:pt idx="4">
                  <c:v>0.0235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因公出国（境）费支出</c:v>
                </c:pt>
                <c:pt idx="1">
                  <c:v>公务用车购置及运行维护费支出</c:v>
                </c:pt>
                <c:pt idx="2">
                  <c:v>公务接待费支出</c:v>
                </c:pt>
              </c:strCache>
            </c:strRef>
          </c:cat>
          <c:val>
            <c:numRef>
              <c:f>Sheet1!$B$2:$B$4</c:f>
              <c:numCache>
                <c:formatCode>0%</c:formatCode>
                <c:ptCount val="3"/>
                <c:pt idx="0">
                  <c:v>0</c:v>
                </c:pt>
                <c:pt idx="1">
                  <c:v>0</c:v>
                </c:pt>
                <c:pt idx="2">
                  <c:v>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43</Pages>
  <Words>2564</Words>
  <Characters>14618</Characters>
  <Lines>121</Lines>
  <Paragraphs>34</Paragraphs>
  <TotalTime>1</TotalTime>
  <ScaleCrop>false</ScaleCrop>
  <LinksUpToDate>false</LinksUpToDate>
  <CharactersWithSpaces>17148</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王顺莉</cp:lastModifiedBy>
  <cp:lastPrinted>2022-08-06T02:23:00Z</cp:lastPrinted>
  <dcterms:modified xsi:type="dcterms:W3CDTF">2023-10-13T08:49:18Z</dcterms:modified>
  <dc:title>四川省***</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EFD215A51068495EA4E70A88358CB7F1</vt:lpwstr>
  </property>
</Properties>
</file>