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overflowPunct w:val="0"/>
        <w:topLinePunct/>
        <w:spacing w:line="600" w:lineRule="exact"/>
        <w:jc w:val="center"/>
        <w:rPr>
          <w:rFonts w:ascii="Times New Roman" w:eastAsia="方正小标宋简体" w:cs="方正小标宋简体" w:hAnsi="Times New Roman"/>
          <w:sz w:val="44"/>
          <w:szCs w:val="44"/>
        </w:rPr>
      </w:pPr>
      <w:r>
        <w:rPr>
          <w:rFonts w:ascii="Times New Roman" w:eastAsia="仿宋_GB2312" w:hAnsi="Times New Roman" w:hint="eastAsia"/>
          <w:kern w:val="0"/>
          <w:sz w:val="44"/>
          <w:szCs w:val="44"/>
        </w:rPr>
        <w:t>2024</w:t>
      </w:r>
      <w:r>
        <w:rPr>
          <w:rFonts w:ascii="Times New Roman" w:eastAsia="方正小标宋简体" w:cs="方正小标宋简体" w:hAnsi="Times New Roman" w:hint="eastAsia"/>
          <w:sz w:val="44"/>
          <w:szCs w:val="44"/>
        </w:rPr>
        <w:t>年1月全省水环境目标任务完成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cs="方正小标宋简体" w:hAnsi="Times New Roman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sz w:val="44"/>
          <w:szCs w:val="44"/>
        </w:rPr>
        <w:t>情况通报</w:t>
      </w:r>
    </w:p>
    <w:p>
      <w:pPr>
        <w:overflowPunct w:val="0"/>
        <w:topLinePunct/>
        <w:spacing w:line="600" w:lineRule="exact"/>
        <w:rPr>
          <w:rFonts w:ascii="Times New Roman" w:eastAsia="仿宋_GB2312" w:hAnsi="Times New Roman"/>
          <w:kern w:val="0"/>
          <w:sz w:val="32"/>
          <w:szCs w:val="32"/>
          <w:highlight w:val="yellow"/>
        </w:rPr>
      </w:pPr>
    </w:p>
    <w:p>
      <w:pPr>
        <w:pStyle w:val="134"/>
        <w:widowControl w:val="0"/>
        <w:tabs>
          <w:tab w:val="left" w:pos="7163"/>
        </w:tabs>
        <w:suppressAutoHyphens/>
        <w:overflowPunct w:val="0"/>
        <w:topLinePunct/>
        <w:spacing w:line="600" w:lineRule="exact"/>
        <w:rPr>
          <w:rFonts w:eastAsia="黑体"/>
          <w:b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t>一、全省考核</w:t>
      </w:r>
      <w:r>
        <w:rPr>
          <w:rFonts w:eastAsia="黑体" w:hint="eastAsia"/>
          <w:sz w:val="32"/>
          <w:szCs w:val="32"/>
        </w:rPr>
        <w:t>断面水质</w:t>
      </w:r>
      <w:r>
        <w:rPr>
          <w:rFonts w:eastAsia="黑体"/>
          <w:sz w:val="32"/>
          <w:szCs w:val="32"/>
        </w:rPr>
        <w:t>情况</w:t>
      </w:r>
    </w:p>
    <w:p>
      <w:pPr>
        <w:pStyle w:val="134"/>
        <w:overflowPunct w:val="0"/>
        <w:topLinePunct/>
        <w:spacing w:line="600" w:lineRule="exact"/>
        <w:rPr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1月，</w:t>
      </w:r>
      <w:r>
        <w:rPr>
          <w:rFonts w:hint="eastAsia"/>
          <w:kern w:val="0"/>
          <w:sz w:val="32"/>
          <w:szCs w:val="32"/>
        </w:rPr>
        <w:t>全省203个国考断面，</w:t>
      </w:r>
      <w:r>
        <w:rPr>
          <w:kern w:val="0"/>
          <w:sz w:val="32"/>
          <w:szCs w:val="32"/>
        </w:rPr>
        <w:t>200</w:t>
      </w:r>
      <w:r>
        <w:rPr>
          <w:rFonts w:hint="eastAsia"/>
          <w:kern w:val="0"/>
          <w:sz w:val="32"/>
          <w:szCs w:val="32"/>
        </w:rPr>
        <w:t>个达到Ⅲ类及以上水质，优良断面占比98.5%，同比上升0.5个百分点。Ⅳ断面3个</w:t>
      </w:r>
      <w:r>
        <w:rPr>
          <w:rFonts w:hint="eastAsia"/>
          <w:bCs/>
          <w:sz w:val="32"/>
          <w:szCs w:val="32"/>
        </w:rPr>
        <w:t>，占比1.5%</w:t>
      </w:r>
      <w:r>
        <w:rPr>
          <w:rFonts w:hint="eastAsia"/>
          <w:kern w:val="0"/>
          <w:sz w:val="32"/>
          <w:szCs w:val="32"/>
        </w:rPr>
        <w:t>，分别为泸州市大陆溪四明水厂、自贡市釜溪河宋渡大桥、资阳市小</w:t>
      </w:r>
      <w:r>
        <w:rPr>
          <w:rFonts w:ascii="宋体" w:eastAsia="宋体" w:cs="微软雅黑" w:hint="eastAsia"/>
          <w:kern w:val="0"/>
          <w:sz w:val="32"/>
          <w:szCs w:val="32"/>
        </w:rPr>
        <w:t>濛</w:t>
      </w:r>
      <w:r>
        <w:rPr>
          <w:rFonts w:cs="仿宋_GB2312" w:hint="eastAsia"/>
          <w:kern w:val="0"/>
          <w:sz w:val="32"/>
          <w:szCs w:val="32"/>
        </w:rPr>
        <w:t>溪河资安桥。</w:t>
      </w:r>
      <w:r>
        <w:rPr>
          <w:rFonts w:hint="eastAsia"/>
          <w:kern w:val="0"/>
          <w:sz w:val="32"/>
          <w:szCs w:val="32"/>
        </w:rPr>
        <w:t>203个国考断面中</w:t>
      </w:r>
      <w:r>
        <w:rPr>
          <w:rFonts w:hint="eastAsia"/>
          <w:color w:val="000000"/>
          <w:kern w:val="0"/>
          <w:sz w:val="32"/>
          <w:szCs w:val="32"/>
        </w:rPr>
        <w:t>157</w:t>
      </w:r>
      <w:r>
        <w:rPr>
          <w:rFonts w:hint="eastAsia"/>
          <w:kern w:val="0"/>
          <w:sz w:val="32"/>
          <w:szCs w:val="32"/>
        </w:rPr>
        <w:t>个断面达到Ⅱ类及以上水质，占比为77.3%，</w:t>
      </w:r>
      <w:r>
        <w:rPr>
          <w:rFonts w:hint="eastAsia"/>
          <w:color w:val="000000"/>
          <w:kern w:val="0"/>
          <w:sz w:val="32"/>
          <w:szCs w:val="32"/>
        </w:rPr>
        <w:t>同比上升25.6个百分点。其中，Ⅰ类水质占比27.6%，同比上升13.9个百</w:t>
      </w:r>
      <w:r>
        <w:rPr>
          <w:rFonts w:hint="eastAsia"/>
          <w:kern w:val="0"/>
          <w:sz w:val="32"/>
          <w:szCs w:val="32"/>
        </w:rPr>
        <w:t>分点；Ⅱ类水质占比为49.7%，同比上升11.8个百分点。</w:t>
      </w:r>
    </w:p>
    <w:p>
      <w:pPr>
        <w:pStyle w:val="134"/>
        <w:widowControl w:val="0"/>
        <w:suppressAutoHyphens/>
        <w:overflowPunct w:val="0"/>
        <w:topLinePunct/>
        <w:spacing w:line="600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全省142个省考断面，138个达到Ⅲ类及以上水质，优良断面占比97.2%，同比下降2.8个百分点。Ⅳ类断面4个，占比2.8%，为绵阳市凯江老南桥、成都市环溪河兰家桥、南充市西充河彩虹桥、流江河开源村。142个省考断面中104个断面达到Ⅱ类及以上水质，占比为73.2%，</w:t>
      </w:r>
      <w:r>
        <w:rPr>
          <w:rFonts w:hint="eastAsia"/>
          <w:color w:val="000000"/>
          <w:kern w:val="0"/>
          <w:sz w:val="32"/>
          <w:szCs w:val="32"/>
        </w:rPr>
        <w:t>同比上升2.1个百分点。</w:t>
      </w:r>
      <w:r>
        <w:rPr>
          <w:rFonts w:hint="eastAsia"/>
          <w:kern w:val="0"/>
          <w:sz w:val="32"/>
          <w:szCs w:val="32"/>
        </w:rPr>
        <w:t>其中,Ⅰ类水质占比17.6%，同比下降1.4个百分点；Ⅱ类水质占比为55.6%，同比上升3.5个百分点。</w:t>
      </w:r>
    </w:p>
    <w:p>
      <w:pPr>
        <w:pStyle w:val="134"/>
        <w:overflowPunct w:val="0"/>
        <w:topLinePunct/>
        <w:spacing w:line="600" w:lineRule="exact"/>
        <w:rPr>
          <w:bCs/>
          <w:sz w:val="32"/>
          <w:szCs w:val="32"/>
        </w:rPr>
      </w:pPr>
      <w:r>
        <w:rPr>
          <w:bCs/>
          <w:sz w:val="32"/>
          <w:szCs w:val="32"/>
        </w:rPr>
        <w:t>1月</w:t>
      </w:r>
      <w:r>
        <w:rPr>
          <w:rFonts w:hint="eastAsia"/>
          <w:bCs/>
          <w:sz w:val="32"/>
          <w:szCs w:val="32"/>
        </w:rPr>
        <w:t>，</w:t>
      </w:r>
      <w:r>
        <w:rPr>
          <w:bCs/>
          <w:sz w:val="32"/>
          <w:szCs w:val="32"/>
        </w:rPr>
        <w:t>四川省列入考核的全国重要江河湖泊水功能区314个，其中列入考核并开展达标评价的水功能区285个，依据全因子评价，达标水功能区</w:t>
      </w:r>
      <w:r>
        <w:rPr>
          <w:rFonts w:hint="eastAsia"/>
          <w:bCs/>
          <w:sz w:val="32"/>
          <w:szCs w:val="32"/>
        </w:rPr>
        <w:t>283</w:t>
      </w:r>
      <w:r>
        <w:rPr>
          <w:bCs/>
          <w:sz w:val="32"/>
          <w:szCs w:val="32"/>
        </w:rPr>
        <w:t>个，达标率</w:t>
      </w:r>
      <w:r>
        <w:rPr>
          <w:rFonts w:hint="eastAsia"/>
          <w:bCs/>
          <w:sz w:val="32"/>
          <w:szCs w:val="32"/>
        </w:rPr>
        <w:t>99.3</w:t>
      </w:r>
      <w:r>
        <w:rPr>
          <w:bCs/>
          <w:sz w:val="32"/>
          <w:szCs w:val="32"/>
        </w:rPr>
        <w:t>%。</w:t>
      </w:r>
      <w:r>
        <w:rPr>
          <w:rFonts w:hint="eastAsia"/>
          <w:bCs/>
          <w:sz w:val="32"/>
          <w:szCs w:val="32"/>
        </w:rPr>
        <w:t>2</w:t>
      </w:r>
      <w:r>
        <w:rPr>
          <w:bCs/>
          <w:sz w:val="32"/>
          <w:szCs w:val="32"/>
        </w:rPr>
        <w:t>个未达标水功能区</w:t>
      </w:r>
      <w:r>
        <w:rPr>
          <w:rFonts w:hint="eastAsia"/>
          <w:bCs/>
          <w:sz w:val="32"/>
          <w:szCs w:val="32"/>
        </w:rPr>
        <w:t>为阿坝州黑水河</w:t>
      </w:r>
      <w:r>
        <w:rPr>
          <w:bCs/>
          <w:sz w:val="32"/>
          <w:szCs w:val="32"/>
        </w:rPr>
        <w:t>黑水源头水保护区</w:t>
      </w:r>
      <w:r>
        <w:rPr>
          <w:rFonts w:hint="eastAsia"/>
          <w:bCs/>
          <w:sz w:val="32"/>
          <w:szCs w:val="32"/>
        </w:rPr>
        <w:t>、</w:t>
      </w:r>
      <w:r>
        <w:rPr>
          <w:bCs/>
          <w:sz w:val="32"/>
          <w:szCs w:val="32"/>
        </w:rPr>
        <w:t>黑水河黑水保留区。</w:t>
      </w:r>
    </w:p>
    <w:p>
      <w:pPr>
        <w:pStyle w:val="134"/>
        <w:widowControl w:val="0"/>
        <w:suppressAutoHyphens/>
        <w:overflowPunct w:val="0"/>
        <w:topLinePunct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各市（州）考核</w:t>
      </w:r>
      <w:r>
        <w:rPr>
          <w:rFonts w:eastAsia="黑体" w:hint="eastAsia"/>
          <w:sz w:val="32"/>
          <w:szCs w:val="32"/>
        </w:rPr>
        <w:t>断面水质</w:t>
      </w:r>
      <w:r>
        <w:rPr>
          <w:rFonts w:eastAsia="黑体"/>
          <w:sz w:val="32"/>
          <w:szCs w:val="32"/>
        </w:rPr>
        <w:t>情况</w:t>
      </w:r>
    </w:p>
    <w:p>
      <w:pPr>
        <w:pStyle w:val="134"/>
        <w:widowControl w:val="0"/>
        <w:suppressAutoHyphens/>
        <w:overflowPunct w:val="0"/>
        <w:topLinePunct/>
        <w:spacing w:line="600" w:lineRule="exac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全省21个市（州）水质优良率，成都市97.4%、自贡市90.0%、泸州市92.3%、绵阳市95.0%、南充市83.3%、资阳市94.1%，其余15个市州均为100%。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黑体" w:cs="黑体" w:hAnsi="Times New Roman"/>
          <w:sz w:val="32"/>
          <w:szCs w:val="32"/>
        </w:rPr>
      </w:pPr>
      <w:r>
        <w:rPr>
          <w:rFonts w:ascii="Times New Roman" w:eastAsia="黑体" w:cs="黑体" w:hAnsi="Times New Roman" w:hint="eastAsia"/>
          <w:sz w:val="32"/>
          <w:szCs w:val="32"/>
        </w:rPr>
        <w:t>三、13条主要河流考核水质状况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1月，雅砻江、安宁河、赤水河、岷江、大渡河、青衣江、嘉陵江、涪江、渠江、琼江、黄河11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条流域国考断面水质优良断面占比均为100%。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长江（金沙江）流域35个国考断面水质优良断面34个，占比97.1%。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沱江流域37个国考断面水质优良断面35个，占比94.6%。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</w:rPr>
        <w:t>四、14个重点湖库营养状况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1月，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泸沽湖、紫坪铺水库、二滩水库、白龙湖、邛海、葫芦口水库为贫营养；鲁班水库、三岔湖、双溪水库、升钟水库、黑龙滩水库、瀑布沟、老鹰水库、沉抗水库为中营养。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FF0000"/>
          <w:sz w:val="32"/>
          <w:szCs w:val="32"/>
        </w:rPr>
      </w:pPr>
    </w:p>
    <w:p>
      <w:pPr>
        <w:overflowPunct w:val="0"/>
        <w:topLinePunct/>
        <w:spacing w:line="600" w:lineRule="exact"/>
        <w:ind w:leftChars="304" w:left="2078" w:hangingChars="450" w:hanging="1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1．</w:t>
      </w:r>
      <w:r>
        <w:rPr>
          <w:rFonts w:ascii="Times New Roman" w:eastAsia="仿宋_GB2312" w:hAnsi="Times New Roman" w:hint="eastAsia"/>
          <w:sz w:val="32"/>
          <w:szCs w:val="32"/>
        </w:rPr>
        <w:t>2024年1月河长制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条河流水质情况统计表</w:t>
      </w:r>
    </w:p>
    <w:p>
      <w:pPr>
        <w:overflowPunct w:val="0"/>
        <w:topLinePunct/>
        <w:spacing w:line="600" w:lineRule="exact"/>
        <w:ind w:leftChars="760" w:left="2012" w:hangingChars="130" w:hanging="41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2．</w:t>
      </w:r>
      <w:r>
        <w:rPr>
          <w:rFonts w:ascii="Times New Roman" w:eastAsia="仿宋_GB2312" w:hAnsi="Times New Roman" w:hint="eastAsia"/>
          <w:sz w:val="32"/>
          <w:szCs w:val="32"/>
        </w:rPr>
        <w:t>2024年1月</w:t>
      </w:r>
      <w:r>
        <w:rPr>
          <w:rFonts w:ascii="Times New Roman" w:eastAsia="仿宋_GB2312" w:hAnsi="Times New Roman"/>
          <w:sz w:val="32"/>
          <w:szCs w:val="32"/>
        </w:rPr>
        <w:t>国考断面水质情况统计表</w:t>
      </w:r>
    </w:p>
    <w:p>
      <w:pPr>
        <w:overflowPunct w:val="0"/>
        <w:topLinePunct/>
        <w:spacing w:line="600" w:lineRule="exact"/>
        <w:ind w:leftChars="760" w:left="2012" w:hangingChars="130" w:hanging="416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2024年1月</w:t>
      </w:r>
      <w:r>
        <w:rPr>
          <w:rFonts w:ascii="Times New Roman" w:eastAsia="仿宋_GB2312" w:hAnsi="Times New Roman"/>
          <w:sz w:val="32"/>
          <w:szCs w:val="32"/>
        </w:rPr>
        <w:t>省考断面水质情况统计</w:t>
      </w:r>
      <w:r>
        <w:rPr>
          <w:rFonts w:ascii="Times New Roman" w:eastAsia="仿宋_GB2312" w:hAnsi="Times New Roman" w:hint="eastAsia"/>
          <w:sz w:val="32"/>
          <w:szCs w:val="32"/>
        </w:rPr>
        <w:t>表</w:t>
      </w:r>
    </w:p>
    <w:p>
      <w:pPr>
        <w:overflowPunct w:val="0"/>
        <w:topLinePunct/>
        <w:spacing w:line="600" w:lineRule="exact"/>
        <w:ind w:leftChars="760" w:left="2012" w:hangingChars="130" w:hanging="41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4．2024年1月重点湖库营养状况评价结果表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color w:val="FF0000"/>
          <w:sz w:val="32"/>
          <w:szCs w:val="32"/>
          <w:highlight w:val="yellow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t>附件1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2024年1月“河长制”</w:t>
      </w:r>
      <w:r>
        <w:rPr>
          <w:rFonts w:ascii="Times New Roman" w:eastAsia="方正小标宋简体" w:hAnsi="Times New Roman"/>
          <w:bCs/>
          <w:sz w:val="44"/>
          <w:szCs w:val="44"/>
        </w:rPr>
        <w:t>1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sz w:val="44"/>
          <w:szCs w:val="44"/>
        </w:rPr>
        <w:t>条河流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水质情况统计表</w:t>
      </w:r>
    </w:p>
    <w:p>
      <w:pPr>
        <w:overflowPunct w:val="0"/>
        <w:topLinePunct/>
        <w:spacing w:line="600" w:lineRule="exact"/>
        <w:rPr>
          <w:rFonts w:ascii="Times New Roman" w:eastAsia="方正小标宋简体" w:hAnsi="Times New Roman"/>
          <w:bCs/>
          <w:color w:val="FF0000"/>
          <w:sz w:val="44"/>
          <w:szCs w:val="44"/>
        </w:rPr>
      </w:pPr>
    </w:p>
    <w:tbl>
      <w:tblPr>
        <w:jc w:val="cente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735"/>
        <w:gridCol w:w="750"/>
        <w:gridCol w:w="743"/>
        <w:gridCol w:w="743"/>
        <w:gridCol w:w="750"/>
        <w:gridCol w:w="1831"/>
        <w:gridCol w:w="2536"/>
      </w:tblGrid>
      <w:tr>
        <w:trPr>
          <w:trHeight w:val="454"/>
        </w:trPr>
        <w:tc>
          <w:tcPr>
            <w:tcW w:w="435" w:type="pct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河流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名称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国考断面</w:t>
            </w:r>
          </w:p>
        </w:tc>
        <w:tc>
          <w:tcPr>
            <w:tcW w:w="1261" w:type="pct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国省考断面</w:t>
            </w:r>
          </w:p>
        </w:tc>
        <w:tc>
          <w:tcPr>
            <w:tcW w:w="2464" w:type="pct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国省考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干流／支流受污染河段情况</w:t>
            </w:r>
          </w:p>
        </w:tc>
      </w:tr>
      <w:tr>
        <w:trPr>
          <w:trHeight w:val="454"/>
        </w:trPr>
        <w:tc>
          <w:tcPr>
            <w:tcW w:w="435" w:type="pct"/>
            <w:vMerge/>
            <w:vAlign w:val="center"/>
          </w:tcPr>
          <w:p/>
        </w:tc>
        <w:tc>
          <w:tcPr>
            <w:tcW w:w="41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数量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（个）</w:t>
            </w:r>
          </w:p>
        </w:tc>
        <w:tc>
          <w:tcPr>
            <w:tcW w:w="42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宋体" w:hAnsi="Times New Roman" w:hint="eastAsia"/>
                <w:bCs/>
                <w:kern w:val="0"/>
                <w:szCs w:val="21"/>
              </w:rPr>
              <w:t>优良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率（%）</w:t>
            </w:r>
          </w:p>
        </w:tc>
        <w:tc>
          <w:tcPr>
            <w:tcW w:w="419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数量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（个）</w:t>
            </w:r>
          </w:p>
        </w:tc>
        <w:tc>
          <w:tcPr>
            <w:tcW w:w="419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宋体" w:hAnsi="Times New Roman" w:hint="eastAsia"/>
                <w:bCs/>
                <w:kern w:val="0"/>
                <w:szCs w:val="21"/>
              </w:rPr>
              <w:t>优良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率（%）</w:t>
            </w:r>
          </w:p>
        </w:tc>
        <w:tc>
          <w:tcPr>
            <w:tcW w:w="42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劣</w:t>
            </w:r>
            <w:r>
              <w:rPr>
                <w:rFonts w:ascii="Times New Roman" w:cs="宋体" w:hAnsi="Times New Roman" w:hint="eastAsia"/>
                <w:bCs/>
                <w:kern w:val="0"/>
                <w:szCs w:val="21"/>
              </w:rPr>
              <w:t>Ⅴ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类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断面比例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（%）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干流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支流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长江（金沙江）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97.1%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98.1%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：大陆溪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雅砻江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安宁河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7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赤水河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岷江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10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大渡河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22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青衣江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沱江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37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94.6%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95.0%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：小</w:t>
            </w:r>
            <w:r>
              <w:rPr>
                <w:rFonts w:ascii="Times New Roman" w:eastAsia="微软雅黑" w:cs="微软雅黑" w:hAnsi="Times New Roman" w:hint="eastAsia"/>
                <w:kern w:val="0"/>
                <w:szCs w:val="21"/>
              </w:rPr>
              <w:t>濛</w:t>
            </w: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溪河、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釜溪河、环溪河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嘉陵江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37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97.3%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：西充河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涪江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96.7%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：凯江</w:t>
            </w:r>
          </w:p>
        </w:tc>
      </w:tr>
      <w:tr>
        <w:trPr>
          <w:trHeight w:val="90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琼江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渠江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37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97.3%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：流江河</w:t>
            </w:r>
          </w:p>
        </w:tc>
      </w:tr>
      <w:tr>
        <w:trPr>
          <w:trHeight w:val="454"/>
        </w:trPr>
        <w:tc>
          <w:tcPr>
            <w:tcW w:w="43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黄河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100%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3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4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</w:tbl>
    <w:p>
      <w:pPr>
        <w:tabs>
          <w:tab w:val="left" w:pos="2278"/>
        </w:tabs>
        <w:overflowPunct w:val="0"/>
        <w:topLinePunct/>
        <w:spacing w:line="400" w:lineRule="exact"/>
        <w:rPr>
          <w:rFonts w:ascii="Times New Roman" w:eastAsia="方正小标宋简体" w:hAnsi="Times New Roman"/>
          <w:color w:val="FF0000"/>
          <w:kern w:val="0"/>
          <w:sz w:val="44"/>
          <w:szCs w:val="44"/>
        </w:rPr>
      </w:pPr>
    </w:p>
    <w:p>
      <w:pPr>
        <w:tabs>
          <w:tab w:val="left" w:pos="2278"/>
        </w:tabs>
        <w:overflowPunct w:val="0"/>
        <w:topLinePunct/>
        <w:spacing w:line="400" w:lineRule="exact"/>
        <w:rPr>
          <w:rFonts w:ascii="Times New Roman" w:eastAsia="方正小标宋简体" w:hAnsi="Times New Roman"/>
          <w:color w:val="FF0000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2098" w:right="1474" w:bottom="1247" w:left="1588" w:header="851" w:footer="992" w:gutter="0"/>
          <w:docGrid w:linePitch="319" w:charSpace="0"/>
        </w:sect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附件2</w:t>
      </w:r>
    </w:p>
    <w:p>
      <w:pPr>
        <w:overflowPunct w:val="0"/>
        <w:topLinePunct/>
        <w:spacing w:line="300" w:lineRule="exact"/>
        <w:rPr>
          <w:rFonts w:ascii="Times New Roman" w:eastAsia="黑体" w:hAnsi="Times New Roman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2024年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1月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国考断面水质情况统计表</w:t>
      </w:r>
    </w:p>
    <w:p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jc w:val="center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51"/>
        <w:gridCol w:w="1107"/>
        <w:gridCol w:w="1029"/>
        <w:gridCol w:w="1800"/>
        <w:gridCol w:w="1553"/>
        <w:gridCol w:w="849"/>
        <w:gridCol w:w="849"/>
        <w:gridCol w:w="1983"/>
        <w:gridCol w:w="2775"/>
        <w:gridCol w:w="1023"/>
      </w:tblGrid>
      <w:tr>
        <w:trPr>
          <w:cantSplit/>
          <w:trHeight w:val="20"/>
          <w:tblHeader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流域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责任市州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断面名称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干流/支流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2023年 1月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2024年 1月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水质变化趋势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超Ⅲ类标准因子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201医院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八角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发轮河口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拱城铺渡口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红光村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高升河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红日河大桥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阳化河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红岩寺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宏缘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胡市大桥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濑溪河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葫芦口水库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脚仙村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隆昌河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老翁桥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廖家堰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威远河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罗万场下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小石河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碾子湾村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富顺河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牛桥（民心桥）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</w:t>
            </w: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濛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毗河二桥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中河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鸭子河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三邑大桥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青白江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石亭江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宋渡大桥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釜溪河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22mg/L,</w:t>
            </w:r>
          </w:p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超标0.1倍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碳研所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釜溪河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谢家桥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索溪河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幸福村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（河东元坝）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叶家滩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旭水河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银山镇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资安桥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</w:t>
            </w: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濛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高锰酸盐指数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6.5mg/L,</w:t>
            </w:r>
          </w:p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超标0.1倍；总磷0.21mg/L,</w:t>
            </w:r>
          </w:p>
          <w:p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超标0.05倍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都江堰水文站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岷江（内江）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二江寺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江安河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凉姜沟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两合水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蒲江河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马边河河口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马边河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岷江东青交界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岷江青衣坝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岷江沙咀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彭山岷江大桥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桑园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出江河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色尔古乡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泗江堰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团结堰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临溪河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渭门桥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五里界牌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杂谷脑河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于佳乡黄龙桥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月波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岳店子下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岷江（外江）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悦来渡口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镇平乡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攀枝花市、凉山州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柏枝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丽江市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泸沽湖湖心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泸沽湖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乃渠乡水打坝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九龙河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仁达乡鲜水河水电站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鲜水河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卧落河入境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卧落河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雄坝乡无量河大桥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理塘河（无量河）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雅江县城上游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长须干马乡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阿七大桥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大桥水库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冕山镇新桥村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孙水河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邛海湖心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邛海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湾滩电站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昔街大桥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白杨溪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塘河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白杨溪电站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任河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蔡家渡口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城河入境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城河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大湾子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岗架大桥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格学桥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赠曲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公德房电站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珙泉镇三江村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挂弓山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禾尼乡骡子沟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迪庆州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贺龙桥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江南镇沙嘴上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昌都市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金沙江岗托桥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黎家乡崔家岩村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大洪河（大洪湖）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泸天化大桥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倮果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昆明市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蒙姑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纳溪大渡口（左岸）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南广镇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三湾河大桥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鲹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鱼河入境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鲹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鱼河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石门子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手爬岩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御临河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水磨沟村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四明水厂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大陆溪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23mg/L,</w:t>
            </w:r>
          </w:p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超标0.2倍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巫山乡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香巴拉镇硕曲河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硕曲河（东旺河）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香格里拉镇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堰坝大桥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古宋河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幺滩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御临河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油米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朱沱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大岗山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歌乐沱乡色曲河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色曲河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马尔邦碉王山庄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大金川河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尼日河甘洛出境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尼日河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蒲西乡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绰斯甲河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茸安乡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阿柯河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三谷庄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小水沟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梭磨河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pacing w:val="-1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pacing w:val="-10"/>
                <w:szCs w:val="21"/>
              </w:rPr>
              <w:t>新格乡松矶砂石场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小金川河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迭部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九寨沟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苴国村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郎木寺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烈面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麻柳包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三合场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构溪河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上石盘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升钟水库铁炉寺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五仙庙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伍嘉码头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县城马踏石点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白水江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新政电站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摇金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元西村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竹园镇阳泉坝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青竹江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百顷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北川通口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通口河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丰谷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福田坝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红江渡口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楼房沟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鲁班岛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鲁班水库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平武水文站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郪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郪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双堰村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秀水河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松花村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凯江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pacing w:val="-1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pacing w:val="-10"/>
                <w:szCs w:val="21"/>
              </w:rPr>
              <w:t>天仙镇大佛寺渡口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西平镇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凯江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象山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微软雅黑" w:cs="微软雅黑" w:hAnsi="Times New Roman" w:hint="eastAsia"/>
                <w:bCs/>
                <w:color w:val="000000"/>
                <w:szCs w:val="21"/>
              </w:rPr>
              <w:t>郪</w:t>
            </w: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白兔乡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流江河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车家河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州河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大蹬沟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舵石盘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州河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拱桥河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恩阳河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苟家湾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月潭河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化龙乡渠河村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华蓥河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江陵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明月江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联盟桥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任市河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纳溪口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通江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牛角滩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平滩河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上河坝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铜钵河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手傍岩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团堡岭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漩坑坝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后河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园门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澌滩河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邹家坝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小通江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龟都府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葫芦坝电站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周公河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槐子坝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荥经河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姜公堰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灵鹫塔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宝兴河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木城镇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天全河两河口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天全河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甘南州、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玛曲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若尔盖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唐克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两汇水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大同河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毕节市、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太平渡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古蔺河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醒觉溪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姚市河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龙台河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跑马滩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元坝子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蟠龙河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cs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cs="宋体" w:hAnsi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  <w:t>附件3</w:t>
      </w:r>
    </w:p>
    <w:p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2024年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1月</w:t>
      </w:r>
      <w:r>
        <w:rPr>
          <w:rFonts w:ascii="Times New Roman" w:eastAsia="方正小标宋简体" w:hAnsi="Times New Roman"/>
          <w:sz w:val="44"/>
          <w:szCs w:val="44"/>
        </w:rPr>
        <w:t>省考断面水质情况统计表</w:t>
      </w:r>
    </w:p>
    <w:p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jc w:val="left"/>
        <w:tblInd w:w="0" w:type="dx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017"/>
        <w:gridCol w:w="982"/>
        <w:gridCol w:w="2020"/>
        <w:gridCol w:w="1529"/>
        <w:gridCol w:w="995"/>
        <w:gridCol w:w="995"/>
        <w:gridCol w:w="1445"/>
        <w:gridCol w:w="2543"/>
        <w:gridCol w:w="1302"/>
      </w:tblGrid>
      <w:tr>
        <w:trPr>
          <w:trHeight w:val="20"/>
          <w:tblHeader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流域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责任市州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断面名称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干流/支流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2023年  1月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2024年  1月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水质变化趋势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超Ⅲ类标准因子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三皇庙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临江寺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高寺渡口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巷子口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九曲河大桥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九曲河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爱民桥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绛溪河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雷公滩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旭水河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自贡市、 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釜溪河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兰家桥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环溪河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23mg/L,</w:t>
            </w:r>
          </w:p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超标0.2倍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拦河堰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新毗大桥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驾虹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蒲阳河（青白江）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成彭高速路桥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青白江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马射汇合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射水河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官渡大桥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濑溪河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韦家湾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小清流河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汪家坝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</w:t>
            </w:r>
            <w:r>
              <w:rPr>
                <w:rFonts w:ascii="Times New Roman" w:eastAsia="微软雅黑" w:cs="微软雅黑" w:hAnsi="Times New Roman" w:hint="eastAsia"/>
                <w:szCs w:val="21"/>
              </w:rPr>
              <w:t>濛</w:t>
            </w:r>
            <w:r>
              <w:rPr>
                <w:rFonts w:ascii="Times New Roman" w:eastAsia="仿宋_GB2312" w:cs="仿宋_GB2312" w:hAnsi="Times New Roman" w:hint="eastAsia"/>
                <w:szCs w:val="21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肖家鼓堰码头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</w:t>
            </w:r>
            <w:r>
              <w:rPr>
                <w:rFonts w:ascii="Times New Roman" w:eastAsia="微软雅黑" w:cs="微软雅黑" w:hAnsi="Times New Roman" w:hint="eastAsia"/>
                <w:szCs w:val="21"/>
              </w:rPr>
              <w:t>濛</w:t>
            </w:r>
            <w:r>
              <w:rPr>
                <w:rFonts w:ascii="Times New Roman" w:eastAsia="仿宋_GB2312" w:cs="仿宋_GB2312" w:hAnsi="Times New Roman" w:hint="eastAsia"/>
                <w:szCs w:val="21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万安桥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红庙子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鸭子河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吉乐村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老鹰水库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库中测点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三岔湖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起水站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双溪水库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寿溪水磨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映秀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永安大桥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老南河大桥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新津南河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金牛河口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体泉河口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体泉河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桥江桥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断流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茫溪大桥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茫溪河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龙溪河河口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牟托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柏条河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安龙桥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泊江河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东风渠天府新区出境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断流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罗家河坝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十陵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罗家村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共耕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江安河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刘家壕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黄塔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唐场大桥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斜江河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花园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走马河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马边河鼓儿滩吊桥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马边河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沐溪河穿山坳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沐溪河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思蒙河丹东交界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丹棱河（思蒙河）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岷江彭东交界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麻柳坝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鹰嘴岩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百花大桥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五星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蒲江河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黑龙滩水库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跨库大桥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紫坪铺水库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箩筐坝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越溪河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雅江县318国道71km处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格西沟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鲜水河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鲜水河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呷拉乡雅砻江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理塘河（无量河）入境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理塘河（无量河）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雄龙西沟霍曲河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霍曲河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红壁滩下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安宁河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黄土坡吊桥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黑水河河口（黑水河入境断面）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雷波县金沙镇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木府乡仓房村仓房电站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金阳河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溜筒河拉一木入境断面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溜筒河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观音桥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永宁河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红桥园田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高店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宝宁村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马鸣溪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大步跳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瓒滩乡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南广河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黄泥咀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宋江河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李庄镇下渡口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楠木沟大桥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集沐乡周山村点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新康猫大桥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梭磨河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茸木达乡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则曲河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聂呷乡佛爷岩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鸳鸯坝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大渡河安谷电站大坝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大渡河宜坪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大渡河芝麻凼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峨眉河曾河坝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峨眉河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梅花乡巴姑村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尼日河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石棉丰乐乡三星村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瀑布沟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金银渡（张家岩）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彩虹桥（拉拉渡）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西充河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29mg/L,</w:t>
            </w:r>
          </w:p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超标0.4倍；生化需氧量5.9mg/L,超标0.5倍；高锰酸盐指数6.5mg/L,超标0.1倍；</w:t>
            </w:r>
          </w:p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总磷0.208mg/L，超标0.04倍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郭家坝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长滩寺河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花石包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白龙江水磨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卫子河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插江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喻家咀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石羊村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西阳寺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荣山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川甘交界处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包座河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升钟水库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坝前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老南桥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23mg/L,</w:t>
            </w:r>
          </w:p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超标0.2倍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凯江村大桥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安州区界牌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板凳桥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沙窝子大桥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北川墩上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土门河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垢家渡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先锋桥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白鹤桥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坛罐窑河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涪山坝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芝溪河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饮马桥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米家桥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排马梯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白鹤山（水井湾）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双龙桥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清溪河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大坝河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雷破石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小元村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徐家河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驷马河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清河坝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墩子河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葫芦电站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明月江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大石堡平桥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新宁河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张鼓坪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开源村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流江河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22mg/L,</w:t>
            </w:r>
          </w:p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超标0.1倍；生化需氧量5.8mg/L,超标0.4倍；总磷0.22mg/L，超标0.1倍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凌家桥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石桥河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青衣江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多营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青衣江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贾柯牧场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贾曲河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切拉塘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</w:tbl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FF0000"/>
          <w:sz w:val="44"/>
          <w:szCs w:val="44"/>
        </w:rPr>
      </w:pPr>
    </w:p>
    <w:p>
      <w:pPr>
        <w:rPr>
          <w:rFonts w:ascii="Times New Roman" w:eastAsia="仿宋_GB2312" w:hAnsi="Times New Roman"/>
          <w:sz w:val="28"/>
          <w:szCs w:val="28"/>
        </w:rPr>
        <w:sectPr>
          <w:headerReference w:type="default" r:id="rId4"/>
          <w:headerReference w:type="even" r:id="rId5"/>
          <w:footerReference w:type="default" r:id="rId6"/>
          <w:footerReference w:type="even" r:id="rId7"/>
          <w:pgSz w:w="16838" w:h="11906" w:orient="landscape"/>
          <w:pgMar w:top="1588" w:right="2098" w:bottom="1474" w:left="1247" w:header="851" w:footer="992" w:gutter="0"/>
          <w:docGrid w:linePitch="319" w:charSpace="0"/>
        </w:sect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p>
      <w:pPr>
        <w:pStyle w:val="78"/>
        <w:widowControl w:val="0"/>
        <w:suppressAutoHyphens/>
        <w:spacing w:after="0" w:line="600" w:lineRule="exact"/>
        <w:ind w:firstLineChars="0" w:firstLine="0"/>
        <w:rPr>
          <w:rFonts w:ascii="Times New Roman" w:eastAsia="方正小标宋简体" w:hAnsi="Times New Roman"/>
          <w:sz w:val="44"/>
          <w:szCs w:val="44"/>
          <w:highlight w:val="yellow"/>
        </w:rPr>
      </w:pPr>
    </w:p>
    <w:p>
      <w:pPr>
        <w:spacing w:line="60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2024年1月重点湖库营养状况评价结果表</w:t>
      </w:r>
    </w:p>
    <w:p>
      <w:pPr>
        <w:spacing w:line="600" w:lineRule="exact"/>
        <w:rPr>
          <w:rFonts w:ascii="Times New Roman" w:hAnsi="Times New Roman"/>
        </w:rPr>
      </w:pPr>
    </w:p>
    <w:tbl>
      <w:tblPr>
        <w:jc w:val="cent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963"/>
        <w:gridCol w:w="2156"/>
        <w:gridCol w:w="1602"/>
        <w:gridCol w:w="1933"/>
      </w:tblGrid>
      <w:tr>
        <w:trPr>
          <w:trHeight w:val="400"/>
          <w:tblHeader/>
        </w:trPr>
        <w:tc>
          <w:tcPr>
            <w:tcW w:w="607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126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湖库名称</w:t>
            </w:r>
          </w:p>
        </w:tc>
        <w:tc>
          <w:tcPr>
            <w:tcW w:w="1237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断面名称</w:t>
            </w:r>
          </w:p>
        </w:tc>
        <w:tc>
          <w:tcPr>
            <w:tcW w:w="919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断面性质</w:t>
            </w:r>
          </w:p>
        </w:tc>
        <w:tc>
          <w:tcPr>
            <w:tcW w:w="1109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营养状况</w:t>
            </w:r>
          </w:p>
        </w:tc>
      </w:tr>
      <w:tr>
        <w:trPr>
          <w:trHeight w:val="400"/>
          <w:tblHeader/>
        </w:trPr>
        <w:tc>
          <w:tcPr>
            <w:tcW w:w="607" w:type="pct"/>
            <w:vMerge/>
            <w:vAlign w:val="center"/>
          </w:tcPr>
          <w:p/>
        </w:tc>
        <w:tc>
          <w:tcPr>
            <w:tcW w:w="1126" w:type="pct"/>
            <w:vMerge/>
            <w:vAlign w:val="center"/>
          </w:tcPr>
          <w:p/>
        </w:tc>
        <w:tc>
          <w:tcPr>
            <w:tcW w:w="1237" w:type="pct"/>
            <w:vMerge/>
            <w:vAlign w:val="center"/>
          </w:tcPr>
          <w:p/>
        </w:tc>
        <w:tc>
          <w:tcPr>
            <w:tcW w:w="919" w:type="pct"/>
            <w:vMerge/>
            <w:vAlign w:val="center"/>
          </w:tcPr>
          <w:p/>
        </w:tc>
        <w:tc>
          <w:tcPr>
            <w:tcW w:w="1109" w:type="pct"/>
            <w:vMerge/>
            <w:vAlign w:val="center"/>
          </w:tcPr>
          <w:p/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邛海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邛海湖心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葫芦口水库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葫芦口水库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泸沽湖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泸沽湖湖心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鲁班水库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鲁班岛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紫坪铺水库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跨库大桥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三岔湖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库中测点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双溪水库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起水站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红壁滩下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白龙湖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坝前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升钟水库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李家坝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黑龙滩水库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龙庙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瀑布沟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青富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老鹰水库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吉乐村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0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</w:tbl>
    <w:p>
      <w:pPr>
        <w:pStyle w:val="78"/>
        <w:widowControl w:val="0"/>
        <w:suppressAutoHyphens/>
        <w:rPr>
          <w:rFonts w:ascii="Times New Roman" w:eastAsia="黑体" w:hAnsi="Times New Roman"/>
          <w:color w:val="FF0000"/>
          <w:sz w:val="32"/>
          <w:szCs w:val="28"/>
          <w:highlight w:val="yellow"/>
        </w:r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color w:val="FF0000"/>
          <w:sz w:val="32"/>
          <w:szCs w:val="28"/>
        </w:rPr>
      </w:pPr>
      <w:r>
        <w:rPr>
          <w:rFonts w:ascii="Times New Roman" w:eastAsia="黑体" w:hAnsi="Times New Roman"/>
          <w:color w:val="FF0000"/>
          <w:sz w:val="32"/>
          <w:szCs w:val="28"/>
        </w:rPr>
        <w:br w:type="page"/>
      </w:r>
      <w:bookmarkStart w:id="0" w:name="_GoBack"/>
      <w:bookmarkEnd w:id="0"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pgSz w:w="11906" w:h="16838"/>
      <w:pgMar w:top="2098" w:right="1588" w:bottom="1247" w:left="1588" w:header="851" w:footer="992" w:gutter="0"/>
      <w:titlePg/>
      <w:docGrid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瀹嬩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3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widowControl w:val="0"/>
      <w:tabs>
        <w:tab w:val="center" w:pos="4153"/>
        <w:tab w:val="right" w:pos="8306"/>
      </w:tabs>
      <w:suppressAutoHyphens/>
      <w:ind w:leftChars="100" w:left="210" w:rightChars="100" w:right="21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4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298" distR="114298" simplePos="0" relativeHeight="4" behindDoc="1" locked="0" layoutInCell="1" hidden="0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-1251585</wp:posOffset>
              </wp:positionV>
              <wp:extent cx="422655" cy="1113155"/>
              <wp:effectExtent l="0" t="0" r="0" b="0"/>
              <wp:wrapNone/>
              <wp:docPr id="4" name="Text Box 102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22655" cy="1113155"/>
                      </a:xfrm>
                      <a:prstGeom prst="rect"/>
                      <a:solidFill>
                        <a:srgbClr val="FFFFFF"/>
                      </a:solidFill>
                      <a:ln w="9525" cmpd="sng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34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ind w:leftChars="100" w:left="210" w:rightChars="100" w:right="21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Text Box 1025 6" o:spid="_x0000_s6" fillcolor="#FFFFFF" stroked="t" style="position:absolute;margin-left:-29.35pt;margin-top:-98.55pt;width:33.279987pt;height:87.65pt;z-index:-6;mso-position-horizontal:absolute;mso-position-vertical:absolute;mso-wrap-distance-left:8.999863pt;mso-wrap-distance-right:8.999863pt;mso-wrap-style:square;">
              <v:stroke color="#FFFFFF"/>
              <v:textbox id="849" inset="2.54mm,1.27mm,2.54mm,1.27mm" o:insetmode="custom" style="layout-flow:vertical;v-text-anchor:top;mso-fit-shape-to-text:t;">
                <w:txbxContent>
                  <w:p>
                    <w:pPr>
                      <w:pStyle w:val="34"/>
                      <w:widowControl w:val="0"/>
                      <w:tabs>
                        <w:tab w:val="center" w:pos="4153"/>
                        <w:tab w:val="right" w:pos="8306"/>
                      </w:tabs>
                      <w:suppressAutoHyphens/>
                      <w:ind w:leftChars="100" w:left="210" w:rightChars="100" w:right="21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widowControl w:val="0"/>
      <w:tabs>
        <w:tab w:val="center" w:pos="4153"/>
        <w:tab w:val="right" w:pos="8306"/>
      </w:tabs>
      <w:suppressAutoHyphens/>
      <w:ind w:rightChars="100" w:right="210"/>
      <w:rPr>
        <w:rFonts w:ascii="宋体"/>
        <w:sz w:val="28"/>
        <w:szCs w:val="28"/>
      </w:rPr>
    </w:pPr>
  </w:p>
</w:ftr>
</file>

<file path=word/footer5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widowControl w:val="0"/>
      <w:tabs>
        <w:tab w:val="clear" w:pos="4153"/>
        <w:tab w:val="clear" w:pos="8306"/>
        <w:tab w:val="left" w:pos="1552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8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251"/>
              <wp:effectExtent l="0" t="0" r="0" b="0"/>
              <wp:wrapNone/>
              <wp:docPr id="7" name="文本框 102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779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8">
                      <w:txbxContent>
                        <w:p>
                          <w:pPr>
                            <w:pStyle w:val="34"/>
                            <w:widowControl w:val="0"/>
                            <w:tabs>
                              <w:tab w:val="clear" w:pos="4153"/>
                              <w:tab w:val="clear" w:pos="8306"/>
                              <w:tab w:val="left" w:pos="1552"/>
                            </w:tabs>
                            <w:suppressAutoHyphens/>
                            <w:ind w:leftChars="100" w:left="210" w:rightChars="100" w:right="210"/>
                            <w:jc w:val="right"/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28 9" o:spid="_x0000_s9" filled="f" stroked="f" style="position:absolute;margin-left:0.0pt;margin-top:0.0pt;width:77.00001pt;height:18.130003pt;z-index:18;mso-position-horizontal:outside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pStyle w:val="34"/>
                      <w:widowControl w:val="0"/>
                      <w:tabs>
                        <w:tab w:val="clear" w:pos="4153"/>
                        <w:tab w:val="clear" w:pos="8306"/>
                        <w:tab w:val="left" w:pos="1552"/>
                      </w:tabs>
                      <w:suppressAutoHyphens/>
                      <w:ind w:leftChars="100" w:left="210" w:rightChars="100" w:right="210"/>
                      <w:jc w:val="right"/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tabs>
        <w:tab w:val="center" w:pos="4153"/>
        <w:tab w:val="right" w:pos="8306"/>
      </w:tabs>
      <w:ind w:leftChars="100" w:left="210" w:rightChars="100" w:right="21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23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364490</wp:posOffset>
              </wp:positionV>
              <wp:extent cx="422655" cy="1113155"/>
              <wp:effectExtent l="0" t="0" r="0" b="0"/>
              <wp:wrapNone/>
              <wp:docPr id="1" name="Text Box 102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22655" cy="1113155"/>
                      </a:xfrm>
                      <a:prstGeom prst="rect"/>
                      <a:solidFill>
                        <a:srgbClr val="FFFFFF"/>
                      </a:solidFill>
                      <a:ln w="9525" cmpd="sng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4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ind w:leftChars="100" w:left="210" w:rightChars="100" w:right="21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Text Box 1026 3" o:spid="_x0000_s3" fillcolor="#FFFFFF" stroked="t" style="position:absolute;margin-left:-30.85pt;margin-top:28.7pt;width:33.279987pt;height:87.65pt;z-index:-7;mso-position-horizontal:absolute;mso-position-vertical:absolute;mso-wrap-distance-left:8.999863pt;mso-wrap-distance-right:8.999863pt;mso-wrap-style:square;">
              <v:stroke color="#FFFFFF"/>
              <v:textbox id="848" inset="2.54mm,1.27mm,2.54mm,1.27mm" o:insetmode="custom" style="layout-flow:vertical;v-text-anchor:top;mso-fit-shape-to-text:t;">
                <w:txbxContent>
                  <w:p>
                    <w:pPr>
                      <w:pStyle w:val="34"/>
                      <w:widowControl w:val="0"/>
                      <w:tabs>
                        <w:tab w:val="center" w:pos="4153"/>
                        <w:tab w:val="right" w:pos="8306"/>
                      </w:tabs>
                      <w:suppressAutoHyphens/>
                      <w:ind w:leftChars="100" w:left="210" w:rightChars="100" w:right="21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4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5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25">
    <w:name w:val="toc 5"/>
    <w:basedOn w:val="0"/>
    <w:autoRedefine/>
    <w:next w:val="0"/>
    <w:pPr>
      <w:ind w:left="1680"/>
    </w:pPr>
  </w:style>
  <w:style w:type="paragraph" w:styleId="33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4">
    <w:name w:val="footer"/>
    <w:next w:val="18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78">
    <w:name w:val="Body Text First Indent"/>
    <w:next w:val="21"/>
    <w:pPr>
      <w:widowControl w:val="0"/>
      <w:spacing w:after="120"/>
      <w:ind w:firstLineChars="100" w:firstLine="100"/>
      <w:jc w:val="both"/>
    </w:pPr>
    <w:rPr>
      <w:rFonts w:ascii="Calibri" w:eastAsia="仿宋" w:cs="Times New Roman" w:hAnsi="Calibri"/>
      <w:kern w:val="2"/>
      <w:sz w:val="28"/>
      <w:szCs w:val="22"/>
      <w:lang w:val="en-US" w:eastAsia="zh-CN" w:bidi="ar-SA"/>
    </w:rPr>
  </w:style>
  <w:style w:type="paragraph" w:customStyle="1" w:styleId="134">
    <w:name w:val="标准文字"/>
    <w:next w:val="25"/>
    <w:pPr>
      <w:widowControl w:val="0"/>
      <w:overflowPunct w:val="0"/>
      <w:spacing w:line="360" w:lineRule="auto"/>
      <w:ind w:firstLineChars="200" w:firstLine="200"/>
      <w:jc w:val="both"/>
    </w:pPr>
    <w:rPr>
      <w:rFonts w:ascii="Times New Roman" w:eastAsia="仿宋_GB2312" w:cs="Times New Roman" w:hAnsi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styles" Target="styles.xml"/><Relationship Id="rId1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23</Pages>
  <Words>7534</Words>
  <Characters>8998</Characters>
  <Lines>3823</Lines>
  <Paragraphs>2856</Paragraphs>
  <CharactersWithSpaces>9003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user</cp:lastModifiedBy>
  <cp:revision>1</cp:revision>
  <dcterms:created xsi:type="dcterms:W3CDTF">2020-05-08T06:11:00Z</dcterms:created>
  <dcterms:modified xsi:type="dcterms:W3CDTF">2024-02-21T01:38:52Z</dcterms:modified>
</cp:coreProperties>
</file>