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8820"/>
        </w:tabs>
        <w:kinsoku/>
        <w:wordWrap/>
        <w:overflowPunct/>
        <w:topLinePunct w:val="0"/>
        <w:autoSpaceDE/>
        <w:autoSpaceDN/>
        <w:bidi w:val="0"/>
        <w:adjustRightInd/>
        <w:spacing w:line="580" w:lineRule="exact"/>
        <w:ind w:right="320" w:firstLine="640" w:firstLineChars="200"/>
        <w:jc w:val="right"/>
        <w:textAlignment w:val="auto"/>
        <w:rPr>
          <w:rFonts w:ascii="Times New Roman" w:hAnsi="Times New Roman" w:eastAsia="仿宋_GB2312"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eastAsia="方正小标宋简体" w:cs="方正小标宋简体"/>
          <w:spacing w:val="-4"/>
          <w:sz w:val="44"/>
          <w:szCs w:val="44"/>
          <w:lang w:bidi="ar-SA"/>
        </w:rPr>
      </w:pPr>
      <w:r>
        <w:rPr>
          <w:rFonts w:hint="eastAsia" w:ascii="方正小标宋简体" w:eastAsia="方正小标宋简体" w:cs="方正小标宋简体"/>
          <w:spacing w:val="-4"/>
          <w:sz w:val="44"/>
          <w:szCs w:val="44"/>
          <w:lang w:bidi="ar-SA"/>
        </w:rPr>
        <w:t>攀枝花市生态环境局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eastAsia="方正小标宋简体" w:cs="方正小标宋简体"/>
          <w:spacing w:val="-4"/>
          <w:kern w:val="2"/>
          <w:sz w:val="44"/>
          <w:szCs w:val="44"/>
          <w:lang w:val="en-US" w:eastAsia="zh-CN" w:bidi="ar-SA"/>
        </w:rPr>
      </w:pPr>
      <w:r>
        <w:rPr>
          <w:rFonts w:hint="eastAsia" w:ascii="方正小标宋简体" w:eastAsia="方正小标宋简体" w:cs="方正小标宋简体"/>
          <w:spacing w:val="-4"/>
          <w:sz w:val="44"/>
          <w:szCs w:val="44"/>
          <w:lang w:bidi="ar-SA"/>
        </w:rPr>
        <w:t>关于攀枝花</w:t>
      </w:r>
      <w:r>
        <w:rPr>
          <w:rFonts w:hint="eastAsia" w:ascii="方正小标宋简体" w:eastAsia="方正小标宋简体" w:cs="方正小标宋简体"/>
          <w:spacing w:val="-4"/>
          <w:kern w:val="2"/>
          <w:sz w:val="44"/>
          <w:szCs w:val="44"/>
          <w:lang w:val="en-US" w:eastAsia="zh-CN" w:bidi="ar-SA"/>
        </w:rPr>
        <w:t>市海峰鑫化工有限公司</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eastAsia="方正小标宋简体" w:cs="方正小标宋简体"/>
          <w:spacing w:val="-4"/>
          <w:kern w:val="2"/>
          <w:sz w:val="44"/>
          <w:szCs w:val="44"/>
          <w:lang w:val="en-US" w:eastAsia="zh-CN" w:bidi="ar-SA"/>
        </w:rPr>
      </w:pPr>
      <w:r>
        <w:rPr>
          <w:rFonts w:hint="eastAsia" w:ascii="方正小标宋简体" w:eastAsia="方正小标宋简体" w:cs="方正小标宋简体"/>
          <w:spacing w:val="-4"/>
          <w:kern w:val="2"/>
          <w:sz w:val="44"/>
          <w:szCs w:val="44"/>
          <w:lang w:val="en-US" w:eastAsia="zh-CN" w:bidi="ar-SA"/>
        </w:rPr>
        <w:t>废酸浓缩及钛液智能化环保改造项目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eastAsia="方正小标宋简体" w:cs="方正小标宋简体"/>
          <w:spacing w:val="-4"/>
          <w:sz w:val="44"/>
          <w:szCs w:val="44"/>
          <w:lang w:bidi="ar-SA"/>
        </w:rPr>
      </w:pPr>
      <w:r>
        <w:rPr>
          <w:rFonts w:hint="eastAsia" w:ascii="方正小标宋简体" w:eastAsia="方正小标宋简体" w:cs="方正小标宋简体"/>
          <w:spacing w:val="-4"/>
          <w:sz w:val="44"/>
          <w:szCs w:val="44"/>
          <w:lang w:eastAsia="zh-CN" w:bidi="ar-SA"/>
        </w:rPr>
        <w:t>环境影响报告书的批复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s="Times New Roman"/>
          <w:bCs/>
          <w:sz w:val="32"/>
          <w:szCs w:val="32"/>
          <w:lang w:bidi="ar-SA"/>
        </w:rPr>
      </w:pPr>
      <w:bookmarkStart w:id="0" w:name="_GoBack"/>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ascii="Times New Roman" w:hAnsi="Times New Roman" w:eastAsia="仿宋_GB2312" w:cs="Times New Roman"/>
          <w:kern w:val="0"/>
          <w:sz w:val="32"/>
          <w:szCs w:val="32"/>
          <w:lang w:eastAsia="zh-CN" w:bidi="ar-SA"/>
        </w:rPr>
      </w:pPr>
      <w:r>
        <w:rPr>
          <w:rFonts w:ascii="Times New Roman" w:hAnsi="Times New Roman" w:eastAsia="仿宋_GB2312" w:cs="Times New Roman"/>
          <w:kern w:val="0"/>
          <w:sz w:val="32"/>
          <w:szCs w:val="32"/>
          <w:lang w:eastAsia="zh-CN" w:bidi="ar-SA"/>
        </w:rPr>
        <w:t>攀枝花</w:t>
      </w:r>
      <w:r>
        <w:rPr>
          <w:rFonts w:hint="eastAsia" w:ascii="Times New Roman" w:hAnsi="Times New Roman" w:eastAsia="仿宋_GB2312" w:cs="Times New Roman"/>
          <w:kern w:val="0"/>
          <w:sz w:val="32"/>
          <w:szCs w:val="32"/>
          <w:lang w:eastAsia="zh-CN" w:bidi="ar-SA"/>
        </w:rPr>
        <w:t>市海峰鑫化工</w:t>
      </w:r>
      <w:r>
        <w:rPr>
          <w:rFonts w:ascii="Times New Roman" w:hAnsi="Times New Roman" w:eastAsia="仿宋_GB2312" w:cs="Times New Roman"/>
          <w:kern w:val="0"/>
          <w:sz w:val="32"/>
          <w:szCs w:val="32"/>
          <w:lang w:eastAsia="zh-CN" w:bidi="ar-SA"/>
        </w:rPr>
        <w:t>有限公司：</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kern w:val="0"/>
          <w:sz w:val="32"/>
          <w:szCs w:val="32"/>
          <w:lang w:eastAsia="zh-CN" w:bidi="ar-SA"/>
        </w:rPr>
      </w:pPr>
      <w:r>
        <w:rPr>
          <w:rFonts w:ascii="Times New Roman" w:hAnsi="Times New Roman" w:eastAsia="仿宋_GB2312" w:cs="Times New Roman"/>
          <w:kern w:val="0"/>
          <w:sz w:val="32"/>
          <w:szCs w:val="32"/>
          <w:lang w:eastAsia="zh-CN" w:bidi="ar-SA"/>
        </w:rPr>
        <w:t>你公司</w:t>
      </w:r>
      <w:r>
        <w:rPr>
          <w:rFonts w:ascii="Times New Roman" w:hAnsi="Times New Roman" w:eastAsia="仿宋_GB2312" w:cs="Times New Roman"/>
          <w:kern w:val="0"/>
          <w:sz w:val="32"/>
          <w:szCs w:val="32"/>
          <w:lang w:val="en-US" w:eastAsia="zh-CN" w:bidi="ar-SA"/>
        </w:rPr>
        <w:t>《</w:t>
      </w:r>
      <w:r>
        <w:rPr>
          <w:rFonts w:hint="eastAsia" w:eastAsia="仿宋_GB2312" w:cs="Times New Roman"/>
          <w:kern w:val="0"/>
          <w:sz w:val="32"/>
          <w:szCs w:val="32"/>
          <w:lang w:val="en-US" w:eastAsia="zh-CN" w:bidi="ar-SA"/>
        </w:rPr>
        <w:t>废酸浓缩及钛液智能化</w:t>
      </w:r>
      <w:r>
        <w:rPr>
          <w:rFonts w:hint="eastAsia" w:ascii="Times New Roman" w:hAnsi="Times New Roman" w:eastAsia="仿宋_GB2312" w:cs="Times New Roman"/>
          <w:kern w:val="0"/>
          <w:sz w:val="32"/>
          <w:szCs w:val="32"/>
          <w:lang w:val="en-US" w:eastAsia="zh-CN" w:bidi="ar-SA"/>
        </w:rPr>
        <w:t>环保改造</w:t>
      </w:r>
      <w:r>
        <w:rPr>
          <w:rFonts w:ascii="Times New Roman" w:hAnsi="Times New Roman" w:eastAsia="仿宋_GB2312" w:cs="Times New Roman"/>
          <w:kern w:val="0"/>
          <w:sz w:val="32"/>
          <w:szCs w:val="32"/>
          <w:lang w:val="en-US" w:eastAsia="zh-CN" w:bidi="ar-SA"/>
        </w:rPr>
        <w:t>项目环境</w:t>
      </w:r>
      <w:r>
        <w:rPr>
          <w:rFonts w:ascii="Times New Roman" w:hAnsi="Times New Roman" w:eastAsia="仿宋_GB2312" w:cs="Times New Roman"/>
          <w:kern w:val="0"/>
          <w:sz w:val="32"/>
          <w:szCs w:val="32"/>
          <w:lang w:eastAsia="zh-CN" w:bidi="ar-SA"/>
        </w:rPr>
        <w:t>影响报告书》（以下简称“报告书”）收悉，经研究，批复如下</w:t>
      </w:r>
      <w:r>
        <w:rPr>
          <w:rFonts w:hint="eastAsia" w:ascii="Times New Roman" w:hAnsi="Times New Roman" w:eastAsia="仿宋_GB2312" w:cs="Times New Roman"/>
          <w:kern w:val="0"/>
          <w:sz w:val="32"/>
          <w:szCs w:val="32"/>
          <w:lang w:eastAsia="zh-CN" w:bidi="ar-SA"/>
        </w:rPr>
        <w:t>。</w:t>
      </w:r>
    </w:p>
    <w:p>
      <w:pPr>
        <w:pStyle w:val="10"/>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right="0" w:firstLine="851" w:firstLineChars="266"/>
        <w:jc w:val="both"/>
        <w:textAlignment w:val="auto"/>
        <w:rPr>
          <w:rFonts w:ascii="Times New Roman" w:hAnsi="Times New Roman" w:eastAsia="仿宋_GB2312" w:cs="Times New Roman"/>
          <w:kern w:val="0"/>
          <w:sz w:val="32"/>
          <w:szCs w:val="32"/>
          <w:lang w:val="en-US" w:eastAsia="zh-CN" w:bidi="ar-SA"/>
        </w:rPr>
      </w:pPr>
      <w:r>
        <w:rPr>
          <w:rFonts w:ascii="Times New Roman" w:hAnsi="Times New Roman" w:eastAsia="仿宋_GB2312" w:cs="Times New Roman"/>
          <w:kern w:val="0"/>
          <w:sz w:val="32"/>
          <w:szCs w:val="32"/>
          <w:lang w:eastAsia="zh-CN" w:bidi="ar-SA"/>
        </w:rPr>
        <w:t>项目位于攀枝花钒钛化工园区马店组团</w:t>
      </w:r>
      <w:r>
        <w:rPr>
          <w:rFonts w:ascii="Times New Roman" w:hAnsi="Times New Roman" w:eastAsia="仿宋_GB2312" w:cs="Times New Roman"/>
          <w:kern w:val="0"/>
          <w:sz w:val="32"/>
          <w:szCs w:val="32"/>
          <w:u w:val="none"/>
          <w:lang w:eastAsia="zh-CN" w:bidi="ar-SA"/>
        </w:rPr>
        <w:t>现有厂区范围内，</w:t>
      </w:r>
      <w:r>
        <w:rPr>
          <w:rFonts w:hint="eastAsia" w:ascii="Times New Roman" w:hAnsi="Times New Roman" w:eastAsia="仿宋_GB2312" w:cs="Times New Roman"/>
          <w:kern w:val="0"/>
          <w:sz w:val="32"/>
          <w:szCs w:val="32"/>
          <w:u w:val="none"/>
          <w:lang w:eastAsia="zh-CN" w:bidi="ar-SA"/>
        </w:rPr>
        <w:t>对</w:t>
      </w:r>
      <w:r>
        <w:rPr>
          <w:rFonts w:ascii="Times New Roman" w:hAnsi="Times New Roman" w:eastAsia="仿宋_GB2312" w:cs="Times New Roman"/>
          <w:sz w:val="32"/>
          <w:szCs w:val="32"/>
          <w:u w:val="none"/>
          <w:lang w:eastAsia="zh-CN" w:bidi="ar-SA"/>
        </w:rPr>
        <w:t>原</w:t>
      </w:r>
      <w:r>
        <w:rPr>
          <w:rFonts w:hint="eastAsia" w:ascii="Times New Roman" w:hAnsi="Times New Roman" w:eastAsia="仿宋_GB2312" w:cs="Times New Roman"/>
          <w:sz w:val="32"/>
          <w:szCs w:val="32"/>
          <w:u w:val="none"/>
          <w:lang w:val="en-US" w:eastAsia="zh-CN" w:bidi="ar-SA"/>
        </w:rPr>
        <w:t>6</w:t>
      </w:r>
      <w:r>
        <w:rPr>
          <w:rFonts w:ascii="Times New Roman" w:hAnsi="Times New Roman" w:eastAsia="仿宋_GB2312" w:cs="Times New Roman"/>
          <w:sz w:val="32"/>
          <w:szCs w:val="32"/>
          <w:u w:val="none"/>
          <w:lang w:eastAsia="zh-CN" w:bidi="ar-SA"/>
        </w:rPr>
        <w:t>万t/a钛白粉生产线的</w:t>
      </w:r>
      <w:r>
        <w:rPr>
          <w:rFonts w:hint="eastAsia" w:eastAsia="仿宋_GB2312" w:cs="Times New Roman"/>
          <w:sz w:val="32"/>
          <w:szCs w:val="32"/>
          <w:u w:val="none"/>
          <w:lang w:eastAsia="zh-CN" w:bidi="ar-SA"/>
        </w:rPr>
        <w:t>废酸浓缩</w:t>
      </w:r>
      <w:r>
        <w:rPr>
          <w:rFonts w:hint="eastAsia" w:ascii="Times New Roman" w:hAnsi="Times New Roman" w:eastAsia="仿宋_GB2312" w:cs="Times New Roman"/>
          <w:sz w:val="32"/>
          <w:szCs w:val="32"/>
          <w:u w:val="none"/>
          <w:lang w:eastAsia="zh-CN" w:bidi="ar-SA"/>
        </w:rPr>
        <w:t>等工序进行技改</w:t>
      </w:r>
      <w:r>
        <w:rPr>
          <w:rFonts w:hint="eastAsia" w:ascii="Times New Roman" w:hAnsi="Times New Roman" w:eastAsia="仿宋_GB2312" w:cs="Times New Roman"/>
          <w:kern w:val="0"/>
          <w:sz w:val="32"/>
          <w:szCs w:val="32"/>
          <w:u w:val="none"/>
          <w:lang w:eastAsia="zh-CN" w:bidi="ar-SA"/>
        </w:rPr>
        <w:t>。</w:t>
      </w:r>
      <w:r>
        <w:rPr>
          <w:rFonts w:ascii="Times New Roman" w:hAnsi="Times New Roman" w:eastAsia="仿宋_GB2312" w:cs="Times New Roman"/>
          <w:kern w:val="0"/>
          <w:sz w:val="32"/>
          <w:szCs w:val="32"/>
          <w:u w:val="none"/>
          <w:lang w:eastAsia="zh-CN" w:bidi="ar-SA"/>
        </w:rPr>
        <w:t>主要技改</w:t>
      </w:r>
      <w:r>
        <w:rPr>
          <w:rFonts w:hint="eastAsia" w:ascii="Times New Roman" w:hAnsi="Times New Roman" w:eastAsia="仿宋_GB2312" w:cs="Times New Roman"/>
          <w:kern w:val="0"/>
          <w:sz w:val="32"/>
          <w:szCs w:val="32"/>
          <w:u w:val="none"/>
          <w:lang w:eastAsia="zh-CN" w:bidi="ar-SA"/>
        </w:rPr>
        <w:t>内容</w:t>
      </w:r>
      <w:r>
        <w:rPr>
          <w:rFonts w:ascii="Times New Roman" w:hAnsi="Times New Roman" w:eastAsia="仿宋_GB2312" w:cs="Times New Roman"/>
          <w:kern w:val="0"/>
          <w:sz w:val="32"/>
          <w:szCs w:val="32"/>
          <w:u w:val="none"/>
          <w:lang w:eastAsia="zh-CN" w:bidi="ar-SA"/>
        </w:rPr>
        <w:t>包括：（一）</w:t>
      </w:r>
      <w:r>
        <w:rPr>
          <w:rFonts w:hint="eastAsia" w:ascii="Times New Roman" w:hAnsi="Times New Roman" w:eastAsia="仿宋_GB2312" w:cs="Times New Roman"/>
          <w:kern w:val="0"/>
          <w:sz w:val="32"/>
          <w:szCs w:val="32"/>
          <w:u w:val="none"/>
          <w:lang w:eastAsia="zh-CN" w:bidi="ar-SA"/>
        </w:rPr>
        <w:t>将渣矿混合生产工艺改为全矿生产工艺</w:t>
      </w:r>
      <w:r>
        <w:rPr>
          <w:rFonts w:hint="eastAsia" w:ascii="Times New Roman" w:hAnsi="Times New Roman" w:eastAsia="仿宋_GB2312" w:cs="Times New Roman"/>
          <w:kern w:val="0"/>
          <w:sz w:val="32"/>
          <w:szCs w:val="32"/>
          <w:u w:val="none"/>
          <w:lang w:val="en-US" w:eastAsia="zh-CN" w:bidi="ar-SA"/>
        </w:rPr>
        <w:t>；</w:t>
      </w:r>
      <w:r>
        <w:rPr>
          <w:rFonts w:ascii="Times New Roman" w:hAnsi="Times New Roman" w:eastAsia="仿宋_GB2312" w:cs="Times New Roman"/>
          <w:kern w:val="0"/>
          <w:sz w:val="32"/>
          <w:szCs w:val="32"/>
          <w:u w:val="none"/>
          <w:lang w:eastAsia="zh-CN" w:bidi="ar-SA"/>
        </w:rPr>
        <w:t>（</w:t>
      </w:r>
      <w:r>
        <w:rPr>
          <w:rFonts w:hint="eastAsia" w:ascii="Times New Roman" w:hAnsi="Times New Roman" w:eastAsia="仿宋_GB2312" w:cs="Times New Roman"/>
          <w:kern w:val="0"/>
          <w:sz w:val="32"/>
          <w:szCs w:val="32"/>
          <w:u w:val="none"/>
          <w:lang w:eastAsia="zh-CN" w:bidi="ar-SA"/>
        </w:rPr>
        <w:t>二</w:t>
      </w:r>
      <w:r>
        <w:rPr>
          <w:rFonts w:ascii="Times New Roman" w:hAnsi="Times New Roman" w:eastAsia="仿宋_GB2312" w:cs="Times New Roman"/>
          <w:kern w:val="0"/>
          <w:sz w:val="32"/>
          <w:szCs w:val="32"/>
          <w:u w:val="none"/>
          <w:lang w:eastAsia="zh-CN" w:bidi="ar-SA"/>
        </w:rPr>
        <w:t>）</w:t>
      </w:r>
      <w:r>
        <w:rPr>
          <w:rFonts w:hint="eastAsia" w:eastAsia="仿宋_GB2312" w:cs="Times New Roman"/>
          <w:kern w:val="0"/>
          <w:sz w:val="32"/>
          <w:szCs w:val="32"/>
          <w:u w:val="none"/>
          <w:lang w:eastAsia="zh-CN" w:bidi="ar-SA"/>
        </w:rPr>
        <w:t>对现有钛液处理进行自动化、智能化改造</w:t>
      </w:r>
      <w:r>
        <w:rPr>
          <w:rFonts w:hint="eastAsia" w:ascii="Times New Roman" w:hAnsi="Times New Roman" w:eastAsia="仿宋_GB2312" w:cs="Times New Roman"/>
          <w:kern w:val="0"/>
          <w:sz w:val="32"/>
          <w:szCs w:val="32"/>
          <w:u w:val="none"/>
          <w:lang w:eastAsia="zh-CN" w:bidi="ar-SA"/>
        </w:rPr>
        <w:t>；（三）</w:t>
      </w:r>
      <w:r>
        <w:rPr>
          <w:rFonts w:hint="eastAsia" w:eastAsia="仿宋_GB2312"/>
          <w:color w:val="000000"/>
          <w:kern w:val="2"/>
          <w:sz w:val="32"/>
          <w:szCs w:val="32"/>
          <w:lang w:eastAsia="zh-CN"/>
        </w:rPr>
        <w:t>废酸浓缩工序新增冷却结晶装置，并增加浓缩次数，使废酸浓度提高至</w:t>
      </w:r>
      <w:r>
        <w:rPr>
          <w:rFonts w:hint="eastAsia" w:eastAsia="仿宋_GB2312"/>
          <w:color w:val="000000"/>
          <w:kern w:val="2"/>
          <w:sz w:val="32"/>
          <w:szCs w:val="32"/>
          <w:lang w:val="en-US" w:eastAsia="zh-CN"/>
        </w:rPr>
        <w:t>68%的同时副产</w:t>
      </w:r>
      <w:r>
        <w:rPr>
          <w:rFonts w:hint="eastAsia" w:ascii="Times New Roman" w:hAnsi="Times New Roman" w:eastAsia="仿宋_GB2312" w:cs="Times New Roman"/>
          <w:kern w:val="0"/>
          <w:sz w:val="32"/>
          <w:szCs w:val="32"/>
          <w:u w:val="none"/>
          <w:lang w:val="en-US" w:eastAsia="zh-CN" w:bidi="ar-SA"/>
        </w:rPr>
        <w:t>七水硫酸亚铁</w:t>
      </w:r>
      <w:r>
        <w:rPr>
          <w:rFonts w:hint="eastAsia" w:eastAsia="仿宋_GB2312"/>
          <w:color w:val="000000"/>
          <w:kern w:val="2"/>
          <w:sz w:val="32"/>
          <w:szCs w:val="32"/>
          <w:lang w:eastAsia="zh-CN"/>
        </w:rPr>
        <w:t>。</w:t>
      </w:r>
      <w:r>
        <w:rPr>
          <w:rFonts w:ascii="Times New Roman" w:hAnsi="Times New Roman" w:eastAsia="仿宋_GB2312" w:cs="Times New Roman"/>
          <w:kern w:val="0"/>
          <w:sz w:val="32"/>
          <w:szCs w:val="32"/>
          <w:u w:val="none"/>
          <w:lang w:eastAsia="zh-CN" w:bidi="ar-SA"/>
        </w:rPr>
        <w:t>项目技改后，</w:t>
      </w:r>
      <w:r>
        <w:rPr>
          <w:rFonts w:hint="eastAsia" w:eastAsia="仿宋_GB2312" w:cs="Times New Roman"/>
          <w:kern w:val="0"/>
          <w:sz w:val="32"/>
          <w:szCs w:val="32"/>
          <w:u w:val="none"/>
          <w:lang w:eastAsia="zh-CN" w:bidi="ar-SA"/>
        </w:rPr>
        <w:t>全厂</w:t>
      </w:r>
      <w:r>
        <w:rPr>
          <w:rFonts w:hint="eastAsia" w:ascii="Times New Roman" w:hAnsi="Times New Roman" w:eastAsia="仿宋_GB2312" w:cs="Times New Roman"/>
          <w:kern w:val="0"/>
          <w:sz w:val="32"/>
          <w:szCs w:val="32"/>
          <w:u w:val="none"/>
          <w:lang w:val="en-US" w:eastAsia="zh-CN" w:bidi="ar-SA"/>
        </w:rPr>
        <w:t>钛</w:t>
      </w:r>
      <w:r>
        <w:rPr>
          <w:rFonts w:ascii="Times New Roman" w:hAnsi="Times New Roman" w:eastAsia="仿宋_GB2312" w:cs="Times New Roman"/>
          <w:kern w:val="0"/>
          <w:sz w:val="32"/>
          <w:szCs w:val="32"/>
          <w:u w:val="none"/>
          <w:lang w:val="en-US" w:eastAsia="zh-CN" w:bidi="ar-SA"/>
        </w:rPr>
        <w:t>白粉</w:t>
      </w:r>
      <w:r>
        <w:rPr>
          <w:rFonts w:hint="eastAsia" w:ascii="Times New Roman" w:hAnsi="Times New Roman" w:eastAsia="仿宋_GB2312" w:cs="Times New Roman"/>
          <w:kern w:val="0"/>
          <w:sz w:val="32"/>
          <w:szCs w:val="32"/>
          <w:u w:val="none"/>
          <w:lang w:val="en-US" w:eastAsia="zh-CN" w:bidi="ar-SA"/>
        </w:rPr>
        <w:t>初品</w:t>
      </w:r>
      <w:r>
        <w:rPr>
          <w:rFonts w:ascii="Times New Roman" w:hAnsi="Times New Roman" w:eastAsia="仿宋_GB2312" w:cs="Times New Roman"/>
          <w:kern w:val="0"/>
          <w:sz w:val="32"/>
          <w:szCs w:val="32"/>
          <w:u w:val="none"/>
          <w:lang w:eastAsia="zh-CN" w:bidi="ar-SA"/>
        </w:rPr>
        <w:t>产能保持不变</w:t>
      </w:r>
      <w:r>
        <w:rPr>
          <w:rFonts w:hint="eastAsia" w:ascii="Times New Roman" w:hAnsi="Times New Roman" w:eastAsia="仿宋_GB2312" w:cs="Times New Roman"/>
          <w:kern w:val="0"/>
          <w:sz w:val="32"/>
          <w:szCs w:val="32"/>
          <w:u w:val="none"/>
          <w:lang w:eastAsia="zh-CN" w:bidi="ar-SA"/>
        </w:rPr>
        <w:t>，仍为</w:t>
      </w:r>
      <w:r>
        <w:rPr>
          <w:rFonts w:hint="eastAsia" w:ascii="Times New Roman" w:hAnsi="Times New Roman" w:eastAsia="仿宋_GB2312" w:cs="Times New Roman"/>
          <w:kern w:val="0"/>
          <w:sz w:val="32"/>
          <w:szCs w:val="32"/>
          <w:u w:val="none"/>
          <w:lang w:val="en-US" w:eastAsia="zh-CN" w:bidi="ar-SA"/>
        </w:rPr>
        <w:t>6</w:t>
      </w:r>
      <w:r>
        <w:rPr>
          <w:rFonts w:ascii="Times New Roman" w:hAnsi="Times New Roman" w:eastAsia="仿宋_GB2312" w:cs="Times New Roman"/>
          <w:kern w:val="0"/>
          <w:sz w:val="32"/>
          <w:szCs w:val="32"/>
          <w:u w:val="none"/>
          <w:lang w:eastAsia="zh-CN" w:bidi="ar-SA"/>
        </w:rPr>
        <w:t>万t/a</w:t>
      </w:r>
      <w:r>
        <w:rPr>
          <w:rFonts w:hint="eastAsia" w:ascii="Times New Roman" w:hAnsi="Times New Roman" w:eastAsia="仿宋_GB2312" w:cs="Times New Roman"/>
          <w:kern w:val="0"/>
          <w:sz w:val="32"/>
          <w:szCs w:val="32"/>
          <w:u w:val="none"/>
          <w:lang w:eastAsia="zh-CN" w:bidi="ar-SA"/>
        </w:rPr>
        <w:t>，</w:t>
      </w:r>
      <w:r>
        <w:rPr>
          <w:rFonts w:hint="eastAsia" w:ascii="Times New Roman" w:hAnsi="Times New Roman" w:eastAsia="仿宋_GB2312" w:cs="Times New Roman"/>
          <w:kern w:val="0"/>
          <w:sz w:val="32"/>
          <w:szCs w:val="32"/>
          <w:u w:val="none"/>
          <w:lang w:val="en-US" w:eastAsia="zh-CN" w:bidi="ar-SA"/>
        </w:rPr>
        <w:t>副产</w:t>
      </w:r>
      <w:r>
        <w:rPr>
          <w:rFonts w:hint="eastAsia" w:eastAsia="仿宋_GB2312"/>
          <w:color w:val="000000"/>
          <w:kern w:val="2"/>
          <w:sz w:val="32"/>
          <w:szCs w:val="32"/>
          <w:lang w:val="en-US" w:eastAsia="zh-CN"/>
        </w:rPr>
        <w:t>68%</w:t>
      </w:r>
      <w:r>
        <w:rPr>
          <w:rFonts w:hint="eastAsia" w:eastAsia="仿宋_GB2312" w:cs="Times New Roman"/>
          <w:kern w:val="0"/>
          <w:sz w:val="32"/>
          <w:szCs w:val="32"/>
          <w:u w:val="none"/>
          <w:lang w:val="en-US" w:eastAsia="zh-CN" w:bidi="ar-SA"/>
        </w:rPr>
        <w:t>废酸</w:t>
      </w:r>
      <w:r>
        <w:rPr>
          <w:rFonts w:hint="eastAsia" w:ascii="Times New Roman" w:hAnsi="Times New Roman" w:eastAsia="仿宋_GB2312" w:cs="Times New Roman"/>
          <w:kern w:val="0"/>
          <w:sz w:val="32"/>
          <w:szCs w:val="32"/>
          <w:u w:val="none"/>
          <w:lang w:val="en-US" w:eastAsia="zh-CN" w:bidi="ar-SA"/>
        </w:rPr>
        <w:t>8万t/</w:t>
      </w:r>
      <w:r>
        <w:rPr>
          <w:rFonts w:ascii="Times New Roman" w:hAnsi="Times New Roman" w:eastAsia="仿宋_GB2312" w:cs="Times New Roman"/>
          <w:kern w:val="0"/>
          <w:sz w:val="32"/>
          <w:szCs w:val="32"/>
          <w:u w:val="none"/>
          <w:lang w:eastAsia="zh-CN" w:bidi="ar-SA"/>
        </w:rPr>
        <w:t>a</w:t>
      </w:r>
      <w:r>
        <w:rPr>
          <w:rFonts w:hint="eastAsia" w:eastAsia="仿宋_GB2312" w:cs="Times New Roman"/>
          <w:kern w:val="0"/>
          <w:sz w:val="32"/>
          <w:szCs w:val="32"/>
          <w:u w:val="none"/>
          <w:lang w:eastAsia="zh-CN" w:bidi="ar-SA"/>
        </w:rPr>
        <w:t>，</w:t>
      </w:r>
      <w:r>
        <w:rPr>
          <w:rFonts w:hint="eastAsia" w:ascii="Times New Roman" w:hAnsi="Times New Roman" w:eastAsia="仿宋_GB2312" w:cs="Times New Roman"/>
          <w:kern w:val="0"/>
          <w:sz w:val="32"/>
          <w:szCs w:val="32"/>
          <w:u w:val="none"/>
          <w:lang w:val="en-US" w:eastAsia="zh-CN" w:bidi="ar-SA"/>
        </w:rPr>
        <w:t>七水硫酸亚铁</w:t>
      </w:r>
      <w:r>
        <w:rPr>
          <w:rFonts w:hint="eastAsia" w:eastAsia="仿宋_GB2312" w:cs="Times New Roman"/>
          <w:kern w:val="0"/>
          <w:sz w:val="32"/>
          <w:szCs w:val="32"/>
          <w:u w:val="none"/>
          <w:lang w:val="en-US" w:eastAsia="zh-CN" w:bidi="ar-SA"/>
        </w:rPr>
        <w:t>21.92</w:t>
      </w:r>
      <w:r>
        <w:rPr>
          <w:rFonts w:hint="eastAsia" w:ascii="Times New Roman" w:hAnsi="Times New Roman" w:eastAsia="仿宋_GB2312" w:cs="Times New Roman"/>
          <w:kern w:val="0"/>
          <w:sz w:val="32"/>
          <w:szCs w:val="32"/>
          <w:u w:val="none"/>
          <w:lang w:val="en-US" w:eastAsia="zh-CN" w:bidi="ar-SA"/>
        </w:rPr>
        <w:t>万t/</w:t>
      </w:r>
      <w:r>
        <w:rPr>
          <w:rFonts w:ascii="Times New Roman" w:hAnsi="Times New Roman" w:eastAsia="仿宋_GB2312" w:cs="Times New Roman"/>
          <w:kern w:val="0"/>
          <w:sz w:val="32"/>
          <w:szCs w:val="32"/>
          <w:u w:val="none"/>
          <w:lang w:eastAsia="zh-CN" w:bidi="ar-SA"/>
        </w:rPr>
        <w:t>a</w:t>
      </w:r>
      <w:r>
        <w:rPr>
          <w:rFonts w:ascii="Times New Roman" w:hAnsi="Times New Roman" w:eastAsia="仿宋_GB2312" w:cs="Times New Roman"/>
          <w:kern w:val="0"/>
          <w:sz w:val="32"/>
          <w:szCs w:val="32"/>
          <w:u w:val="none"/>
          <w:lang w:val="en-US" w:eastAsia="zh-CN" w:bidi="ar-SA"/>
        </w:rPr>
        <w:t>。</w:t>
      </w:r>
      <w:r>
        <w:rPr>
          <w:rFonts w:ascii="Times New Roman" w:hAnsi="Times New Roman" w:eastAsia="仿宋_GB2312" w:cs="Times New Roman"/>
          <w:kern w:val="0"/>
          <w:sz w:val="32"/>
          <w:szCs w:val="32"/>
          <w:lang w:val="en-US" w:eastAsia="zh-CN" w:bidi="ar-SA"/>
        </w:rPr>
        <w:t>项目总投资</w:t>
      </w:r>
      <w:r>
        <w:rPr>
          <w:rFonts w:hint="eastAsia" w:eastAsia="仿宋_GB2312" w:cs="Times New Roman"/>
          <w:kern w:val="0"/>
          <w:sz w:val="32"/>
          <w:szCs w:val="32"/>
          <w:lang w:val="en-US" w:eastAsia="zh-CN" w:bidi="ar-SA"/>
        </w:rPr>
        <w:t>3</w:t>
      </w:r>
      <w:r>
        <w:rPr>
          <w:rFonts w:hint="eastAsia" w:ascii="Times New Roman" w:hAnsi="Times New Roman" w:eastAsia="仿宋_GB2312" w:cs="Times New Roman"/>
          <w:kern w:val="0"/>
          <w:sz w:val="32"/>
          <w:szCs w:val="32"/>
          <w:lang w:val="en-US" w:eastAsia="zh-CN" w:bidi="ar-SA"/>
        </w:rPr>
        <w:t>000万</w:t>
      </w:r>
      <w:r>
        <w:rPr>
          <w:rFonts w:ascii="Times New Roman" w:hAnsi="Times New Roman" w:eastAsia="仿宋_GB2312" w:cs="Times New Roman"/>
          <w:kern w:val="0"/>
          <w:sz w:val="32"/>
          <w:szCs w:val="32"/>
          <w:lang w:val="en-US" w:eastAsia="zh-CN" w:bidi="ar-SA"/>
        </w:rPr>
        <w:t>元，其中环保投资</w:t>
      </w:r>
      <w:r>
        <w:rPr>
          <w:rFonts w:hint="eastAsia" w:eastAsia="仿宋_GB2312" w:cs="Times New Roman"/>
          <w:kern w:val="0"/>
          <w:sz w:val="32"/>
          <w:szCs w:val="32"/>
          <w:lang w:val="en-US" w:eastAsia="zh-CN" w:bidi="ar-SA"/>
        </w:rPr>
        <w:t>105</w:t>
      </w:r>
      <w:r>
        <w:rPr>
          <w:rFonts w:ascii="Times New Roman" w:hAnsi="Times New Roman" w:eastAsia="仿宋_GB2312" w:cs="Times New Roman"/>
          <w:kern w:val="0"/>
          <w:sz w:val="32"/>
          <w:szCs w:val="32"/>
          <w:lang w:val="en-US" w:eastAsia="zh-CN" w:bidi="ar-SA"/>
        </w:rPr>
        <w:t>万元。</w:t>
      </w:r>
    </w:p>
    <w:p>
      <w:pPr>
        <w:pStyle w:val="1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eastAsia="zh-CN" w:bidi="ar-SA"/>
        </w:rPr>
        <w:t>二、</w:t>
      </w:r>
      <w:r>
        <w:rPr>
          <w:rFonts w:ascii="Times New Roman" w:hAnsi="Times New Roman" w:eastAsia="仿宋_GB2312" w:cs="Times New Roman"/>
          <w:sz w:val="32"/>
          <w:szCs w:val="32"/>
          <w:lang w:eastAsia="zh-CN" w:bidi="ar-SA"/>
        </w:rPr>
        <w:t>四川</w:t>
      </w:r>
      <w:r>
        <w:rPr>
          <w:rFonts w:hint="eastAsia" w:eastAsia="仿宋_GB2312" w:cs="Times New Roman"/>
          <w:sz w:val="32"/>
          <w:szCs w:val="32"/>
          <w:lang w:eastAsia="zh-CN" w:bidi="ar-SA"/>
        </w:rPr>
        <w:t>众投生态环境技术</w:t>
      </w:r>
      <w:r>
        <w:rPr>
          <w:rFonts w:hint="eastAsia" w:ascii="Times New Roman" w:hAnsi="Times New Roman" w:eastAsia="仿宋_GB2312" w:cs="Times New Roman"/>
          <w:sz w:val="32"/>
          <w:szCs w:val="32"/>
          <w:lang w:eastAsia="zh-CN" w:bidi="ar-SA"/>
        </w:rPr>
        <w:t>有限公司</w:t>
      </w:r>
      <w:r>
        <w:rPr>
          <w:rFonts w:ascii="Times New Roman" w:hAnsi="Times New Roman" w:eastAsia="仿宋_GB2312" w:cs="Times New Roman"/>
          <w:sz w:val="32"/>
          <w:szCs w:val="32"/>
          <w:lang w:eastAsia="zh-CN" w:bidi="ar-SA"/>
        </w:rPr>
        <w:t>受你公司委托对该项目开展环境影响评价，编制环境影响报告书。“报告书”认为项</w:t>
      </w:r>
      <w:r>
        <w:rPr>
          <w:rFonts w:hint="eastAsia" w:ascii="Times New Roman" w:hAnsi="Times New Roman" w:eastAsia="仿宋_GB2312" w:cs="Times New Roman"/>
          <w:sz w:val="32"/>
          <w:szCs w:val="32"/>
          <w:lang w:eastAsia="zh-CN" w:bidi="ar-SA"/>
        </w:rPr>
        <w:t>目</w:t>
      </w:r>
      <w:r>
        <w:rPr>
          <w:rFonts w:ascii="Times New Roman" w:hAnsi="Times New Roman" w:eastAsia="仿宋_GB2312" w:cs="Times New Roman"/>
          <w:sz w:val="32"/>
          <w:szCs w:val="32"/>
          <w:lang w:eastAsia="zh-CN" w:bidi="ar-SA"/>
        </w:rPr>
        <w:t>符合国家产业政策，选址符合规划和规划环评要求。在严格落实“报告书”提出的防治环境污染对策和措施，严格执行“三同时”制度，确保项目污染物达标排放，认真落实环境风险防范措施的前提下，该项目的建设从生态环境保护角度可行，我局原则同意“报告书”的环境影响评价总体结论和拟采取的各项生态环境保护措施。你公司应严格按照“报告书”中所列项目的建设性质、规模、工艺、地点和拟采取的环境保护措施进行建设和运行，以确保对环境的不利影响能够得到缓解和控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eastAsia="zh-CN" w:bidi="ar-SA"/>
        </w:rPr>
        <w:t>三</w:t>
      </w:r>
      <w:r>
        <w:rPr>
          <w:rFonts w:ascii="Times New Roman" w:hAnsi="Times New Roman" w:eastAsia="仿宋_GB2312" w:cs="Times New Roman"/>
          <w:sz w:val="32"/>
          <w:szCs w:val="32"/>
          <w:lang w:bidi="ar-SA"/>
        </w:rPr>
        <w:t>、项目建设应做好以下工作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lang w:eastAsia="zh-CN"/>
        </w:rPr>
      </w:pPr>
      <w:r>
        <w:rPr>
          <w:rFonts w:eastAsia="仿宋_GB2312"/>
          <w:kern w:val="0"/>
          <w:sz w:val="32"/>
          <w:szCs w:val="32"/>
        </w:rPr>
        <w:t>（一）</w:t>
      </w:r>
      <w:r>
        <w:rPr>
          <w:rFonts w:hint="eastAsia" w:ascii="Times New Roman" w:hAnsi="Times New Roman" w:eastAsia="仿宋_GB2312"/>
          <w:sz w:val="32"/>
          <w:szCs w:val="32"/>
        </w:rPr>
        <w:t>严格落实施工期各项污染控制措施。加强施工期环境管理，采取有效措施减轻或消除施工期废水、废渣、噪声、扬尘等对周围环境的影响。</w:t>
      </w:r>
      <w:r>
        <w:rPr>
          <w:rFonts w:hint="eastAsia" w:eastAsia="仿宋_GB2312"/>
          <w:sz w:val="32"/>
          <w:szCs w:val="32"/>
          <w:lang w:eastAsia="zh-CN"/>
        </w:rPr>
        <w:t>严格落实“以新带老”措施。</w:t>
      </w:r>
    </w:p>
    <w:p>
      <w:pPr>
        <w:keepNext w:val="0"/>
        <w:keepLines w:val="0"/>
        <w:pageBreakBefore w:val="0"/>
        <w:widowControl w:val="0"/>
        <w:tabs>
          <w:tab w:val="left" w:pos="944"/>
        </w:tabs>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eastAsia="zh-CN" w:bidi="ar-SA"/>
        </w:rPr>
      </w:pPr>
      <w:r>
        <w:rPr>
          <w:rFonts w:ascii="Times New Roman" w:hAnsi="Times New Roman" w:eastAsia="仿宋_GB2312" w:cs="Times New Roman"/>
          <w:sz w:val="32"/>
          <w:szCs w:val="32"/>
          <w:lang w:bidi="ar-SA"/>
        </w:rPr>
        <w:t>（二）</w:t>
      </w:r>
      <w:r>
        <w:rPr>
          <w:rFonts w:hint="eastAsia" w:ascii="Times New Roman" w:hAnsi="Times New Roman" w:eastAsia="仿宋_GB2312" w:cs="Times New Roman"/>
          <w:sz w:val="32"/>
          <w:szCs w:val="32"/>
          <w:lang w:val="en-US" w:eastAsia="zh-CN" w:bidi="ar-SA"/>
        </w:rPr>
        <w:t>加强运营期环境管理。</w:t>
      </w:r>
      <w:r>
        <w:rPr>
          <w:rFonts w:eastAsia="仿宋_GB2312"/>
          <w:sz w:val="32"/>
          <w:szCs w:val="32"/>
        </w:rPr>
        <w:t>废酸浓缩装置</w:t>
      </w:r>
      <w:r>
        <w:rPr>
          <w:rFonts w:hint="eastAsia" w:eastAsia="仿宋_GB2312"/>
          <w:sz w:val="32"/>
          <w:szCs w:val="32"/>
          <w:lang w:eastAsia="zh-CN"/>
        </w:rPr>
        <w:t>等</w:t>
      </w:r>
      <w:r>
        <w:rPr>
          <w:rFonts w:eastAsia="仿宋_GB2312"/>
          <w:sz w:val="32"/>
          <w:szCs w:val="32"/>
          <w:lang w:val="en-US" w:eastAsia="zh-CN"/>
        </w:rPr>
        <w:t>产生的</w:t>
      </w:r>
      <w:r>
        <w:rPr>
          <w:rFonts w:eastAsia="仿宋_GB2312"/>
          <w:sz w:val="32"/>
          <w:szCs w:val="32"/>
        </w:rPr>
        <w:t>冷凝废气采用水洗再冷凝降温后排放</w:t>
      </w:r>
      <w:r>
        <w:rPr>
          <w:rFonts w:hint="eastAsia" w:eastAsia="仿宋_GB2312"/>
          <w:sz w:val="32"/>
          <w:szCs w:val="32"/>
          <w:lang w:eastAsia="zh-CN"/>
        </w:rPr>
        <w:t>；</w:t>
      </w:r>
      <w:r>
        <w:rPr>
          <w:rFonts w:eastAsia="仿宋_GB2312"/>
          <w:sz w:val="32"/>
          <w:szCs w:val="32"/>
        </w:rPr>
        <w:t>废酸结晶回收废水回用酸解尾气浓缩洗涤</w:t>
      </w:r>
      <w:r>
        <w:rPr>
          <w:rFonts w:eastAsia="仿宋_GB2312"/>
          <w:sz w:val="32"/>
          <w:szCs w:val="32"/>
          <w:lang w:eastAsia="zh-CN"/>
        </w:rPr>
        <w:t>；</w:t>
      </w:r>
      <w:r>
        <w:rPr>
          <w:rFonts w:eastAsia="仿宋_GB2312"/>
          <w:sz w:val="32"/>
          <w:szCs w:val="32"/>
          <w:lang w:val="en-US" w:eastAsia="zh-CN"/>
        </w:rPr>
        <w:t>废酸</w:t>
      </w:r>
      <w:r>
        <w:rPr>
          <w:rFonts w:eastAsia="仿宋_GB2312"/>
          <w:sz w:val="32"/>
          <w:szCs w:val="32"/>
        </w:rPr>
        <w:t>预热冷凝水进入厂区已建污水处理站处置，废水经处理后</w:t>
      </w:r>
      <w:r>
        <w:rPr>
          <w:rFonts w:hint="eastAsia" w:eastAsia="仿宋_GB2312"/>
          <w:sz w:val="32"/>
          <w:szCs w:val="32"/>
          <w:lang w:eastAsia="zh-CN"/>
        </w:rPr>
        <w:t>排至</w:t>
      </w:r>
      <w:r>
        <w:rPr>
          <w:rFonts w:eastAsia="仿宋_GB2312"/>
          <w:sz w:val="32"/>
          <w:szCs w:val="32"/>
        </w:rPr>
        <w:t>园区污水处理厂进一步处理。</w:t>
      </w:r>
      <w:r>
        <w:rPr>
          <w:rFonts w:hint="eastAsia" w:ascii="Times New Roman" w:hAnsi="Times New Roman" w:eastAsia="仿宋_GB2312" w:cs="Times New Roman"/>
          <w:color w:val="auto"/>
          <w:sz w:val="32"/>
          <w:szCs w:val="32"/>
          <w:highlight w:val="none"/>
          <w:lang w:val="en-US" w:eastAsia="zh-CN" w:bidi="ar-SA"/>
        </w:rPr>
        <w:t>其他污染防治措施应</w:t>
      </w:r>
      <w:r>
        <w:rPr>
          <w:rFonts w:ascii="Times New Roman" w:hAnsi="Times New Roman" w:eastAsia="仿宋_GB2312" w:cs="Times New Roman"/>
          <w:color w:val="auto"/>
          <w:sz w:val="32"/>
          <w:szCs w:val="32"/>
          <w:highlight w:val="none"/>
          <w:lang w:bidi="ar-SA"/>
        </w:rPr>
        <w:t>严格</w:t>
      </w:r>
      <w:r>
        <w:rPr>
          <w:rFonts w:hint="eastAsia" w:ascii="Times New Roman" w:hAnsi="Times New Roman" w:eastAsia="仿宋_GB2312" w:cs="Times New Roman"/>
          <w:color w:val="auto"/>
          <w:sz w:val="32"/>
          <w:szCs w:val="32"/>
          <w:highlight w:val="none"/>
          <w:lang w:eastAsia="zh-CN" w:bidi="ar-SA"/>
        </w:rPr>
        <w:t>按照或优于原项目有关环评及批复要求</w:t>
      </w:r>
      <w:r>
        <w:rPr>
          <w:rFonts w:ascii="Times New Roman" w:hAnsi="Times New Roman" w:eastAsia="仿宋_GB2312" w:cs="Times New Roman"/>
          <w:color w:val="auto"/>
          <w:sz w:val="32"/>
          <w:szCs w:val="32"/>
          <w:highlight w:val="none"/>
          <w:lang w:bidi="ar-SA"/>
        </w:rPr>
        <w:t>落实</w:t>
      </w:r>
      <w:r>
        <w:rPr>
          <w:rFonts w:hint="eastAsia" w:ascii="Times New Roman" w:hAnsi="Times New Roman" w:eastAsia="仿宋_GB2312" w:cs="Times New Roman"/>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bidi="ar-SA"/>
        </w:rPr>
      </w:pPr>
      <w:r>
        <w:rPr>
          <w:rFonts w:hint="eastAsia" w:ascii="Times New Roman" w:hAnsi="Times New Roman" w:eastAsia="仿宋_GB2312" w:cs="Times New Roman"/>
          <w:sz w:val="32"/>
          <w:szCs w:val="32"/>
          <w:lang w:eastAsia="zh-CN" w:bidi="ar-SA"/>
        </w:rPr>
        <w:t>（</w:t>
      </w:r>
      <w:r>
        <w:rPr>
          <w:rFonts w:hint="eastAsia" w:eastAsia="仿宋_GB2312" w:cs="Times New Roman"/>
          <w:sz w:val="32"/>
          <w:szCs w:val="32"/>
          <w:lang w:eastAsia="zh-CN" w:bidi="ar-SA"/>
        </w:rPr>
        <w:t>三</w:t>
      </w:r>
      <w:r>
        <w:rPr>
          <w:rFonts w:hint="eastAsia" w:ascii="Times New Roman" w:hAnsi="Times New Roman" w:eastAsia="仿宋_GB2312" w:cs="Times New Roman"/>
          <w:sz w:val="32"/>
          <w:szCs w:val="32"/>
          <w:lang w:eastAsia="zh-CN" w:bidi="ar-SA"/>
        </w:rPr>
        <w:t>）</w:t>
      </w:r>
      <w:r>
        <w:rPr>
          <w:rFonts w:ascii="Times New Roman" w:hAnsi="Times New Roman" w:eastAsia="仿宋_GB2312" w:cs="Times New Roman"/>
          <w:sz w:val="32"/>
          <w:szCs w:val="32"/>
          <w:lang w:bidi="ar-SA"/>
        </w:rPr>
        <w:t>严格规范排污口建设，落实环境监测计划，建立健全环境管理机制和环保规章制度，落实岗位环保责任制，加强污染治理设施的日常运行及维护管理，确保</w:t>
      </w:r>
      <w:r>
        <w:rPr>
          <w:rFonts w:hint="eastAsia" w:ascii="Times New Roman" w:hAnsi="Times New Roman" w:eastAsia="仿宋_GB2312" w:cs="Times New Roman"/>
          <w:sz w:val="32"/>
          <w:szCs w:val="32"/>
          <w:lang w:eastAsia="zh-CN" w:bidi="ar-SA"/>
        </w:rPr>
        <w:t>外排</w:t>
      </w:r>
      <w:r>
        <w:rPr>
          <w:rFonts w:ascii="Times New Roman" w:hAnsi="Times New Roman" w:eastAsia="仿宋_GB2312" w:cs="Times New Roman"/>
          <w:sz w:val="32"/>
          <w:szCs w:val="32"/>
          <w:lang w:bidi="ar-SA"/>
        </w:rPr>
        <w:t>污染物</w:t>
      </w:r>
      <w:r>
        <w:rPr>
          <w:rFonts w:hint="eastAsia" w:ascii="Times New Roman" w:hAnsi="Times New Roman" w:eastAsia="仿宋_GB2312" w:cs="Times New Roman"/>
          <w:sz w:val="32"/>
          <w:szCs w:val="32"/>
          <w:lang w:eastAsia="zh-CN" w:bidi="ar-SA"/>
        </w:rPr>
        <w:t>长期</w:t>
      </w:r>
      <w:r>
        <w:rPr>
          <w:rFonts w:ascii="Times New Roman" w:hAnsi="Times New Roman" w:eastAsia="仿宋_GB2312" w:cs="Times New Roman"/>
          <w:sz w:val="32"/>
          <w:szCs w:val="32"/>
          <w:lang w:bidi="ar-SA"/>
        </w:rPr>
        <w:t>稳定达标</w:t>
      </w:r>
      <w:r>
        <w:rPr>
          <w:rFonts w:hint="eastAsia" w:ascii="Times New Roman" w:hAnsi="Times New Roman" w:eastAsia="仿宋_GB2312" w:cs="Times New Roman"/>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四</w:t>
      </w:r>
      <w:r>
        <w:rPr>
          <w:rFonts w:ascii="Times New Roman" w:hAnsi="Times New Roman" w:eastAsia="仿宋_GB2312" w:cs="Times New Roman"/>
          <w:sz w:val="32"/>
          <w:szCs w:val="32"/>
          <w:lang w:bidi="ar-SA"/>
        </w:rPr>
        <w:t>）高度重视环境风险防范工作。严格落实“报告书”提出的各项风险防范措施，强化环境风险管</w:t>
      </w:r>
      <w:r>
        <w:rPr>
          <w:rFonts w:hint="eastAsia" w:ascii="Times New Roman" w:hAnsi="Times New Roman" w:eastAsia="仿宋_GB2312" w:cs="Times New Roman"/>
          <w:sz w:val="32"/>
          <w:szCs w:val="32"/>
          <w:lang w:eastAsia="zh-CN" w:bidi="ar-SA"/>
        </w:rPr>
        <w:t>控</w:t>
      </w: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eastAsia="zh-CN" w:bidi="ar-SA"/>
        </w:rPr>
        <w:t>依法编制应急预案，保证出现事故能得到及时、有效处理，</w:t>
      </w:r>
      <w:r>
        <w:rPr>
          <w:rFonts w:ascii="Times New Roman" w:hAnsi="Times New Roman" w:eastAsia="仿宋_GB2312" w:cs="Times New Roman"/>
          <w:sz w:val="32"/>
          <w:szCs w:val="32"/>
          <w:lang w:bidi="ar-SA"/>
        </w:rPr>
        <w:t>确保环境安全。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五</w:t>
      </w:r>
      <w:r>
        <w:rPr>
          <w:rFonts w:ascii="Times New Roman" w:hAnsi="Times New Roman" w:eastAsia="仿宋_GB2312" w:cs="Times New Roman"/>
          <w:sz w:val="32"/>
          <w:szCs w:val="32"/>
          <w:lang w:bidi="ar-SA"/>
        </w:rPr>
        <w:t>）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仿宋_GB2312" w:cs="Times New Roman"/>
          <w:lang w:eastAsia="zh-CN" w:bidi="ar-SA"/>
        </w:rPr>
      </w:pPr>
      <w:r>
        <w:rPr>
          <w:rFonts w:ascii="Times New Roman" w:hAnsi="Times New Roman" w:eastAsia="仿宋_GB2312" w:cs="Times New Roman"/>
          <w:sz w:val="32"/>
          <w:szCs w:val="32"/>
          <w:lang w:bidi="ar-SA"/>
        </w:rPr>
        <w:t>（</w:t>
      </w:r>
      <w:r>
        <w:rPr>
          <w:rFonts w:hint="eastAsia" w:eastAsia="仿宋_GB2312" w:cs="Times New Roman"/>
          <w:sz w:val="32"/>
          <w:szCs w:val="32"/>
          <w:lang w:eastAsia="zh-CN" w:bidi="ar-SA"/>
        </w:rPr>
        <w:t>六</w:t>
      </w:r>
      <w:r>
        <w:rPr>
          <w:rFonts w:ascii="Times New Roman" w:hAnsi="Times New Roman" w:eastAsia="仿宋_GB2312" w:cs="Times New Roman"/>
          <w:sz w:val="32"/>
          <w:szCs w:val="32"/>
          <w:lang w:bidi="ar-SA"/>
        </w:rPr>
        <w:t>）其它应注意的事项按国家相关法律法规和“报告书”中提出的有关要求落实。</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sz w:val="32"/>
          <w:szCs w:val="32"/>
          <w:lang w:eastAsia="zh-CN" w:bidi="ar-SA"/>
        </w:rPr>
      </w:pPr>
      <w:r>
        <w:rPr>
          <w:rFonts w:ascii="Times New Roman" w:hAnsi="Times New Roman" w:eastAsia="仿宋_GB2312" w:cs="Times New Roman"/>
          <w:kern w:val="0"/>
          <w:sz w:val="32"/>
          <w:szCs w:val="32"/>
          <w:lang w:eastAsia="zh-CN" w:bidi="ar-SA"/>
        </w:rPr>
        <w:t>四、</w:t>
      </w:r>
      <w:r>
        <w:rPr>
          <w:rFonts w:ascii="Times New Roman" w:hAnsi="Times New Roman" w:eastAsia="仿宋_GB2312" w:cs="Times New Roman"/>
          <w:sz w:val="32"/>
          <w:szCs w:val="32"/>
          <w:lang w:eastAsia="zh-CN" w:bidi="ar-SA"/>
        </w:rPr>
        <w:t>项目须严格执行环保“三同时”制度和排污许可制度，调试排污前必须按照国家排污许可证有关管理规定，</w:t>
      </w:r>
      <w:r>
        <w:rPr>
          <w:rFonts w:hint="eastAsia" w:ascii="Times New Roman" w:hAnsi="Times New Roman" w:eastAsia="仿宋_GB2312" w:cs="Times New Roman"/>
          <w:sz w:val="32"/>
          <w:szCs w:val="32"/>
          <w:lang w:eastAsia="zh-CN" w:bidi="ar-SA"/>
        </w:rPr>
        <w:t>依法变更</w:t>
      </w:r>
      <w:r>
        <w:rPr>
          <w:rFonts w:ascii="Times New Roman" w:hAnsi="Times New Roman" w:eastAsia="仿宋_GB2312" w:cs="Times New Roman"/>
          <w:sz w:val="32"/>
          <w:szCs w:val="32"/>
          <w:lang w:eastAsia="zh-CN" w:bidi="ar-SA"/>
        </w:rPr>
        <w:t>排污许可证，</w:t>
      </w:r>
      <w:r>
        <w:rPr>
          <w:rFonts w:hint="eastAsia" w:ascii="Times New Roman" w:hAnsi="Times New Roman" w:eastAsia="仿宋_GB2312" w:cs="Times New Roman"/>
          <w:sz w:val="32"/>
          <w:szCs w:val="32"/>
          <w:lang w:eastAsia="zh-CN" w:bidi="ar-SA"/>
        </w:rPr>
        <w:t>并在调试、投运后做到按证排污</w:t>
      </w:r>
      <w:r>
        <w:rPr>
          <w:rFonts w:ascii="Times New Roman" w:hAnsi="Times New Roman" w:eastAsia="仿宋_GB2312" w:cs="Times New Roman"/>
          <w:sz w:val="32"/>
          <w:szCs w:val="32"/>
          <w:lang w:eastAsia="zh-CN" w:bidi="ar-SA"/>
        </w:rPr>
        <w:t>。项目竣工后，必须按规定程序开展竣工环境保护验收，验收合格后方可投入使用。</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ascii="Times New Roman" w:hAnsi="Times New Roman" w:eastAsia="仿宋_GB2312" w:cs="Times New Roman"/>
          <w:sz w:val="32"/>
          <w:szCs w:val="32"/>
          <w:lang w:eastAsia="zh-CN" w:bidi="ar-SA"/>
        </w:rPr>
      </w:pPr>
      <w:r>
        <w:rPr>
          <w:rFonts w:hint="eastAsia" w:ascii="Times New Roman" w:hAnsi="Times New Roman" w:eastAsia="仿宋_GB2312" w:cs="Times New Roman"/>
          <w:sz w:val="32"/>
          <w:szCs w:val="32"/>
          <w:lang w:eastAsia="zh-CN" w:bidi="ar-SA"/>
        </w:rPr>
        <w:t>五</w:t>
      </w:r>
      <w:r>
        <w:rPr>
          <w:rFonts w:ascii="Times New Roman" w:hAnsi="Times New Roman" w:eastAsia="仿宋_GB2312" w:cs="Times New Roman"/>
          <w:sz w:val="32"/>
          <w:szCs w:val="32"/>
          <w:lang w:eastAsia="zh-CN" w:bidi="ar-SA"/>
        </w:rPr>
        <w:t>、</w:t>
      </w:r>
      <w:r>
        <w:rPr>
          <w:rFonts w:ascii="Times New Roman" w:hAnsi="Times New Roman" w:eastAsia="仿宋_GB2312" w:cs="Times New Roman"/>
          <w:kern w:val="0"/>
          <w:sz w:val="32"/>
          <w:szCs w:val="32"/>
          <w:highlight w:val="none"/>
          <w:lang w:bidi="ar-SA"/>
        </w:rPr>
        <w:t>项目环境影响评价文件经批准后，如</w:t>
      </w:r>
      <w:r>
        <w:rPr>
          <w:rFonts w:ascii="Times New Roman" w:hAnsi="Times New Roman" w:eastAsia="仿宋_GB2312" w:cs="Times New Roman"/>
          <w:kern w:val="0"/>
          <w:sz w:val="32"/>
          <w:szCs w:val="32"/>
          <w:highlight w:val="none"/>
          <w:lang w:val="en-US" w:eastAsia="zh-CN" w:bidi="ar-SA"/>
        </w:rPr>
        <w:t>项目</w:t>
      </w:r>
      <w:r>
        <w:rPr>
          <w:rFonts w:ascii="Times New Roman" w:hAnsi="Times New Roman" w:eastAsia="仿宋_GB2312" w:cs="Times New Roman"/>
          <w:kern w:val="0"/>
          <w:sz w:val="32"/>
          <w:szCs w:val="32"/>
          <w:highlight w:val="none"/>
          <w:lang w:bidi="ar-SA"/>
        </w:rPr>
        <w:t>的性质、规模</w:t>
      </w:r>
      <w:r>
        <w:rPr>
          <w:rFonts w:ascii="Times New Roman" w:hAnsi="Times New Roman" w:eastAsia="仿宋_GB2312" w:cs="Times New Roman"/>
          <w:kern w:val="0"/>
          <w:sz w:val="32"/>
          <w:szCs w:val="32"/>
          <w:highlight w:val="none"/>
          <w:lang w:eastAsia="zh-CN" w:bidi="ar-SA"/>
        </w:rPr>
        <w:t>、</w:t>
      </w:r>
      <w:r>
        <w:rPr>
          <w:rFonts w:ascii="Times New Roman" w:hAnsi="Times New Roman" w:eastAsia="仿宋_GB2312" w:cs="Times New Roman"/>
          <w:kern w:val="0"/>
          <w:sz w:val="32"/>
          <w:szCs w:val="32"/>
          <w:highlight w:val="none"/>
          <w:lang w:val="en-US" w:eastAsia="zh-CN" w:bidi="ar-SA"/>
        </w:rPr>
        <w:t>工艺、</w:t>
      </w:r>
      <w:r>
        <w:rPr>
          <w:rFonts w:ascii="Times New Roman" w:hAnsi="Times New Roman" w:eastAsia="仿宋_GB2312" w:cs="Times New Roman"/>
          <w:kern w:val="0"/>
          <w:sz w:val="32"/>
          <w:szCs w:val="32"/>
          <w:highlight w:val="none"/>
          <w:lang w:bidi="ar-SA"/>
        </w:rPr>
        <w:t>地点</w:t>
      </w:r>
      <w:r>
        <w:rPr>
          <w:rFonts w:ascii="Times New Roman" w:hAnsi="Times New Roman" w:eastAsia="仿宋_GB2312" w:cs="Times New Roman"/>
          <w:kern w:val="0"/>
          <w:sz w:val="32"/>
          <w:szCs w:val="32"/>
          <w:highlight w:val="none"/>
          <w:lang w:val="en-US" w:eastAsia="zh-CN" w:bidi="ar-SA"/>
        </w:rPr>
        <w:t>或者防治污染</w:t>
      </w:r>
      <w:r>
        <w:rPr>
          <w:rFonts w:ascii="Times New Roman" w:hAnsi="Times New Roman" w:eastAsia="仿宋_GB2312" w:cs="Times New Roman"/>
          <w:kern w:val="0"/>
          <w:sz w:val="32"/>
          <w:szCs w:val="32"/>
          <w:highlight w:val="none"/>
          <w:lang w:eastAsia="zh-CN" w:bidi="ar-SA"/>
        </w:rPr>
        <w:t>、防止</w:t>
      </w:r>
      <w:r>
        <w:rPr>
          <w:rFonts w:ascii="Times New Roman" w:hAnsi="Times New Roman" w:eastAsia="仿宋_GB2312" w:cs="Times New Roman"/>
          <w:kern w:val="0"/>
          <w:sz w:val="32"/>
          <w:szCs w:val="32"/>
          <w:highlight w:val="none"/>
          <w:lang w:bidi="ar-SA"/>
        </w:rPr>
        <w:t>生态破坏的措施发生重大变</w:t>
      </w:r>
      <w:r>
        <w:rPr>
          <w:rFonts w:ascii="Times New Roman" w:hAnsi="Times New Roman" w:eastAsia="仿宋_GB2312" w:cs="Times New Roman"/>
          <w:kern w:val="0"/>
          <w:sz w:val="32"/>
          <w:szCs w:val="32"/>
          <w:highlight w:val="none"/>
          <w:lang w:eastAsia="zh-CN" w:bidi="ar-SA"/>
        </w:rPr>
        <w:t>动</w:t>
      </w:r>
      <w:r>
        <w:rPr>
          <w:rFonts w:ascii="Times New Roman" w:hAnsi="Times New Roman" w:eastAsia="仿宋_GB2312" w:cs="Times New Roman"/>
          <w:kern w:val="0"/>
          <w:sz w:val="32"/>
          <w:szCs w:val="32"/>
          <w:highlight w:val="none"/>
          <w:lang w:bidi="ar-SA"/>
        </w:rPr>
        <w:t>的，建设单位应当重新报批环境影响评价文件，否则不得实施。</w:t>
      </w:r>
      <w:r>
        <w:rPr>
          <w:rFonts w:ascii="Times New Roman" w:hAnsi="Times New Roman" w:eastAsia="仿宋_GB2312" w:cs="Times New Roman"/>
          <w:kern w:val="0"/>
          <w:sz w:val="32"/>
          <w:szCs w:val="32"/>
          <w:lang w:bidi="ar-SA"/>
        </w:rPr>
        <w:t>自环评文件批准之日起，超过5年方决定该</w:t>
      </w:r>
      <w:r>
        <w:rPr>
          <w:rFonts w:ascii="Times New Roman" w:hAnsi="Times New Roman" w:eastAsia="仿宋_GB2312" w:cs="Times New Roman"/>
          <w:kern w:val="0"/>
          <w:sz w:val="32"/>
          <w:szCs w:val="32"/>
          <w:lang w:eastAsia="zh-CN" w:bidi="ar-SA"/>
        </w:rPr>
        <w:t>项目</w:t>
      </w:r>
      <w:r>
        <w:rPr>
          <w:rFonts w:ascii="Times New Roman" w:hAnsi="Times New Roman" w:eastAsia="仿宋_GB2312" w:cs="Times New Roman"/>
          <w:kern w:val="0"/>
          <w:sz w:val="32"/>
          <w:szCs w:val="32"/>
          <w:lang w:bidi="ar-SA"/>
        </w:rPr>
        <w:t>开工建设的，环境影响评价文件应当报我局重新审核。</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ascii="Times New Roman" w:hAnsi="Times New Roman" w:eastAsia="仿宋_GB2312" w:cs="Times New Roman"/>
          <w:sz w:val="32"/>
          <w:szCs w:val="32"/>
          <w:lang w:eastAsia="zh-CN" w:bidi="ar-SA"/>
        </w:rPr>
      </w:pPr>
      <w:r>
        <w:rPr>
          <w:rFonts w:hint="eastAsia" w:ascii="Times New Roman" w:hAnsi="Times New Roman" w:eastAsia="仿宋_GB2312" w:cs="Times New Roman"/>
          <w:sz w:val="32"/>
          <w:szCs w:val="32"/>
          <w:lang w:eastAsia="zh-CN" w:bidi="ar-SA"/>
        </w:rPr>
        <w:t>六</w:t>
      </w:r>
      <w:r>
        <w:rPr>
          <w:rFonts w:ascii="Times New Roman" w:hAnsi="Times New Roman" w:eastAsia="仿宋_GB2312" w:cs="Times New Roman"/>
          <w:sz w:val="32"/>
          <w:szCs w:val="32"/>
          <w:lang w:eastAsia="zh-CN" w:bidi="ar-SA"/>
        </w:rPr>
        <w:t>、请市生态环境保护综合行政执法支队和钒钛高新区生态环境和综合行政执法局负责开展该项目的 “三同时”监督检查和日常监督管理工作。</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eastAsia="zh-CN" w:bidi="ar-SA"/>
        </w:rPr>
        <w:t>你公司应在收到本批复15个工作日内将批准后的“报告书”送达钒钛高新区生态环境和综合行政执法局备案，并接受各级生态环境主管部门的监管。</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hint="eastAsia"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bidi="ar-SA"/>
        </w:rPr>
        <w:t xml:space="preserve">                       </w:t>
      </w:r>
      <w:r>
        <w:rPr>
          <w:rFonts w:hint="eastAsia" w:ascii="Times New Roman" w:hAnsi="Times New Roman" w:eastAsia="仿宋_GB2312" w:cs="Times New Roman"/>
          <w:sz w:val="32"/>
          <w:szCs w:val="32"/>
          <w:lang w:val="en-US" w:eastAsia="zh-CN" w:bidi="ar-SA"/>
        </w:rPr>
        <w:t xml:space="preserve"> </w:t>
      </w:r>
    </w:p>
    <w:bookmarkEnd w:id="0"/>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hint="eastAsia" w:ascii="Times New Roman" w:hAnsi="Times New Roman" w:eastAsia="仿宋_GB2312" w:cs="Times New Roman"/>
          <w:sz w:val="32"/>
          <w:szCs w:val="32"/>
          <w:lang w:val="en-US" w:eastAsia="zh-CN" w:bidi="ar-SA"/>
        </w:rPr>
      </w:pPr>
    </w:p>
    <w:p>
      <w:pPr>
        <w:keepNext w:val="0"/>
        <w:keepLines w:val="0"/>
        <w:pageBreakBefore w:val="0"/>
        <w:widowControl w:val="0"/>
        <w:kinsoku/>
        <w:wordWrap/>
        <w:overflowPunct/>
        <w:topLinePunct w:val="0"/>
        <w:autoSpaceDE/>
        <w:autoSpaceDN/>
        <w:adjustRightInd/>
        <w:snapToGrid w:val="0"/>
        <w:spacing w:line="560" w:lineRule="exact"/>
        <w:ind w:firstLine="640" w:firstLineChars="200"/>
        <w:rPr>
          <w:rFonts w:ascii="Times New Roman" w:hAnsi="Times New Roman" w:eastAsia="仿宋_GB2312" w:cs="Times New Roman"/>
          <w:sz w:val="32"/>
          <w:szCs w:val="32"/>
          <w:lang w:bidi="ar-SA"/>
        </w:rPr>
      </w:pPr>
      <w:r>
        <w:rPr>
          <w:rFonts w:hint="eastAsia" w:ascii="Times New Roman" w:hAnsi="Times New Roman" w:eastAsia="仿宋_GB2312" w:cs="Times New Roman"/>
          <w:sz w:val="32"/>
          <w:szCs w:val="32"/>
          <w:lang w:val="en-US" w:eastAsia="zh-CN" w:bidi="ar-SA"/>
        </w:rPr>
        <w:t xml:space="preserve">                       </w:t>
      </w:r>
      <w:r>
        <w:rPr>
          <w:rFonts w:ascii="Times New Roman" w:hAnsi="Times New Roman" w:eastAsia="仿宋_GB2312" w:cs="Times New Roman"/>
          <w:sz w:val="32"/>
          <w:szCs w:val="32"/>
          <w:lang w:bidi="ar-SA"/>
        </w:rPr>
        <w:t>攀枝花市生态环境局</w:t>
      </w:r>
    </w:p>
    <w:p>
      <w:pPr>
        <w:keepNext w:val="0"/>
        <w:keepLines w:val="0"/>
        <w:pageBreakBefore w:val="0"/>
        <w:widowControl w:val="0"/>
        <w:kinsoku/>
        <w:wordWrap/>
        <w:overflowPunct/>
        <w:topLinePunct w:val="0"/>
        <w:autoSpaceDE/>
        <w:autoSpaceDN/>
        <w:bidi w:val="0"/>
        <w:adjustRightInd/>
        <w:snapToGrid w:val="0"/>
        <w:spacing w:line="560" w:lineRule="exact"/>
        <w:ind w:right="640"/>
        <w:jc w:val="center"/>
        <w:textAlignment w:val="auto"/>
        <w:rPr>
          <w:rFonts w:ascii="Times New Roman" w:hAnsi="Times New Roman" w:eastAsia="仿宋_GB2312" w:cs="Times New Roman"/>
          <w:sz w:val="32"/>
          <w:szCs w:val="32"/>
          <w:lang w:bidi="ar-SA"/>
        </w:rPr>
      </w:pPr>
      <w:r>
        <w:rPr>
          <w:rFonts w:ascii="Times New Roman" w:hAnsi="Times New Roman" w:eastAsia="仿宋_GB2312" w:cs="Times New Roman"/>
          <w:sz w:val="32"/>
          <w:szCs w:val="32"/>
          <w:lang w:bidi="ar-SA"/>
        </w:rPr>
        <w:t xml:space="preserve">                         202</w:t>
      </w:r>
      <w:r>
        <w:rPr>
          <w:rFonts w:hint="eastAsia" w:ascii="Times New Roman" w:hAnsi="Times New Roman" w:eastAsia="仿宋_GB2312" w:cs="Times New Roman"/>
          <w:sz w:val="32"/>
          <w:szCs w:val="32"/>
          <w:lang w:val="en-US" w:eastAsia="zh-CN" w:bidi="ar-SA"/>
        </w:rPr>
        <w:t>4</w:t>
      </w:r>
      <w:r>
        <w:rPr>
          <w:rFonts w:ascii="Times New Roman" w:hAnsi="Times New Roman" w:eastAsia="仿宋_GB2312" w:cs="Times New Roman"/>
          <w:sz w:val="32"/>
          <w:szCs w:val="32"/>
          <w:lang w:bidi="ar-SA"/>
        </w:rPr>
        <w:t>年</w:t>
      </w:r>
      <w:r>
        <w:rPr>
          <w:rFonts w:hint="eastAsia" w:eastAsia="仿宋_GB2312" w:cs="Times New Roman"/>
          <w:sz w:val="32"/>
          <w:szCs w:val="32"/>
          <w:lang w:val="en-US" w:eastAsia="zh-CN" w:bidi="ar-SA"/>
        </w:rPr>
        <w:t>3</w:t>
      </w:r>
      <w:r>
        <w:rPr>
          <w:rFonts w:ascii="Times New Roman" w:hAnsi="Times New Roman" w:eastAsia="仿宋_GB2312" w:cs="Times New Roman"/>
          <w:sz w:val="32"/>
          <w:szCs w:val="32"/>
          <w:lang w:bidi="ar-SA"/>
        </w:rPr>
        <w:t>月</w:t>
      </w:r>
      <w:r>
        <w:rPr>
          <w:rFonts w:hint="eastAsia" w:eastAsia="仿宋_GB2312" w:cs="Times New Roman"/>
          <w:sz w:val="32"/>
          <w:szCs w:val="32"/>
          <w:lang w:val="en-US" w:eastAsia="zh-CN" w:bidi="ar-SA"/>
        </w:rPr>
        <w:t>11</w:t>
      </w:r>
      <w:r>
        <w:rPr>
          <w:rFonts w:ascii="Times New Roman" w:hAnsi="Times New Roman" w:eastAsia="仿宋_GB2312" w:cs="Times New Roman"/>
          <w:sz w:val="32"/>
          <w:szCs w:val="32"/>
          <w:lang w:bidi="ar-SA"/>
        </w:rPr>
        <w:t>日</w:t>
      </w: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32"/>
          <w:szCs w:val="32"/>
          <w:lang w:bidi="ar-SA"/>
        </w:rPr>
      </w:pPr>
    </w:p>
    <w:p>
      <w:pPr>
        <w:pStyle w:val="2"/>
        <w:rPr>
          <w:rFonts w:ascii="Times New Roman" w:hAnsi="Times New Roman" w:eastAsia="仿宋_GB2312" w:cs="Times New Roman"/>
          <w:sz w:val="21"/>
          <w:szCs w:val="21"/>
          <w:lang w:bidi="ar-SA"/>
        </w:rPr>
      </w:pPr>
    </w:p>
    <w:p>
      <w:pPr>
        <w:pStyle w:val="2"/>
        <w:rPr>
          <w:rFonts w:ascii="Times New Roman" w:hAnsi="Times New Roman" w:eastAsia="仿宋_GB2312" w:cs="Times New Roman"/>
          <w:sz w:val="21"/>
          <w:szCs w:val="21"/>
          <w:lang w:bidi="ar-SA"/>
        </w:rPr>
      </w:pPr>
    </w:p>
    <w:p>
      <w:pPr>
        <w:pStyle w:val="2"/>
        <w:rPr>
          <w:rFonts w:ascii="Times New Roman" w:hAnsi="Times New Roman" w:eastAsia="仿宋_GB2312" w:cs="Times New Roman"/>
          <w:sz w:val="21"/>
          <w:szCs w:val="21"/>
          <w:lang w:bidi="ar-SA"/>
        </w:rPr>
      </w:pPr>
    </w:p>
    <w:p>
      <w:pPr>
        <w:pStyle w:val="2"/>
        <w:rPr>
          <w:rFonts w:ascii="Times New Roman" w:hAnsi="Times New Roman" w:eastAsia="仿宋_GB2312" w:cs="Times New Roman"/>
          <w:sz w:val="21"/>
          <w:szCs w:val="21"/>
          <w:lang w:bidi="ar-SA"/>
        </w:rPr>
      </w:pPr>
    </w:p>
    <w:p>
      <w:pPr>
        <w:pStyle w:val="2"/>
        <w:rPr>
          <w:rFonts w:ascii="Times New Roman" w:hAnsi="Times New Roman" w:eastAsia="仿宋_GB2312" w:cs="Times New Roman"/>
          <w:sz w:val="21"/>
          <w:szCs w:val="21"/>
          <w:lang w:bidi="ar-SA"/>
        </w:rPr>
      </w:pPr>
    </w:p>
    <w:p>
      <w:pPr>
        <w:pStyle w:val="2"/>
        <w:rPr>
          <w:rFonts w:ascii="Times New Roman" w:hAnsi="Times New Roman" w:eastAsia="仿宋_GB2312" w:cs="Times New Roman"/>
          <w:sz w:val="21"/>
          <w:szCs w:val="21"/>
          <w:lang w:bidi="ar-SA"/>
        </w:rPr>
      </w:pPr>
    </w:p>
    <w:sectPr>
      <w:footerReference r:id="rId3" w:type="default"/>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ucida Sans">
    <w:altName w:val="Noto Naskh Arabic"/>
    <w:panose1 w:val="020B0602030504020204"/>
    <w:charset w:val="00"/>
    <w:family w:val="auto"/>
    <w:pitch w:val="default"/>
    <w:sig w:usb0="00000000"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Naskh Arabic">
    <w:panose1 w:val="020B0502040504020204"/>
    <w:charset w:val="00"/>
    <w:family w:val="auto"/>
    <w:pitch w:val="default"/>
    <w:sig w:usb0="80002003" w:usb1="80002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003"/>
        <w:tab w:val="clear" w:pos="4153"/>
      </w:tabs>
      <w:ind w:right="360"/>
      <w:rPr>
        <w:rFonts w:hint="eastAsia" w:eastAsia="宋体"/>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-98425</wp:posOffset>
              </wp:positionV>
              <wp:extent cx="444500" cy="230505"/>
              <wp:effectExtent l="0" t="0" r="0" b="0"/>
              <wp:wrapNone/>
              <wp:docPr id="2" name="文本框 45"/>
              <wp:cNvGraphicFramePr/>
              <a:graphic xmlns:a="http://schemas.openxmlformats.org/drawingml/2006/main">
                <a:graphicData uri="http://schemas.microsoft.com/office/word/2010/wordprocessingShape">
                  <wps:wsp>
                    <wps:cNvSpPr/>
                    <wps:spPr>
                      <a:xfrm>
                        <a:off x="0" y="0"/>
                        <a:ext cx="444500" cy="230505"/>
                      </a:xfrm>
                      <a:prstGeom prst="rect">
                        <a:avLst/>
                      </a:prstGeom>
                      <a:noFill/>
                      <a:ln w="15875">
                        <a:noFill/>
                      </a:ln>
                    </wps:spPr>
                    <wps:txbx>
                      <w:txbxContent>
                        <w:p>
                          <w:pPr>
                            <w:pStyle w:val="7"/>
                            <w:rPr>
                              <w:rFonts w:hint="eastAsia" w:ascii="宋体" w:eastAsia="宋体" w:cs="宋体"/>
                              <w:lang w:bidi="ar-SA"/>
                            </w:rPr>
                          </w:pP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2</w:t>
                          </w:r>
                          <w:r>
                            <w:rPr>
                              <w:rFonts w:hint="eastAsia" w:ascii="宋体" w:eastAsia="宋体" w:cs="宋体"/>
                              <w:sz w:val="28"/>
                              <w:szCs w:val="28"/>
                              <w:lang w:bidi="ar-SA"/>
                            </w:rPr>
                            <w:fldChar w:fldCharType="end"/>
                          </w:r>
                        </w:p>
                      </w:txbxContent>
                    </wps:txbx>
                    <wps:bodyPr wrap="none" lIns="0" tIns="0" rIns="0" bIns="0" upright="true">
                      <a:spAutoFit/>
                    </wps:bodyPr>
                  </wps:wsp>
                </a:graphicData>
              </a:graphic>
            </wp:anchor>
          </w:drawing>
        </mc:Choice>
        <mc:Fallback>
          <w:pict>
            <v:rect id="文本框 45" o:spid="_x0000_s1026" o:spt="1" style="position:absolute;left:0pt;margin-top:-7.75pt;height:18.15pt;width:35pt;mso-position-horizontal:outside;mso-position-horizontal-relative:margin;mso-wrap-style:none;z-index:251660288;mso-width-relative:page;mso-height-relative:page;" filled="f" stroked="f" coordsize="21600,21600" o:gfxdata="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&#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K1yAa7VAAAABgEAAA8AAAAAAAAAAQAgAAAAOAAAAGRy&#10;cy9kb3ducmV2LnhtbFBLAQIUABQAAAAIAIdO4kDB+eq1uQEAAE0DAAAOAAAAAAAAAAEAIAAAADoB&#10;AABkcnMvZTJvRG9jLnhtbFBLBQYAAAAABgAGAFkBAABlBQAAAAA=&#10;">
              <v:fill on="f" focussize="0,0"/>
              <v:stroke on="f" weight="1.25pt"/>
              <v:imagedata o:title=""/>
              <o:lock v:ext="edit" aspectratio="f"/>
              <v:textbox inset="0mm,0mm,0mm,0mm" style="mso-fit-shape-to-text:t;">
                <w:txbxContent>
                  <w:p>
                    <w:pPr>
                      <w:pStyle w:val="7"/>
                      <w:rPr>
                        <w:rFonts w:hint="eastAsia" w:ascii="宋体" w:eastAsia="宋体" w:cs="宋体"/>
                        <w:lang w:bidi="ar-SA"/>
                      </w:rPr>
                    </w:pPr>
                    <w:r>
                      <w:rPr>
                        <w:rFonts w:hint="eastAsia" w:ascii="宋体" w:eastAsia="宋体" w:cs="宋体"/>
                        <w:sz w:val="28"/>
                        <w:szCs w:val="28"/>
                        <w:lang w:bidi="ar-SA"/>
                      </w:rPr>
                      <w:fldChar w:fldCharType="begin"/>
                    </w:r>
                    <w:r>
                      <w:rPr>
                        <w:rFonts w:hint="eastAsia" w:ascii="宋体" w:eastAsia="宋体" w:cs="宋体"/>
                        <w:sz w:val="28"/>
                        <w:szCs w:val="28"/>
                        <w:lang w:bidi="ar-SA"/>
                      </w:rPr>
                      <w:instrText xml:space="preserve"> PAGE  \* MERGEFORMAT </w:instrText>
                    </w:r>
                    <w:r>
                      <w:rPr>
                        <w:rFonts w:hint="eastAsia" w:ascii="宋体" w:eastAsia="宋体" w:cs="宋体"/>
                        <w:sz w:val="28"/>
                        <w:szCs w:val="28"/>
                        <w:lang w:bidi="ar-SA"/>
                      </w:rPr>
                      <w:fldChar w:fldCharType="separate"/>
                    </w:r>
                    <w:r>
                      <w:rPr>
                        <w:rFonts w:hint="eastAsia" w:ascii="宋体" w:eastAsia="宋体" w:cs="宋体"/>
                        <w:sz w:val="28"/>
                        <w:szCs w:val="28"/>
                        <w:lang w:bidi="ar-SA"/>
                      </w:rPr>
                      <w:t>2</w:t>
                    </w:r>
                    <w:r>
                      <w:rPr>
                        <w:rFonts w:hint="eastAsia" w:ascii="宋体" w:eastAsia="宋体" w:cs="宋体"/>
                        <w:sz w:val="28"/>
                        <w:szCs w:val="28"/>
                        <w:lang w:bidi="ar-SA"/>
                      </w:rPr>
                      <w:fldChar w:fldCharType="end"/>
                    </w:r>
                  </w:p>
                </w:txbxContent>
              </v:textbox>
            </v:rect>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E600C"/>
    <w:multiLevelType w:val="singleLevel"/>
    <w:tmpl w:val="FDFE600C"/>
    <w:lvl w:ilvl="0" w:tentative="0">
      <w:start w:val="1"/>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E1559"/>
    <w:rsid w:val="57FF613D"/>
    <w:rsid w:val="7BFF8DE5"/>
    <w:rsid w:val="BFEDABDC"/>
    <w:rsid w:val="DFFBE1C6"/>
    <w:rsid w:val="EE3F4384"/>
    <w:rsid w:val="FF7599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ourier New" w:hAnsi="Courier New" w:eastAsia="仿宋_GB2312" w:cs="Courier New"/>
      <w:color w:val="000000"/>
      <w:sz w:val="24"/>
      <w:szCs w:val="24"/>
      <w:lang w:val="en-US" w:eastAsia="zh-CN" w:bidi="ar-SA"/>
    </w:rPr>
  </w:style>
  <w:style w:type="paragraph" w:styleId="6">
    <w:name w:val="Date"/>
    <w:basedOn w:val="1"/>
    <w:next w:val="1"/>
    <w:qFormat/>
    <w:uiPriority w:val="0"/>
    <w:pPr>
      <w:ind w:left="25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2"/>
    <w:basedOn w:val="1"/>
    <w:next w:val="1"/>
    <w:qFormat/>
    <w:uiPriority w:val="0"/>
    <w:pPr>
      <w:tabs>
        <w:tab w:val="right" w:leader="dot" w:pos="8296"/>
      </w:tabs>
      <w:ind w:left="200" w:leftChars="200" w:firstLine="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13">
    <w:name w:val="page number"/>
    <w:basedOn w:val="12"/>
    <w:qFormat/>
    <w:uiPriority w:val="0"/>
  </w:style>
  <w:style w:type="paragraph" w:customStyle="1" w:styleId="14">
    <w:name w:val="Char Char Char Char Char2 Char"/>
    <w:basedOn w:val="1"/>
    <w:qFormat/>
    <w:uiPriority w:val="0"/>
    <w:pPr>
      <w:adjustRightInd w:val="0"/>
      <w:snapToGrid w:val="0"/>
      <w:spacing w:line="360" w:lineRule="auto"/>
      <w:ind w:firstLine="200" w:firstLineChars="200"/>
    </w:pPr>
    <w:rPr>
      <w:rFonts w:cs="宋体"/>
      <w:sz w:val="28"/>
      <w:szCs w:val="28"/>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15875" cap="flat" cmpd="sng">
          <a:solidFill>
            <a:srgbClr val="739CC3"/>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cap="flat" cmpd="sng">
          <a:solidFill>
            <a:srgbClr val="739CC3"/>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1440</Characters>
  <Lines>0</Lines>
  <Paragraphs>48</Paragraphs>
  <TotalTime>20</TotalTime>
  <ScaleCrop>false</ScaleCrop>
  <LinksUpToDate>false</LinksUpToDate>
  <CharactersWithSpaces>1920</CharactersWithSpaces>
  <Application>WPS Office_11.8.2.10290_F1E327BC-269C-435d-A152-05C5408002CA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2016-05-02T10:30:00Z</dcterms:created>
  <dc:creator>吕鹏</dc:creator>
  <cp:lastModifiedBy>user</cp:lastModifiedBy>
  <cp:lastPrinted>2024-03-11T14:43:26Z</cp:lastPrinted>
  <dcterms:modified xsi:type="dcterms:W3CDTF">2024-03-11T14:44:44Z</dcterms:modified>
  <dc:title>攀枝花市环境保护局</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
    <vt:lpwstr>F31EC21D5306FD11F5D60263D04B72A0</vt:lpwstr>
  </property>
</Properties>
</file>