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ascii="Times New Roman" w:hAnsi="Times New Roman" w:eastAsia="黑体"/>
          <w:color w:val="000000" w:themeColor="text1"/>
          <w:sz w:val="30"/>
          <w:szCs w:val="30"/>
          <w14:textFill>
            <w14:solidFill>
              <w14:schemeClr w14:val="tx1"/>
            </w14:solidFill>
          </w14:textFill>
        </w:rPr>
      </w:pPr>
      <w:bookmarkStart w:id="0" w:name="_Toc18425"/>
      <w:bookmarkStart w:id="1" w:name="_Toc29626"/>
      <w:bookmarkStart w:id="2" w:name="_Toc5201"/>
    </w:p>
    <w:p>
      <w:pPr>
        <w:widowControl/>
        <w:jc w:val="center"/>
        <w:outlineLvl w:val="0"/>
        <w:rPr>
          <w:rFonts w:ascii="Times New Roman" w:hAnsi="Times New Roman" w:eastAsia="黑体"/>
          <w:color w:val="000000" w:themeColor="text1"/>
          <w:sz w:val="30"/>
          <w:szCs w:val="30"/>
          <w14:textFill>
            <w14:solidFill>
              <w14:schemeClr w14:val="tx1"/>
            </w14:solidFill>
          </w14:textFill>
        </w:rPr>
      </w:pPr>
      <w:r>
        <w:rPr>
          <w:rFonts w:hint="eastAsia" w:ascii="Times New Roman" w:hAnsi="Times New Roman" w:eastAsia="黑体"/>
          <w:color w:val="000000" w:themeColor="text1"/>
          <w:sz w:val="30"/>
          <w:szCs w:val="30"/>
          <w14:textFill>
            <w14:solidFill>
              <w14:schemeClr w14:val="tx1"/>
            </w14:solidFill>
          </w14:textFill>
        </w:rPr>
        <w:t>目录</w:t>
      </w:r>
    </w:p>
    <w:p>
      <w:pPr>
        <w:widowControl/>
        <w:tabs>
          <w:tab w:val="decimal" w:leader="dot" w:pos="5760"/>
        </w:tabs>
        <w:spacing w:line="600" w:lineRule="exact"/>
        <w:outlineLvl w:val="0"/>
        <w:rPr>
          <w:rFonts w:ascii="仿宋_GB2312" w:hAnsi="Times New Roman" w:eastAsia="仿宋_GB2312"/>
          <w:color w:val="000000" w:themeColor="text1"/>
          <w:sz w:val="28"/>
          <w:szCs w:val="28"/>
          <w14:textFill>
            <w14:solidFill>
              <w14:schemeClr w14:val="tx1"/>
            </w14:solidFill>
          </w14:textFill>
        </w:rPr>
      </w:pPr>
    </w:p>
    <w:p>
      <w:pPr>
        <w:widowControl/>
        <w:tabs>
          <w:tab w:val="decimal" w:leader="dot" w:pos="5760"/>
        </w:tabs>
        <w:spacing w:line="600" w:lineRule="exact"/>
        <w:outlineLvl w:val="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一、建设项目环评审批手续办理流程</w:t>
      </w:r>
      <w:r>
        <w:rPr>
          <w:rFonts w:ascii="仿宋_GB2312" w:hAnsi="Times New Roman" w:eastAsia="仿宋_GB2312"/>
          <w:color w:val="000000" w:themeColor="text1"/>
          <w:sz w:val="28"/>
          <w:szCs w:val="28"/>
          <w14:textFill>
            <w14:solidFill>
              <w14:schemeClr w14:val="tx1"/>
            </w14:solidFill>
          </w14:textFill>
        </w:rPr>
        <w:tab/>
      </w:r>
      <w:r>
        <w:rPr>
          <w:rFonts w:ascii="仿宋_GB2312" w:hAnsi="Times New Roman" w:eastAsia="仿宋_GB2312"/>
          <w:color w:val="000000" w:themeColor="text1"/>
          <w:sz w:val="28"/>
          <w:szCs w:val="28"/>
          <w14:textFill>
            <w14:solidFill>
              <w14:schemeClr w14:val="tx1"/>
            </w14:solidFill>
          </w14:textFill>
        </w:rPr>
        <w:t>1</w:t>
      </w:r>
    </w:p>
    <w:p>
      <w:pPr>
        <w:widowControl/>
        <w:tabs>
          <w:tab w:val="decimal" w:leader="dot" w:pos="5760"/>
        </w:tabs>
        <w:spacing w:line="600" w:lineRule="exact"/>
        <w:outlineLvl w:val="0"/>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二、</w:t>
      </w:r>
      <w:r>
        <w:rPr>
          <w:rFonts w:hint="eastAsia" w:ascii="仿宋_GB2312" w:hAnsi="Times New Roman" w:eastAsia="仿宋_GB2312"/>
          <w:color w:val="000000" w:themeColor="text1"/>
          <w:sz w:val="28"/>
          <w:szCs w:val="28"/>
          <w14:textFill>
            <w14:solidFill>
              <w14:schemeClr w14:val="tx1"/>
            </w14:solidFill>
          </w14:textFill>
        </w:rPr>
        <w:t>生态环境部门咨询联系方式</w:t>
      </w: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lang w:val="en-US" w:eastAsia="zh-CN"/>
          <w14:textFill>
            <w14:solidFill>
              <w14:schemeClr w14:val="tx1"/>
            </w14:solidFill>
          </w14:textFill>
        </w:rPr>
        <w:t>4</w:t>
      </w:r>
    </w:p>
    <w:p>
      <w:pPr>
        <w:widowControl/>
        <w:tabs>
          <w:tab w:val="decimal" w:leader="dot" w:pos="5760"/>
        </w:tabs>
        <w:spacing w:line="600" w:lineRule="exact"/>
        <w:outlineLvl w:val="0"/>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三、哪些项目不用办理环评审批手续</w:t>
      </w: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lang w:val="en-US" w:eastAsia="zh-CN"/>
          <w14:textFill>
            <w14:solidFill>
              <w14:schemeClr w14:val="tx1"/>
            </w14:solidFill>
          </w14:textFill>
        </w:rPr>
        <w:t>5</w:t>
      </w:r>
    </w:p>
    <w:p>
      <w:pPr>
        <w:widowControl/>
        <w:tabs>
          <w:tab w:val="decimal" w:leader="dot" w:pos="5760"/>
        </w:tabs>
        <w:spacing w:line="600" w:lineRule="exact"/>
        <w:outlineLvl w:val="0"/>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eastAsia="仿宋_GB2312"/>
          <w:color w:val="000000" w:themeColor="text1"/>
          <w:sz w:val="28"/>
          <w:szCs w:val="28"/>
          <w:lang w:eastAsia="zh-CN"/>
          <w14:textFill>
            <w14:solidFill>
              <w14:schemeClr w14:val="tx1"/>
            </w14:solidFill>
          </w14:textFill>
        </w:rPr>
        <w:t>四</w:t>
      </w:r>
      <w:r>
        <w:rPr>
          <w:rFonts w:hint="eastAsia" w:ascii="仿宋_GB2312" w:eastAsia="仿宋_GB2312"/>
          <w:color w:val="000000" w:themeColor="text1"/>
          <w:sz w:val="28"/>
          <w:szCs w:val="28"/>
          <w14:textFill>
            <w14:solidFill>
              <w14:schemeClr w14:val="tx1"/>
            </w14:solidFill>
          </w14:textFill>
        </w:rPr>
        <w:t>、建设项目分级审批管理规定</w:t>
      </w: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lang w:val="en-US" w:eastAsia="zh-CN"/>
          <w14:textFill>
            <w14:solidFill>
              <w14:schemeClr w14:val="tx1"/>
            </w14:solidFill>
          </w14:textFill>
        </w:rPr>
        <w:t>6</w:t>
      </w:r>
    </w:p>
    <w:p>
      <w:pPr>
        <w:widowControl/>
        <w:tabs>
          <w:tab w:val="decimal" w:leader="dot" w:pos="5760"/>
        </w:tabs>
        <w:spacing w:line="600" w:lineRule="exact"/>
        <w:outlineLvl w:val="0"/>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eastAsia="仿宋_GB2312"/>
          <w:color w:val="000000" w:themeColor="text1"/>
          <w:sz w:val="28"/>
          <w:szCs w:val="28"/>
          <w:lang w:eastAsia="zh-CN"/>
          <w14:textFill>
            <w14:solidFill>
              <w14:schemeClr w14:val="tx1"/>
            </w14:solidFill>
          </w14:textFill>
        </w:rPr>
        <w:t>五</w:t>
      </w:r>
      <w:r>
        <w:rPr>
          <w:rFonts w:hint="eastAsia" w:ascii="仿宋_GB2312" w:eastAsia="仿宋_GB2312"/>
          <w:color w:val="000000" w:themeColor="text1"/>
          <w:sz w:val="28"/>
          <w:szCs w:val="28"/>
          <w14:textFill>
            <w14:solidFill>
              <w14:schemeClr w14:val="tx1"/>
            </w14:solidFill>
          </w14:textFill>
        </w:rPr>
        <w:t>、建设项目分类管理名录</w:t>
      </w: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14:textFill>
            <w14:solidFill>
              <w14:schemeClr w14:val="tx1"/>
            </w14:solidFill>
          </w14:textFill>
        </w:rPr>
        <w:t>1</w:t>
      </w:r>
      <w:r>
        <w:rPr>
          <w:rFonts w:hint="eastAsia" w:ascii="仿宋_GB2312" w:eastAsia="仿宋_GB2312"/>
          <w:color w:val="000000" w:themeColor="text1"/>
          <w:sz w:val="28"/>
          <w:szCs w:val="28"/>
          <w:lang w:val="en-US" w:eastAsia="zh-CN"/>
          <w14:textFill>
            <w14:solidFill>
              <w14:schemeClr w14:val="tx1"/>
            </w14:solidFill>
          </w14:textFill>
        </w:rPr>
        <w:t>4</w:t>
      </w:r>
    </w:p>
    <w:p>
      <w:pPr>
        <w:widowControl/>
        <w:tabs>
          <w:tab w:val="decimal" w:leader="dot" w:pos="5760"/>
        </w:tabs>
        <w:spacing w:line="600" w:lineRule="exact"/>
        <w:outlineLvl w:val="0"/>
        <w:rPr>
          <w:rFonts w:hint="default"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eastAsia="zh-CN"/>
          <w14:textFill>
            <w14:solidFill>
              <w14:schemeClr w14:val="tx1"/>
            </w14:solidFill>
          </w14:textFill>
        </w:rPr>
        <w:t>六、</w:t>
      </w:r>
      <w:r>
        <w:rPr>
          <w:rFonts w:hint="eastAsia" w:ascii="仿宋_GB2312" w:eastAsia="仿宋_GB2312"/>
          <w:color w:val="000000" w:themeColor="text1"/>
          <w:sz w:val="28"/>
          <w:szCs w:val="28"/>
          <w:lang w:val="en-US" w:eastAsia="zh-CN"/>
          <w14:textFill>
            <w14:solidFill>
              <w14:schemeClr w14:val="tx1"/>
            </w14:solidFill>
          </w14:textFill>
        </w:rPr>
        <w:t>小微企业“三个一”环保服务工作</w:t>
      </w:r>
      <w:r>
        <w:rPr>
          <w:rFonts w:ascii="仿宋_GB2312" w:hAnsi="Times New Roman" w:eastAsia="仿宋_GB2312"/>
          <w:color w:val="000000" w:themeColor="text1"/>
          <w:sz w:val="28"/>
          <w:szCs w:val="28"/>
          <w14:textFill>
            <w14:solidFill>
              <w14:schemeClr w14:val="tx1"/>
            </w14:solidFill>
          </w14:textFill>
        </w:rPr>
        <w:tab/>
      </w:r>
      <w:r>
        <w:rPr>
          <w:rFonts w:hint="default" w:ascii="仿宋_GB2312" w:hAnsi="Times New Roman" w:eastAsia="仿宋_GB2312"/>
          <w:color w:val="000000" w:themeColor="text1"/>
          <w:sz w:val="28"/>
          <w:szCs w:val="28"/>
          <w:lang w:val="en-US" w:eastAsia="zh-CN"/>
          <w14:textFill>
            <w14:solidFill>
              <w14:schemeClr w14:val="tx1"/>
            </w14:solidFill>
          </w14:textFill>
        </w:rPr>
        <w:t>76</w:t>
      </w:r>
    </w:p>
    <w:p>
      <w:pPr>
        <w:widowControl/>
        <w:tabs>
          <w:tab w:val="decimal" w:leader="dot" w:pos="5760"/>
        </w:tabs>
        <w:spacing w:line="600" w:lineRule="exact"/>
        <w:outlineLvl w:val="0"/>
        <w:rPr>
          <w:rFonts w:hint="default"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七、重点项目环评预审制</w:t>
      </w:r>
      <w:r>
        <w:rPr>
          <w:rFonts w:ascii="仿宋_GB2312" w:eastAsia="仿宋_GB2312"/>
          <w:color w:val="000000" w:themeColor="text1"/>
          <w:sz w:val="28"/>
          <w:szCs w:val="28"/>
          <w14:textFill>
            <w14:solidFill>
              <w14:schemeClr w14:val="tx1"/>
            </w14:solidFill>
          </w14:textFill>
        </w:rPr>
        <w:tab/>
      </w:r>
      <w:r>
        <w:rPr>
          <w:rFonts w:hint="default" w:ascii="仿宋_GB2312" w:eastAsia="仿宋_GB2312"/>
          <w:color w:val="000000" w:themeColor="text1"/>
          <w:sz w:val="28"/>
          <w:szCs w:val="28"/>
          <w:lang w:val="en-US" w:eastAsia="zh-CN"/>
          <w14:textFill>
            <w14:solidFill>
              <w14:schemeClr w14:val="tx1"/>
            </w14:solidFill>
          </w14:textFill>
        </w:rPr>
        <w:t>78</w:t>
      </w:r>
    </w:p>
    <w:p>
      <w:pPr>
        <w:widowControl/>
        <w:tabs>
          <w:tab w:val="decimal" w:leader="dot" w:pos="5760"/>
        </w:tabs>
        <w:spacing w:line="600" w:lineRule="exact"/>
        <w:ind w:left="560" w:hanging="560" w:hangingChars="200"/>
        <w:outlineLvl w:val="0"/>
        <w:rPr>
          <w:rFonts w:hint="default"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八、攀枝花市建设项目环境影响报告表承诺制审批</w:t>
      </w:r>
      <w:r>
        <w:rPr>
          <w:rFonts w:ascii="仿宋_GB2312" w:eastAsia="仿宋_GB2312"/>
          <w:color w:val="000000" w:themeColor="text1"/>
          <w:sz w:val="28"/>
          <w:szCs w:val="28"/>
          <w14:textFill>
            <w14:solidFill>
              <w14:schemeClr w14:val="tx1"/>
            </w14:solidFill>
          </w14:textFill>
        </w:rPr>
        <w:tab/>
      </w:r>
      <w:r>
        <w:rPr>
          <w:rFonts w:hint="default" w:ascii="仿宋_GB2312" w:eastAsia="仿宋_GB2312"/>
          <w:color w:val="000000" w:themeColor="text1"/>
          <w:sz w:val="28"/>
          <w:szCs w:val="28"/>
          <w:lang w:val="en-US" w:eastAsia="zh-CN"/>
          <w14:textFill>
            <w14:solidFill>
              <w14:schemeClr w14:val="tx1"/>
            </w14:solidFill>
          </w14:textFill>
        </w:rPr>
        <w:t>79</w:t>
      </w:r>
    </w:p>
    <w:p>
      <w:pPr>
        <w:widowControl/>
        <w:tabs>
          <w:tab w:val="decimal" w:leader="dot" w:pos="5760"/>
        </w:tabs>
        <w:spacing w:line="600" w:lineRule="exact"/>
        <w:outlineLvl w:val="0"/>
        <w:rPr>
          <w:rFonts w:hint="eastAsia"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九、污染影响类建设项目重大变动清单（试行）</w:t>
      </w:r>
    </w:p>
    <w:p>
      <w:pPr>
        <w:widowControl/>
        <w:tabs>
          <w:tab w:val="decimal" w:leader="dot" w:pos="5760"/>
        </w:tabs>
        <w:spacing w:line="600" w:lineRule="exact"/>
        <w:ind w:firstLine="560" w:firstLineChars="200"/>
        <w:outlineLvl w:val="0"/>
        <w:rPr>
          <w:rFonts w:hint="default" w:ascii="仿宋_GB2312" w:eastAsia="仿宋_GB2312"/>
          <w:color w:val="000000" w:themeColor="text1"/>
          <w:sz w:val="28"/>
          <w:szCs w:val="28"/>
          <w:lang w:val="en-US" w:eastAsia="zh-CN"/>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lang w:val="en-US" w:eastAsia="zh-CN"/>
          <w14:textFill>
            <w14:solidFill>
              <w14:schemeClr w14:val="tx1"/>
            </w14:solidFill>
          </w14:textFill>
        </w:rPr>
        <w:t>8</w:t>
      </w:r>
      <w:r>
        <w:rPr>
          <w:rFonts w:hint="default" w:ascii="仿宋_GB2312" w:eastAsia="仿宋_GB2312"/>
          <w:color w:val="000000" w:themeColor="text1"/>
          <w:sz w:val="28"/>
          <w:szCs w:val="28"/>
          <w:lang w:val="en-US" w:eastAsia="zh-CN"/>
          <w14:textFill>
            <w14:solidFill>
              <w14:schemeClr w14:val="tx1"/>
            </w14:solidFill>
          </w14:textFill>
        </w:rPr>
        <w:t>2</w:t>
      </w:r>
    </w:p>
    <w:p>
      <w:pPr>
        <w:widowControl/>
        <w:tabs>
          <w:tab w:val="decimal" w:leader="dot" w:pos="5760"/>
        </w:tabs>
        <w:outlineLvl w:val="0"/>
        <w:rPr>
          <w:rFonts w:hint="eastAsia"/>
          <w:color w:val="000000" w:themeColor="text1"/>
          <w:lang w:eastAsia="zh-CN"/>
          <w14:textFill>
            <w14:solidFill>
              <w14:schemeClr w14:val="tx1"/>
            </w14:solidFill>
          </w14:textFill>
        </w:rPr>
      </w:pPr>
    </w:p>
    <w:p>
      <w:pPr>
        <w:widowControl/>
        <w:tabs>
          <w:tab w:val="decimal" w:leader="dot" w:pos="5760"/>
        </w:tabs>
        <w:ind w:firstLine="600" w:firstLineChars="200"/>
        <w:outlineLvl w:val="0"/>
        <w:rPr>
          <w:rFonts w:ascii="Times New Roman" w:hAnsi="Times New Roman" w:eastAsia="黑体"/>
          <w:color w:val="000000" w:themeColor="text1"/>
          <w:sz w:val="30"/>
          <w:szCs w:val="30"/>
          <w14:textFill>
            <w14:solidFill>
              <w14:schemeClr w14:val="tx1"/>
            </w14:solidFill>
          </w14:textFill>
        </w:rPr>
      </w:pPr>
    </w:p>
    <w:p>
      <w:pPr>
        <w:widowControl/>
        <w:tabs>
          <w:tab w:val="decimal" w:leader="dot" w:pos="5760"/>
        </w:tabs>
        <w:ind w:firstLine="600" w:firstLineChars="200"/>
        <w:outlineLvl w:val="0"/>
        <w:rPr>
          <w:rFonts w:ascii="Times New Roman" w:hAnsi="Times New Roman" w:eastAsia="黑体"/>
          <w:color w:val="000000" w:themeColor="text1"/>
          <w:sz w:val="30"/>
          <w:szCs w:val="30"/>
          <w14:textFill>
            <w14:solidFill>
              <w14:schemeClr w14:val="tx1"/>
            </w14:solidFill>
          </w14:textFill>
        </w:rPr>
        <w:sectPr>
          <w:footerReference r:id="rId3" w:type="even"/>
          <w:pgSz w:w="8392" w:h="11907"/>
          <w:pgMar w:top="1247" w:right="1247" w:bottom="1418" w:left="1247" w:header="851" w:footer="992" w:gutter="0"/>
          <w:pgNumType w:start="1"/>
          <w:cols w:space="720" w:num="1"/>
          <w:docGrid w:linePitch="312" w:charSpace="0"/>
        </w:sectPr>
      </w:pPr>
      <w:r>
        <w:rPr>
          <w:rFonts w:ascii="Times New Roman" w:hAnsi="Times New Roman" w:eastAsia="黑体"/>
          <w:color w:val="000000" w:themeColor="text1"/>
          <w:sz w:val="30"/>
          <w:szCs w:val="30"/>
          <w14:textFill>
            <w14:solidFill>
              <w14:schemeClr w14:val="tx1"/>
            </w14:solidFill>
          </w14:textFill>
        </w:rPr>
        <w:br w:type="page"/>
      </w:r>
    </w:p>
    <w:p>
      <w:pPr>
        <w:widowControl/>
        <w:outlineLvl w:val="0"/>
        <w:rPr>
          <w:rFonts w:ascii="方正黑体_GBK" w:hAnsi="Times New Roman" w:eastAsia="方正黑体_GBK"/>
          <w:color w:val="000000" w:themeColor="text1"/>
          <w:sz w:val="30"/>
          <w:szCs w:val="30"/>
          <w14:textFill>
            <w14:solidFill>
              <w14:schemeClr w14:val="tx1"/>
            </w14:solidFill>
          </w14:textFill>
        </w:rPr>
      </w:pPr>
      <w:r>
        <w:rPr>
          <w:rFonts w:hint="eastAsia" w:ascii="方正黑体_GBK" w:hAnsi="Times New Roman" w:eastAsia="方正黑体_GBK"/>
          <w:color w:val="000000" w:themeColor="text1"/>
          <w:sz w:val="30"/>
          <w:szCs w:val="30"/>
          <w14:textFill>
            <w14:solidFill>
              <w14:schemeClr w14:val="tx1"/>
            </w14:solidFill>
          </w14:textFill>
        </w:rPr>
        <w:t>一、建设项目环评审批手续办理流程</w:t>
      </w:r>
      <w:bookmarkEnd w:id="0"/>
    </w:p>
    <w:p>
      <w:pPr>
        <w:keepNext w:val="0"/>
        <w:keepLines w:val="0"/>
        <w:pageBreakBefore w:val="0"/>
        <w:widowControl w:val="0"/>
        <w:kinsoku/>
        <w:wordWrap/>
        <w:overflowPunct/>
        <w:topLinePunct w:val="0"/>
        <w:autoSpaceDE/>
        <w:autoSpaceDN/>
        <w:bidi w:val="0"/>
        <w:adjustRightInd/>
        <w:snapToGrid/>
        <w:spacing w:after="313" w:afterLines="100"/>
        <w:textAlignment w:val="auto"/>
        <w:outlineLvl w:val="1"/>
        <w:rPr>
          <w:rFonts w:ascii="楷体" w:hAnsi="楷体" w:eastAsia="楷体"/>
          <w:b/>
          <w:color w:val="000000" w:themeColor="text1"/>
          <w:sz w:val="28"/>
          <w:szCs w:val="28"/>
          <w14:textFill>
            <w14:solidFill>
              <w14:schemeClr w14:val="tx1"/>
            </w14:solidFill>
          </w14:textFill>
        </w:rPr>
      </w:pPr>
      <w:bookmarkStart w:id="3" w:name="_Toc17829"/>
      <w:r>
        <w:rPr>
          <w:rFonts w:hint="eastAsia" w:ascii="楷体" w:hAnsi="楷体" w:eastAsia="楷体"/>
          <w:b/>
          <w:color w:val="000000" w:themeColor="text1"/>
          <w:sz w:val="28"/>
          <w:szCs w:val="28"/>
          <w14:textFill>
            <w14:solidFill>
              <w14:schemeClr w14:val="tx1"/>
            </w14:solidFill>
          </w14:textFill>
        </w:rPr>
        <w:t>（一）报告书、表审批手续办理流程</w:t>
      </w:r>
      <w:bookmarkEnd w:id="3"/>
    </w:p>
    <w:p>
      <w:pPr>
        <w:ind w:left="0" w:leftChars="-200" w:hanging="420" w:hanging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6433820" cy="2995930"/>
            <wp:effectExtent l="0" t="0" r="5080" b="13970"/>
            <wp:docPr id="4" name="图片 4" descr="未命名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未命名 -2"/>
                    <pic:cNvPicPr>
                      <a:picLocks noChangeAspect="true"/>
                    </pic:cNvPicPr>
                  </pic:nvPicPr>
                  <pic:blipFill>
                    <a:blip r:embed="rId6"/>
                    <a:srcRect t="18050"/>
                    <a:stretch>
                      <a:fillRect/>
                    </a:stretch>
                  </pic:blipFill>
                  <pic:spPr>
                    <a:xfrm>
                      <a:off x="0" y="0"/>
                      <a:ext cx="6433820" cy="2995930"/>
                    </a:xfrm>
                    <a:prstGeom prst="rect">
                      <a:avLst/>
                    </a:prstGeom>
                  </pic:spPr>
                </pic:pic>
              </a:graphicData>
            </a:graphic>
          </wp:inline>
        </w:drawing>
      </w:r>
      <w:r>
        <w:rPr>
          <w:rFonts w:hint="eastAsia"/>
          <w:color w:val="000000" w:themeColor="text1"/>
          <w14:textFill>
            <w14:solidFill>
              <w14:schemeClr w14:val="tx1"/>
            </w14:solidFill>
          </w14:textFill>
        </w:rPr>
        <w:br w:type="page"/>
      </w:r>
    </w:p>
    <w:p>
      <w:pPr>
        <w:pStyle w:val="26"/>
        <w:spacing w:line="500" w:lineRule="exact"/>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（二）登记表备案办理流程</w:t>
      </w:r>
      <w:bookmarkEnd w:id="1"/>
    </w:p>
    <w:p>
      <w:pPr>
        <w:pStyle w:val="27"/>
        <w:ind w:left="719" w:leftChars="228" w:hanging="240" w:hanging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1.登录市生态环境局官网</w:t>
      </w:r>
      <w:r>
        <w:rPr>
          <w:rFonts w:hint="eastAsia"/>
          <w:color w:val="000000" w:themeColor="text1"/>
          <w:lang w:eastAsia="zh-CN"/>
          <w14:textFill>
            <w14:solidFill>
              <w14:schemeClr w14:val="tx1"/>
            </w14:solidFill>
          </w14:textFill>
        </w:rPr>
        <w:t>点击</w:t>
      </w:r>
      <w:r>
        <w:rPr>
          <w:rFonts w:hint="eastAsia"/>
          <w:color w:val="000000" w:themeColor="text1"/>
          <w14:textFill>
            <w14:solidFill>
              <w14:schemeClr w14:val="tx1"/>
            </w14:solidFill>
          </w14:textFill>
        </w:rPr>
        <w:t>“建设项目环境影响登记表备案系统”</w:t>
      </w:r>
      <w:r>
        <w:rPr>
          <w:rFonts w:hint="eastAsia"/>
          <w:color w:val="000000" w:themeColor="text1"/>
          <w:lang w:eastAsia="zh-CN"/>
          <w14:textFill>
            <w14:solidFill>
              <w14:schemeClr w14:val="tx1"/>
            </w14:solidFill>
          </w14:textFill>
        </w:rPr>
        <w:t>，转入四川政务服务网选择“</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"http://www.sczwfw.gov.cn/jiq/front/transition/ywTransToDetail?areaCode=510400000000&amp;itemCode=511Z16015001-510400000000-000-11510300MB16657685-1-00&amp;taskType=10&amp;deptCode=11510300008320914A" \t "/home/user/Documents\\x/_blank"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14:textFill>
            <w14:solidFill>
              <w14:schemeClr w14:val="tx1"/>
            </w14:solidFill>
          </w14:textFill>
        </w:rPr>
        <w:t>环境影响登记表备案</w:t>
      </w:r>
      <w:r>
        <w:rPr>
          <w:rFonts w:hint="default"/>
          <w:color w:val="000000" w:themeColor="text1"/>
          <w:lang w:val="en-US" w:eastAsia="zh-CN"/>
          <w14:textFill>
            <w14:solidFill>
              <w14:schemeClr w14:val="tx1"/>
            </w14:solidFill>
          </w14:textFill>
        </w:rPr>
        <w:fldChar w:fldCharType="end"/>
      </w:r>
      <w:r>
        <w:rPr>
          <w:rFonts w:hint="eastAsia"/>
          <w:color w:val="000000" w:themeColor="text1"/>
          <w:lang w:eastAsia="zh-CN"/>
          <w14:textFill>
            <w14:solidFill>
              <w14:schemeClr w14:val="tx1"/>
            </w14:solidFill>
          </w14:textFill>
        </w:rPr>
        <w:t>”进行</w:t>
      </w:r>
      <w:r>
        <w:rPr>
          <w:rFonts w:hint="eastAsia"/>
          <w:color w:val="000000" w:themeColor="text1"/>
          <w14:textFill>
            <w14:solidFill>
              <w14:schemeClr w14:val="tx1"/>
            </w14:solidFill>
          </w14:textFill>
        </w:rPr>
        <w:t>在线</w:t>
      </w:r>
      <w:r>
        <w:rPr>
          <w:rFonts w:hint="eastAsia"/>
          <w:color w:val="000000" w:themeColor="text1"/>
          <w:lang w:eastAsia="zh-CN"/>
          <w14:textFill>
            <w14:solidFill>
              <w14:schemeClr w14:val="tx1"/>
            </w14:solidFill>
          </w14:textFill>
        </w:rPr>
        <w:t>申请</w:t>
      </w:r>
      <w:r>
        <w:rPr>
          <w:rFonts w:hint="eastAsia"/>
          <w:color w:val="000000" w:themeColor="text1"/>
          <w14:textFill>
            <w14:solidFill>
              <w14:schemeClr w14:val="tx1"/>
            </w14:solidFill>
          </w14:textFill>
        </w:rPr>
        <w:t>；</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.填报单位进行</w:t>
      </w:r>
      <w:r>
        <w:rPr>
          <w:rFonts w:hint="eastAsia"/>
          <w:color w:val="000000" w:themeColor="text1"/>
          <w:lang w:eastAsia="zh-CN"/>
          <w14:textFill>
            <w14:solidFill>
              <w14:schemeClr w14:val="tx1"/>
            </w14:solidFill>
          </w14:textFill>
        </w:rPr>
        <w:t>法人</w:t>
      </w:r>
      <w:r>
        <w:rPr>
          <w:rFonts w:hint="eastAsia"/>
          <w:color w:val="000000" w:themeColor="text1"/>
          <w14:textFill>
            <w14:solidFill>
              <w14:schemeClr w14:val="tx1"/>
            </w14:solidFill>
          </w14:textFill>
        </w:rPr>
        <w:t>注册，登录系统填报；</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.按照要求填报项目的基本情况及环境影响的相关内容；</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.填报提交，填报单位负责人签字，生成备案号。</w:t>
      </w: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sectPr>
          <w:footerReference r:id="rId4" w:type="default"/>
          <w:pgSz w:w="11907" w:h="8392" w:orient="landscape"/>
          <w:pgMar w:top="1247" w:right="1247" w:bottom="1247" w:left="1418" w:header="851" w:footer="992" w:gutter="0"/>
          <w:pgNumType w:start="1"/>
          <w:cols w:space="720" w:num="1"/>
          <w:docGrid w:linePitch="312" w:charSpace="0"/>
        </w:sectPr>
      </w:pPr>
    </w:p>
    <w:p>
      <w:pPr>
        <w:pStyle w:val="25"/>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drawing>
          <wp:inline distT="0" distB="0" distL="114300" distR="114300">
            <wp:extent cx="3858260" cy="5788025"/>
            <wp:effectExtent l="0" t="0" r="8890" b="3175"/>
            <wp:docPr id="8" name="图片 8" descr="未命名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未命名 -3"/>
                    <pic:cNvPicPr>
                      <a:picLocks noChangeAspect="true"/>
                    </pic:cNvPicPr>
                  </pic:nvPicPr>
                  <pic:blipFill>
                    <a:blip r:embed="rId7"/>
                    <a:srcRect r="8335" b="2707"/>
                    <a:stretch>
                      <a:fillRect/>
                    </a:stretch>
                  </pic:blipFill>
                  <pic:spPr>
                    <a:xfrm>
                      <a:off x="0" y="0"/>
                      <a:ext cx="3858260" cy="5788025"/>
                    </a:xfrm>
                    <a:prstGeom prst="rect">
                      <a:avLst/>
                    </a:prstGeom>
                  </pic:spPr>
                </pic:pic>
              </a:graphicData>
            </a:graphic>
          </wp:inline>
        </w:drawing>
      </w:r>
      <w:r>
        <w:rPr>
          <w:rFonts w:hint="default"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t>二、生态环境部门咨询联系方式</w:t>
      </w:r>
    </w:p>
    <w:p>
      <w:pPr>
        <w:pStyle w:val="26"/>
        <w:keepNext w:val="0"/>
        <w:keepLines w:val="0"/>
        <w:pageBreakBefore w:val="0"/>
        <w:kinsoku/>
        <w:wordWrap/>
        <w:overflowPunct/>
        <w:topLinePunct w:val="0"/>
        <w:autoSpaceDE/>
        <w:autoSpaceDN/>
        <w:bidi w:val="0"/>
        <w:adjustRightInd/>
        <w:snapToGrid/>
        <w:spacing w:line="380" w:lineRule="exact"/>
        <w:ind w:firstLine="562"/>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（一）市生态环境局</w:t>
      </w:r>
      <w:r>
        <w:rPr>
          <w:rFonts w:hint="default" w:ascii="Times New Roman" w:hAnsi="Times New Roman" w:cs="Times New Roman"/>
          <w:color w:val="000000" w:themeColor="text1"/>
          <w:lang w:eastAsia="zh-CN"/>
          <w14:textFill>
            <w14:solidFill>
              <w14:schemeClr w14:val="tx1"/>
            </w14:solidFill>
          </w14:textFill>
        </w:rPr>
        <w:t>行政审批</w:t>
      </w:r>
      <w:r>
        <w:rPr>
          <w:rFonts w:hint="default" w:ascii="Times New Roman" w:hAnsi="Times New Roman" w:cs="Times New Roman"/>
          <w:color w:val="000000" w:themeColor="text1"/>
          <w14:textFill>
            <w14:solidFill>
              <w14:schemeClr w14:val="tx1"/>
            </w14:solidFill>
          </w14:textFill>
        </w:rPr>
        <w:t>科</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东区项目联系人：王希</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西区项目联系人：陈麒伊</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仁和区项目联系人：吕鹏</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钒钛高新区</w:t>
      </w:r>
      <w:r>
        <w:rPr>
          <w:rFonts w:hint="eastAsia" w:ascii="Times New Roman" w:hAnsi="Times New Roman" w:cs="Times New Roman"/>
          <w:color w:val="000000" w:themeColor="text1"/>
          <w:lang w:eastAsia="zh-CN"/>
          <w14:textFill>
            <w14:solidFill>
              <w14:schemeClr w14:val="tx1"/>
            </w14:solidFill>
          </w14:textFill>
        </w:rPr>
        <w:t>项目联系人：黄骏攀</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米易项目联系人：孙雪倩</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盐边项目联系人：余美</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联系电话：0812-3318159</w:t>
      </w:r>
    </w:p>
    <w:p>
      <w:pPr>
        <w:pStyle w:val="26"/>
        <w:keepNext w:val="0"/>
        <w:keepLines w:val="0"/>
        <w:pageBreakBefore w:val="0"/>
        <w:kinsoku/>
        <w:wordWrap/>
        <w:overflowPunct/>
        <w:topLinePunct w:val="0"/>
        <w:autoSpaceDE/>
        <w:autoSpaceDN/>
        <w:bidi w:val="0"/>
        <w:adjustRightInd/>
        <w:snapToGrid/>
        <w:spacing w:line="380" w:lineRule="exact"/>
        <w:ind w:left="1402" w:leftChars="266" w:hanging="843" w:hangingChars="3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（二）县区、钒钛高新区</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部门环评管理部门</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1.东区</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局</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w:t>
      </w:r>
      <w:r>
        <w:rPr>
          <w:rFonts w:hint="eastAsia" w:ascii="Times New Roman" w:hAnsi="Times New Roman" w:cs="Times New Roman"/>
          <w:color w:val="000000" w:themeColor="text1"/>
          <w:szCs w:val="32"/>
          <w:lang w:eastAsia="zh-CN"/>
          <w14:textFill>
            <w14:solidFill>
              <w14:schemeClr w14:val="tx1"/>
            </w14:solidFill>
          </w14:textFill>
        </w:rPr>
        <w:t>赵晨</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w:t>
      </w:r>
      <w:r>
        <w:rPr>
          <w:rFonts w:hint="eastAsia" w:ascii="Times New Roman" w:hAnsi="Times New Roman" w:cs="Times New Roman"/>
          <w:color w:val="000000" w:themeColor="text1"/>
          <w:szCs w:val="32"/>
          <w:highlight w:val="none"/>
          <w:lang w:val="en-US" w:eastAsia="zh-CN"/>
          <w14:textFill>
            <w14:solidFill>
              <w14:schemeClr w14:val="tx1"/>
            </w14:solidFill>
          </w14:textFill>
        </w:rPr>
        <w:t>18782319055</w:t>
      </w:r>
    </w:p>
    <w:p>
      <w:pPr>
        <w:pStyle w:val="27"/>
        <w:keepNext w:val="0"/>
        <w:keepLines w:val="0"/>
        <w:pageBreakBefore w:val="0"/>
        <w:numPr>
          <w:ilvl w:val="0"/>
          <w:numId w:val="0"/>
        </w:numPr>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lang w:val="en-US"/>
          <w14:textFill>
            <w14:solidFill>
              <w14:schemeClr w14:val="tx1"/>
            </w14:solidFill>
          </w14:textFill>
        </w:rPr>
        <w:t>2.</w:t>
      </w:r>
      <w:r>
        <w:rPr>
          <w:rFonts w:hint="default" w:ascii="Times New Roman" w:hAnsi="Times New Roman" w:cs="Times New Roman"/>
          <w:color w:val="000000" w:themeColor="text1"/>
          <w:szCs w:val="32"/>
          <w14:textFill>
            <w14:solidFill>
              <w14:schemeClr w14:val="tx1"/>
            </w14:solidFill>
          </w14:textFill>
        </w:rPr>
        <w:t>西区</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局</w:t>
      </w:r>
    </w:p>
    <w:p>
      <w:pPr>
        <w:pStyle w:val="27"/>
        <w:keepNext w:val="0"/>
        <w:keepLines w:val="0"/>
        <w:pageBreakBefore w:val="0"/>
        <w:numPr>
          <w:ilvl w:val="0"/>
          <w:numId w:val="0"/>
        </w:numPr>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w:t>
      </w:r>
      <w:r>
        <w:rPr>
          <w:rFonts w:hint="eastAsia" w:ascii="Times New Roman" w:hAnsi="Times New Roman" w:cs="Times New Roman"/>
          <w:color w:val="000000" w:themeColor="text1"/>
          <w:szCs w:val="32"/>
          <w:lang w:eastAsia="zh-CN"/>
          <w14:textFill>
            <w14:solidFill>
              <w14:schemeClr w14:val="tx1"/>
            </w14:solidFill>
          </w14:textFill>
        </w:rPr>
        <w:t>夏朝阳</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w:t>
      </w:r>
      <w:r>
        <w:rPr>
          <w:rFonts w:hint="eastAsia" w:ascii="Times New Roman" w:hAnsi="Times New Roman" w:cs="Times New Roman"/>
          <w:color w:val="000000" w:themeColor="text1"/>
          <w:szCs w:val="32"/>
          <w:lang w:val="en-US" w:eastAsia="zh-CN"/>
          <w14:textFill>
            <w14:solidFill>
              <w14:schemeClr w14:val="tx1"/>
            </w14:solidFill>
          </w14:textFill>
        </w:rPr>
        <w:t>13550910721</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3.仁和</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局</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w:t>
      </w:r>
      <w:r>
        <w:rPr>
          <w:rFonts w:hint="eastAsia" w:ascii="Times New Roman" w:hAnsi="Times New Roman" w:cs="Times New Roman"/>
          <w:color w:val="000000" w:themeColor="text1"/>
          <w:szCs w:val="32"/>
          <w:lang w:eastAsia="zh-CN"/>
          <w14:textFill>
            <w14:solidFill>
              <w14:schemeClr w14:val="tx1"/>
            </w14:solidFill>
          </w14:textFill>
        </w:rPr>
        <w:t>骆兴</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w:t>
      </w:r>
      <w:r>
        <w:rPr>
          <w:rFonts w:hint="eastAsia" w:ascii="Times New Roman" w:hAnsi="Times New Roman" w:cs="Times New Roman"/>
          <w:color w:val="000000" w:themeColor="text1"/>
          <w:szCs w:val="32"/>
          <w:lang w:val="en-US" w:eastAsia="zh-CN"/>
          <w14:textFill>
            <w14:solidFill>
              <w14:schemeClr w14:val="tx1"/>
            </w14:solidFill>
          </w14:textFill>
        </w:rPr>
        <w:t>15969374871</w:t>
      </w:r>
      <w:bookmarkStart w:id="9" w:name="_GoBack"/>
      <w:bookmarkEnd w:id="9"/>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4.米易</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局</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联系人：李昌培</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w:t>
      </w:r>
      <w:r>
        <w:rPr>
          <w:rFonts w:hint="eastAsia" w:ascii="Times New Roman" w:hAnsi="Times New Roman" w:cs="Times New Roman"/>
          <w:color w:val="000000" w:themeColor="text1"/>
          <w:szCs w:val="32"/>
          <w:lang w:val="en-US" w:eastAsia="zh-CN"/>
          <w14:textFill>
            <w14:solidFill>
              <w14:schemeClr w14:val="tx1"/>
            </w14:solidFill>
          </w14:textFill>
        </w:rPr>
        <w:t>13518414808</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5.盐边</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局</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w:t>
      </w:r>
      <w:r>
        <w:rPr>
          <w:rFonts w:hint="default" w:ascii="Times New Roman" w:hAnsi="Times New Roman" w:cs="Times New Roman"/>
          <w:color w:val="000000" w:themeColor="text1"/>
          <w:szCs w:val="32"/>
          <w:lang w:eastAsia="zh-CN"/>
          <w14:textFill>
            <w14:solidFill>
              <w14:schemeClr w14:val="tx1"/>
            </w14:solidFill>
          </w14:textFill>
        </w:rPr>
        <w:t>刘露云</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联系电话：0812-3969447</w:t>
      </w:r>
    </w:p>
    <w:p>
      <w:pPr>
        <w:pStyle w:val="27"/>
        <w:keepNext w:val="0"/>
        <w:keepLines w:val="0"/>
        <w:pageBreakBefore w:val="0"/>
        <w:numPr>
          <w:ilvl w:val="0"/>
          <w:numId w:val="0"/>
        </w:numPr>
        <w:kinsoku/>
        <w:wordWrap/>
        <w:overflowPunct/>
        <w:topLinePunct w:val="0"/>
        <w:autoSpaceDE/>
        <w:autoSpaceDN/>
        <w:bidi w:val="0"/>
        <w:adjustRightInd/>
        <w:snapToGrid/>
        <w:spacing w:line="380" w:lineRule="exact"/>
        <w:ind w:left="1676" w:leftChars="684" w:hanging="240" w:hangingChars="1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lang w:val="en-US" w:eastAsia="zh-CN"/>
          <w14:textFill>
            <w14:solidFill>
              <w14:schemeClr w14:val="tx1"/>
            </w14:solidFill>
          </w14:textFill>
        </w:rPr>
        <w:t>6.</w:t>
      </w:r>
      <w:r>
        <w:rPr>
          <w:rFonts w:hint="default" w:ascii="Times New Roman" w:hAnsi="Times New Roman" w:cs="Times New Roman"/>
          <w:color w:val="000000" w:themeColor="text1"/>
          <w:szCs w:val="32"/>
          <w14:textFill>
            <w14:solidFill>
              <w14:schemeClr w14:val="tx1"/>
            </w14:solidFill>
          </w14:textFill>
        </w:rPr>
        <w:t>攀枝花钒钛高新区生态环境和综合行政执法局</w:t>
      </w:r>
    </w:p>
    <w:p>
      <w:pPr>
        <w:pStyle w:val="27"/>
        <w:keepNext w:val="0"/>
        <w:keepLines w:val="0"/>
        <w:pageBreakBefore w:val="0"/>
        <w:numPr>
          <w:ilvl w:val="0"/>
          <w:numId w:val="0"/>
        </w:numPr>
        <w:kinsoku/>
        <w:wordWrap/>
        <w:overflowPunct/>
        <w:topLinePunct w:val="0"/>
        <w:autoSpaceDE/>
        <w:autoSpaceDN/>
        <w:bidi w:val="0"/>
        <w:adjustRightInd/>
        <w:snapToGrid/>
        <w:spacing w:line="380" w:lineRule="exact"/>
        <w:ind w:leftChars="228" w:firstLine="960" w:firstLineChars="400"/>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联系人：蔡文昊</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联系电话：0812-6</w:t>
      </w:r>
      <w:r>
        <w:rPr>
          <w:rFonts w:hint="default" w:ascii="Times New Roman" w:hAnsi="Times New Roman" w:cs="Times New Roman"/>
          <w:color w:val="000000" w:themeColor="text1"/>
          <w:szCs w:val="32"/>
          <w:lang w:val="en-US" w:eastAsia="zh-CN"/>
          <w14:textFill>
            <w14:solidFill>
              <w14:schemeClr w14:val="tx1"/>
            </w14:solidFill>
          </w14:textFill>
        </w:rPr>
        <w:t>866168</w:t>
      </w:r>
    </w:p>
    <w:p>
      <w:pPr>
        <w:pStyle w:val="25"/>
        <w:keepNext w:val="0"/>
        <w:keepLines w:val="0"/>
        <w:pageBreakBefore w:val="0"/>
        <w:kinsoku/>
        <w:wordWrap/>
        <w:overflowPunct/>
        <w:topLinePunct w:val="0"/>
        <w:autoSpaceDE/>
        <w:autoSpaceDN/>
        <w:bidi w:val="0"/>
        <w:adjustRightInd/>
        <w:snapToGrid/>
        <w:spacing w:line="380" w:lineRule="exact"/>
        <w:textAlignment w:val="auto"/>
        <w:rPr>
          <w:rFonts w:hint="eastAsia"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pPr>
      <w:r>
        <w:rPr>
          <w:rFonts w:hint="eastAsia"/>
          <w:color w:val="000000" w:themeColor="text1"/>
          <w14:textFill>
            <w14:solidFill>
              <w14:schemeClr w14:val="tx1"/>
            </w14:solidFill>
          </w14:textFill>
        </w:rPr>
        <w:br w:type="page"/>
      </w:r>
      <w:r>
        <w:rPr>
          <w:rFonts w:hint="eastAsia"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t>三、哪些项目不用办理环评审批手续</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000000" w:themeColor="text1"/>
          <w:kern w:val="2"/>
          <w:sz w:val="24"/>
          <w:szCs w:val="32"/>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32"/>
          <w:lang w:val="en-US" w:eastAsia="zh-CN" w:bidi="ar-SA"/>
          <w14:textFill>
            <w14:solidFill>
              <w14:schemeClr w14:val="tx1"/>
            </w14:solidFill>
          </w14:textFill>
        </w:rPr>
        <w:t xml:space="preserve">   </w:t>
      </w:r>
      <w:r>
        <w:rPr>
          <w:rFonts w:hint="eastAsia" w:ascii="仿宋_GB2312" w:hAnsi="仿宋_GB2312" w:eastAsia="仿宋_GB2312" w:cs="仿宋_GB2312"/>
          <w:color w:val="000000" w:themeColor="text1"/>
          <w:kern w:val="2"/>
          <w:sz w:val="24"/>
          <w:szCs w:val="32"/>
          <w:lang w:val="en-US" w:eastAsia="zh-CN" w:bidi="ar-SA"/>
          <w14:textFill>
            <w14:solidFill>
              <w14:schemeClr w14:val="tx1"/>
            </w14:solidFill>
          </w14:textFill>
        </w:rPr>
        <w:t xml:space="preserve"> 根据《建设项目环境影响评价分类管理名录（2021年版）》第五条“本名录未作规定的建设项目，不纳入建设项目环境影响评价管理；省级生态环境主管部门对本名录未作规定的建设项目，认为确有必要纳入建设项目环境影响评价管理的，可以根据建设项目的污染因子、生态影响因子特征及其所处环境的敏感性质和敏感程度等，提出环境影响评价分类管理的建议，报生态环境部认定后实施。”规定，不在《建设项目环境影响评价分类管理名录（2021年版）》内的，不纳入管理。</w:t>
      </w:r>
    </w:p>
    <w:p>
      <w:pPr>
        <w:jc w:val="center"/>
        <w:rPr>
          <w:rFonts w:ascii="仿宋_GB2312" w:eastAsia="仿宋_GB2312"/>
          <w:b/>
          <w:color w:val="000000" w:themeColor="text1"/>
          <w:sz w:val="24"/>
          <w14:textFill>
            <w14:solidFill>
              <w14:schemeClr w14:val="tx1"/>
            </w14:solidFill>
          </w14:textFill>
        </w:rPr>
      </w:pPr>
    </w:p>
    <w:p>
      <w:pPr>
        <w:pStyle w:val="25"/>
        <w:rPr>
          <w:rFonts w:hint="eastAsia"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pPr>
      <w:r>
        <w:rPr>
          <w:rFonts w:hint="eastAsia"/>
          <w:color w:val="000000" w:themeColor="text1"/>
          <w14:textFill>
            <w14:solidFill>
              <w14:schemeClr w14:val="tx1"/>
            </w14:solidFill>
          </w14:textFill>
        </w:rPr>
        <w:br w:type="page"/>
      </w:r>
      <w:r>
        <w:rPr>
          <w:rFonts w:hint="eastAsia"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t>四、建设项目分级审批管理规定</w:t>
      </w:r>
      <w:bookmarkEnd w:id="2"/>
    </w:p>
    <w:p>
      <w:pPr>
        <w:pStyle w:val="26"/>
        <w:ind w:firstLine="562"/>
        <w:rPr>
          <w:color w:val="000000" w:themeColor="text1"/>
          <w14:textFill>
            <w14:solidFill>
              <w14:schemeClr w14:val="tx1"/>
            </w14:solidFill>
          </w14:textFill>
        </w:rPr>
      </w:pPr>
      <w:bookmarkStart w:id="4" w:name="_Toc10522"/>
      <w:r>
        <w:rPr>
          <w:rFonts w:hint="eastAsia"/>
          <w:color w:val="000000" w:themeColor="text1"/>
          <w14:textFill>
            <w14:solidFill>
              <w14:schemeClr w14:val="tx1"/>
            </w14:solidFill>
          </w14:textFill>
        </w:rPr>
        <w:t>（一）生态环境部审批建设项目</w:t>
      </w:r>
      <w:bookmarkEnd w:id="4"/>
    </w:p>
    <w:p>
      <w:pPr>
        <w:pStyle w:val="2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"http://www.mep.gov.cn/gkml/hbb/bgg/201503/W020150317552378469245.pdf" \t "_blank" </w:instrText>
      </w:r>
      <w:r>
        <w:rPr>
          <w:color w:val="000000" w:themeColor="text1"/>
          <w14:textFill>
            <w14:solidFill>
              <w14:schemeClr w14:val="tx1"/>
            </w14:solidFill>
          </w14:textFill>
        </w:rPr>
        <w:fldChar w:fldCharType="separate"/>
      </w:r>
      <w:r>
        <w:rPr>
          <w:rFonts w:hint="eastAsia"/>
          <w:color w:val="000000" w:themeColor="text1"/>
          <w:lang w:val="en"/>
          <w14:textFill>
            <w14:solidFill>
              <w14:schemeClr w14:val="tx1"/>
            </w14:solidFill>
          </w14:textFill>
        </w:rPr>
        <w:t>生态环境部审批环境影响评价文件的建设项目目录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年本）</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.水利</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水库：在跨界河流、跨省（区、市）河流上建设的项目。</w:t>
      </w:r>
    </w:p>
    <w:p>
      <w:pPr>
        <w:pStyle w:val="27"/>
        <w:ind w:firstLine="480"/>
        <w:rPr>
          <w:color w:val="000000" w:themeColor="text1"/>
          <w14:textFill>
            <w14:solidFill>
              <w14:schemeClr w14:val="tx1"/>
            </w14:solidFill>
          </w14:textFill>
        </w:rPr>
      </w:pPr>
      <w:r>
        <w:rPr>
          <w:rFonts w:hint="eastAsia"/>
          <w:color w:val="000000" w:themeColor="text1"/>
          <w:lang w:val="en"/>
          <w14:textFill>
            <w14:solidFill>
              <w14:schemeClr w14:val="tx1"/>
            </w14:solidFill>
          </w14:textFill>
        </w:rPr>
        <w:t>其他水事工程：涉及跨界河流、跨省（区、市）水资源配置调整的项目。</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.能源</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水电站：在跨界河流、跨省（区、市）河流上建设的单站总装机容量50万千瓦及以上项目。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核电厂：全部（包括核电厂范围内的有关配套设施，但不包括核电厂控制区范围内新增的不带放射性的实验室、试验装置、维修车间、仓库、办公设施等项目）。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电网工程：跨境、跨省（区、市）（±）500千伏及以上交直流输变电项目。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煤矿：国务院有关部门核准的煤炭开发项目。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输油管网（不含油田集输管网）：跨境、跨省（区、市）干线管网项目。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输气管网（不含油气田集输管网）：跨境、跨省（区、市）干线管网项目。</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.交通运输</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新建（含增建）铁路：跨省（区、市）项目。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煤炭、矿石、油气专用泊位：在沿海（含长江南京及以下）新建年吞吐能力1000万吨及以上项目。</w:t>
      </w:r>
    </w:p>
    <w:p>
      <w:pPr>
        <w:pStyle w:val="27"/>
        <w:ind w:firstLine="480"/>
        <w:rPr>
          <w:color w:val="000000" w:themeColor="text1"/>
          <w14:textFill>
            <w14:solidFill>
              <w14:schemeClr w14:val="tx1"/>
            </w14:solidFill>
          </w14:textFill>
        </w:rPr>
      </w:pPr>
      <w:r>
        <w:rPr>
          <w:rFonts w:hint="eastAsia"/>
          <w:color w:val="000000" w:themeColor="text1"/>
          <w:lang w:val="en"/>
          <w14:textFill>
            <w14:solidFill>
              <w14:schemeClr w14:val="tx1"/>
            </w14:solidFill>
          </w14:textFill>
        </w:rPr>
        <w:t>内河航运：跨省（区、市）高等级航道的千吨级及以上航电枢纽项目。</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.原材料</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石化：新建炼油及扩建一次炼油项目（不包括列入国务院批准的国家能源发展规划、石化产业规划布局方案的扩建项目）。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化工：年产超过20亿立方米的煤制天然气项目；年产超过100万吨的煤制油项目；年产超过100万吨的煤制甲醇项目；年产超过50万吨的煤经甲醇制烯烃项目。</w:t>
      </w:r>
    </w:p>
    <w:p>
      <w:pPr>
        <w:pStyle w:val="2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5.核与辐射</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除核电厂外的核设施：全部（不包括核设施控制区范围内新增的不带放射性的实验室、试验装置、维修车间、仓库、办公设施等项目）。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放射性：铀（钍）矿。</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电磁辐射设施：由国务院或国务院有关部门审批的电磁辐射设施及工程。</w:t>
      </w:r>
    </w:p>
    <w:p>
      <w:pPr>
        <w:pStyle w:val="2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6.海洋</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涉及国家海洋权益、国防安全等特殊性质的海洋工程：全部。</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海洋矿产资源勘探开发及其附属工程：全部（不包括海砂开采项目）。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围填海：50公顷以上的填海工程，100公顷以上的围海工程。</w:t>
      </w:r>
    </w:p>
    <w:p>
      <w:pPr>
        <w:pStyle w:val="27"/>
        <w:ind w:firstLine="480"/>
        <w:rPr>
          <w:color w:val="000000" w:themeColor="text1"/>
          <w:szCs w:val="21"/>
          <w14:textFill>
            <w14:solidFill>
              <w14:schemeClr w14:val="tx1"/>
            </w14:solidFill>
          </w14:textFill>
        </w:rPr>
      </w:pPr>
      <w:r>
        <w:rPr>
          <w:rFonts w:hint="eastAsia"/>
          <w:color w:val="000000" w:themeColor="text1"/>
          <w:lang w:val="en"/>
          <w14:textFill>
            <w14:solidFill>
              <w14:schemeClr w14:val="tx1"/>
            </w14:solidFill>
          </w14:textFill>
        </w:rPr>
        <w:t>海洋能源开发利用：潮汐电站、波浪电站、温差电站等（不包括海上风电项目）。</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.绝密工程</w:t>
      </w:r>
    </w:p>
    <w:p>
      <w:pPr>
        <w:pStyle w:val="2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全部项目。</w:t>
      </w:r>
      <w:bookmarkStart w:id="5" w:name="_Toc7857"/>
    </w:p>
    <w:p>
      <w:pPr>
        <w:pStyle w:val="27"/>
        <w:numPr>
          <w:ilvl w:val="0"/>
          <w:numId w:val="1"/>
        </w:numPr>
        <w:ind w:firstLine="480"/>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其他由国务院或国务院授权有关部门审批的应编制环境影响报告书的项目（不包括不含水库的防洪治涝工程，不含水库的灌区工程，研究和试验发展项目，卫生项目）。</w:t>
      </w:r>
    </w:p>
    <w:p>
      <w:pPr>
        <w:pStyle w:val="27"/>
        <w:widowControl w:val="0"/>
        <w:numPr>
          <w:ilvl w:val="0"/>
          <w:numId w:val="0"/>
        </w:numPr>
        <w:spacing w:line="440" w:lineRule="exact"/>
        <w:jc w:val="both"/>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p>
    <w:p>
      <w:pPr>
        <w:pStyle w:val="27"/>
        <w:widowControl w:val="0"/>
        <w:numPr>
          <w:ilvl w:val="0"/>
          <w:numId w:val="0"/>
        </w:numPr>
        <w:spacing w:line="440" w:lineRule="exact"/>
        <w:jc w:val="both"/>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p>
    <w:p>
      <w:pPr>
        <w:pStyle w:val="27"/>
        <w:widowControl w:val="0"/>
        <w:numPr>
          <w:ilvl w:val="0"/>
          <w:numId w:val="0"/>
        </w:numPr>
        <w:spacing w:line="440" w:lineRule="exact"/>
        <w:jc w:val="both"/>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p>
    <w:p>
      <w:pPr>
        <w:pStyle w:val="27"/>
        <w:widowControl w:val="0"/>
        <w:numPr>
          <w:ilvl w:val="0"/>
          <w:numId w:val="0"/>
        </w:numPr>
        <w:spacing w:line="440" w:lineRule="exact"/>
        <w:jc w:val="both"/>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p>
    <w:p>
      <w:pPr>
        <w:pStyle w:val="27"/>
        <w:widowControl w:val="0"/>
        <w:numPr>
          <w:ilvl w:val="0"/>
          <w:numId w:val="0"/>
        </w:numPr>
        <w:spacing w:line="440" w:lineRule="exact"/>
        <w:jc w:val="both"/>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p>
    <w:p>
      <w:pPr>
        <w:pStyle w:val="27"/>
        <w:ind w:firstLine="480"/>
        <w:rPr>
          <w:color w:val="000000" w:themeColor="text1"/>
          <w14:textFill>
            <w14:solidFill>
              <w14:schemeClr w14:val="tx1"/>
            </w14:solidFill>
          </w14:textFill>
        </w:rPr>
        <w:sectPr>
          <w:pgSz w:w="8392" w:h="11907"/>
          <w:pgMar w:top="1247" w:right="1247" w:bottom="1418" w:left="1247" w:header="851" w:footer="992" w:gutter="0"/>
          <w:cols w:space="720" w:num="1"/>
          <w:docGrid w:linePitch="312" w:charSpace="0"/>
        </w:sectPr>
      </w:pPr>
    </w:p>
    <w:p>
      <w:pPr>
        <w:pStyle w:val="26"/>
        <w:ind w:left="0" w:leftChars="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（二）四川省生态环境厅审批建设项目</w:t>
      </w:r>
      <w:bookmarkEnd w:id="5"/>
    </w:p>
    <w:p>
      <w:pPr>
        <w:pStyle w:val="29"/>
        <w:rPr>
          <w:color w:val="000000" w:themeColor="text1"/>
          <w14:textFill>
            <w14:solidFill>
              <w14:schemeClr w14:val="tx1"/>
            </w14:solidFill>
          </w14:textFill>
        </w:rPr>
      </w:pPr>
      <w:bookmarkStart w:id="6" w:name="RANGE!A1:C58"/>
      <w:bookmarkEnd w:id="6"/>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《四川省生态环境厅审批环境影响评价文件的建设项目</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目录（</w:t>
      </w:r>
      <w:r>
        <w:rPr>
          <w:color w:val="000000" w:themeColor="text1"/>
          <w14:textFill>
            <w14:solidFill>
              <w14:schemeClr w14:val="tx1"/>
            </w14:solidFill>
          </w14:textFill>
        </w:rPr>
        <w:t>20</w:t>
      </w:r>
      <w:r>
        <w:rPr>
          <w:rFonts w:hint="default"/>
          <w:color w:val="000000" w:themeColor="text1"/>
          <w:lang w:val="en-US"/>
          <w14:textFill>
            <w14:solidFill>
              <w14:schemeClr w14:val="tx1"/>
            </w14:solidFill>
          </w14:textFill>
        </w:rPr>
        <w:t>23</w:t>
      </w:r>
      <w:r>
        <w:rPr>
          <w:rFonts w:hint="eastAsia"/>
          <w:color w:val="000000" w:themeColor="text1"/>
          <w14:textFill>
            <w14:solidFill>
              <w14:schemeClr w14:val="tx1"/>
            </w14:solidFill>
          </w14:textFill>
        </w:rPr>
        <w:t>年本）》</w:t>
      </w:r>
    </w:p>
    <w:p>
      <w:pPr>
        <w:overflowPunct w:val="0"/>
        <w:topLinePunct/>
        <w:spacing w:line="240" w:lineRule="exact"/>
        <w:jc w:val="center"/>
        <w:rPr>
          <w:rFonts w:eastAsia="方正小标宋简体"/>
          <w:color w:val="000000" w:themeColor="text1"/>
          <w:kern w:val="0"/>
          <w:sz w:val="44"/>
          <w:szCs w:val="44"/>
          <w14:textFill>
            <w14:solidFill>
              <w14:schemeClr w14:val="tx1"/>
            </w14:solidFill>
          </w14:textFill>
        </w:rPr>
      </w:pPr>
    </w:p>
    <w:tbl>
      <w:tblPr>
        <w:tblStyle w:val="13"/>
        <w:tblW w:w="8968" w:type="dxa"/>
        <w:jc w:val="center"/>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Layout w:type="fixed"/>
        <w:tblCellMar>
          <w:top w:w="15" w:type="dxa"/>
          <w:left w:w="15" w:type="dxa"/>
          <w:bottom w:w="15" w:type="dxa"/>
          <w:right w:w="15" w:type="dxa"/>
        </w:tblCellMar>
      </w:tblPr>
      <w:tblGrid>
        <w:gridCol w:w="2823"/>
        <w:gridCol w:w="6145"/>
      </w:tblGrid>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tblHeader/>
          <w:jc w:val="center"/>
        </w:trPr>
        <w:tc>
          <w:tcPr>
            <w:tcW w:w="2823" w:type="dxa"/>
            <w:vAlign w:val="center"/>
          </w:tcPr>
          <w:p>
            <w:pPr>
              <w:pStyle w:val="3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项目</w:t>
            </w:r>
            <w:r>
              <w:rPr>
                <w:rFonts w:hint="eastAsia"/>
                <w:color w:val="000000" w:themeColor="text1"/>
                <w14:textFill>
                  <w14:solidFill>
                    <w14:schemeClr w14:val="tx1"/>
                  </w14:solidFill>
                </w14:textFill>
              </w:rPr>
              <w:t>类别</w:t>
            </w:r>
          </w:p>
        </w:tc>
        <w:tc>
          <w:tcPr>
            <w:tcW w:w="61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项目目录</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一</w:t>
            </w:r>
            <w:r>
              <w:rPr>
                <w:color w:val="000000" w:themeColor="text1"/>
                <w14:textFill>
                  <w14:solidFill>
                    <w14:schemeClr w14:val="tx1"/>
                  </w14:solidFill>
                </w14:textFill>
              </w:rPr>
              <w:t>）石油</w:t>
            </w:r>
            <w:r>
              <w:rPr>
                <w:rFonts w:hint="eastAsia"/>
                <w:color w:val="000000" w:themeColor="text1"/>
                <w:lang w:eastAsia="zh-CN"/>
                <w14:textFill>
                  <w14:solidFill>
                    <w14:schemeClr w14:val="tx1"/>
                  </w14:solidFill>
                </w14:textFill>
              </w:rPr>
              <w:t>和天然气开采</w:t>
            </w:r>
            <w:r>
              <w:rPr>
                <w:color w:val="000000" w:themeColor="text1"/>
                <w14:textFill>
                  <w14:solidFill>
                    <w14:schemeClr w14:val="tx1"/>
                  </w14:solidFill>
                </w14:textFill>
              </w:rPr>
              <w:t>业</w:t>
            </w:r>
          </w:p>
        </w:tc>
        <w:tc>
          <w:tcPr>
            <w:tcW w:w="6145" w:type="dxa"/>
            <w:vAlign w:val="center"/>
          </w:tcPr>
          <w:p>
            <w:pPr>
              <w:pStyle w:val="28"/>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天然气、页岩气区块开发。</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二</w:t>
            </w:r>
            <w:r>
              <w:rPr>
                <w:color w:val="000000" w:themeColor="text1"/>
                <w14:textFill>
                  <w14:solidFill>
                    <w14:schemeClr w14:val="tx1"/>
                  </w14:solidFill>
                </w14:textFill>
              </w:rPr>
              <w:t>）黑色金属</w:t>
            </w:r>
            <w:r>
              <w:rPr>
                <w:rFonts w:hint="eastAsia"/>
                <w:color w:val="000000" w:themeColor="text1"/>
                <w:lang w:eastAsia="zh-CN"/>
                <w14:textFill>
                  <w14:solidFill>
                    <w14:schemeClr w14:val="tx1"/>
                  </w14:solidFill>
                </w14:textFill>
              </w:rPr>
              <w:t>矿采选</w:t>
            </w:r>
            <w:r>
              <w:rPr>
                <w:color w:val="000000" w:themeColor="text1"/>
                <w14:textFill>
                  <w14:solidFill>
                    <w14:schemeClr w14:val="tx1"/>
                  </w14:solidFill>
                </w14:textFill>
              </w:rPr>
              <w:t>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烧结铁矿</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球团铁矿。</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三</w:t>
            </w:r>
            <w:r>
              <w:rPr>
                <w:color w:val="000000" w:themeColor="text1"/>
                <w14:textFill>
                  <w14:solidFill>
                    <w14:schemeClr w14:val="tx1"/>
                  </w14:solidFill>
                </w14:textFill>
              </w:rPr>
              <w:t>）有色金属</w:t>
            </w:r>
            <w:r>
              <w:rPr>
                <w:rFonts w:hint="eastAsia"/>
                <w:color w:val="000000" w:themeColor="text1"/>
                <w:lang w:eastAsia="zh-CN"/>
                <w14:textFill>
                  <w14:solidFill>
                    <w14:schemeClr w14:val="tx1"/>
                  </w14:solidFill>
                </w14:textFill>
              </w:rPr>
              <w:t>矿采选</w:t>
            </w:r>
            <w:r>
              <w:rPr>
                <w:color w:val="000000" w:themeColor="text1"/>
                <w14:textFill>
                  <w14:solidFill>
                    <w14:schemeClr w14:val="tx1"/>
                  </w14:solidFill>
                </w14:textFill>
              </w:rPr>
              <w:t>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新建重有色金属矿采选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铜、铅锌、镍钴、锡、锑和汞矿采选</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四</w:t>
            </w:r>
            <w:r>
              <w:rPr>
                <w:color w:val="000000" w:themeColor="text1"/>
                <w14:textFill>
                  <w14:solidFill>
                    <w14:schemeClr w14:val="tx1"/>
                  </w14:solidFill>
                </w14:textFill>
              </w:rPr>
              <w:t>）酒、饮料制造业</w:t>
            </w:r>
          </w:p>
        </w:tc>
        <w:tc>
          <w:tcPr>
            <w:tcW w:w="6145" w:type="dxa"/>
            <w:vAlign w:val="center"/>
          </w:tcPr>
          <w:p>
            <w:pPr>
              <w:pStyle w:val="28"/>
              <w:rPr>
                <w:rFonts w:hint="eastAsia" w:eastAsia="仿宋_GB2312"/>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应编制环境影响报告书的白酒、酒精制造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成都市、泸州市、德阳市、绵阳市、遂宁市、乐山市、南充市、宜宾市、达州市除外</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五</w:t>
            </w:r>
            <w:r>
              <w:rPr>
                <w:color w:val="000000" w:themeColor="text1"/>
                <w14:textFill>
                  <w14:solidFill>
                    <w14:schemeClr w14:val="tx1"/>
                  </w14:solidFill>
                </w14:textFill>
              </w:rPr>
              <w:t>）造纸和纸制品业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纸浆制造（不含废纸制浆、机械制浆）。</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1230"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六</w:t>
            </w:r>
            <w:r>
              <w:rPr>
                <w:color w:val="000000" w:themeColor="text1"/>
                <w14:textFill>
                  <w14:solidFill>
                    <w14:schemeClr w14:val="tx1"/>
                  </w14:solidFill>
                </w14:textFill>
              </w:rPr>
              <w:t>）石油加工、炼焦业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精炼石油产品制造项目（在现有项目基础上调整产品结构，但不新增产品种类的除外）；炼焦；煤制合成气；煤制液体燃料；新建乙烯；对二甲苯（PX）、对苯二甲酸（PTA）、二苯基甲烷二异氰酸酯（MD</w:t>
            </w:r>
            <w:r>
              <w:rPr>
                <w:rFonts w:hint="default"/>
                <w:color w:val="000000" w:themeColor="text1"/>
                <w:lang w:val="en-US"/>
                <w14:textFill>
                  <w14:solidFill>
                    <w14:schemeClr w14:val="tx1"/>
                  </w14:solidFill>
                </w14:textFill>
              </w:rPr>
              <w:t>I</w:t>
            </w:r>
            <w:r>
              <w:rPr>
                <w:color w:val="000000" w:themeColor="text1"/>
                <w14:textFill>
                  <w14:solidFill>
                    <w14:schemeClr w14:val="tx1"/>
                  </w14:solidFill>
                </w14:textFill>
              </w:rPr>
              <w:t>）、甲苯二异氰酸酯（</w:t>
            </w:r>
            <w:r>
              <w:rPr>
                <w:rFonts w:hint="default"/>
                <w:color w:val="000000" w:themeColor="text1"/>
                <w:lang w:val="en-US"/>
                <w14:textFill>
                  <w14:solidFill>
                    <w14:schemeClr w14:val="tx1"/>
                  </w14:solidFill>
                </w14:textFill>
              </w:rPr>
              <w:t>T</w:t>
            </w:r>
            <w:r>
              <w:rPr>
                <w:color w:val="000000" w:themeColor="text1"/>
                <w14:textFill>
                  <w14:solidFill>
                    <w14:schemeClr w14:val="tx1"/>
                  </w14:solidFill>
                </w14:textFill>
              </w:rPr>
              <w:t>D</w:t>
            </w:r>
            <w:r>
              <w:rPr>
                <w:rFonts w:hint="default"/>
                <w:color w:val="000000" w:themeColor="text1"/>
                <w:lang w:val="en-US"/>
                <w14:textFill>
                  <w14:solidFill>
                    <w14:schemeClr w14:val="tx1"/>
                  </w14:solidFill>
                </w14:textFill>
              </w:rPr>
              <w:t>I</w:t>
            </w:r>
            <w:r>
              <w:rPr>
                <w:color w:val="000000" w:themeColor="text1"/>
                <w14:textFill>
                  <w14:solidFill>
                    <w14:schemeClr w14:val="tx1"/>
                  </w14:solidFill>
                </w14:textFill>
              </w:rPr>
              <w:t>）项目。</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七</w:t>
            </w:r>
            <w:r>
              <w:rPr>
                <w:color w:val="000000" w:themeColor="text1"/>
                <w14:textFill>
                  <w14:solidFill>
                    <w14:schemeClr w14:val="tx1"/>
                  </w14:solidFill>
                </w14:textFill>
              </w:rPr>
              <w:t>）化学原料和化学制品制造业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农药制造；</w:t>
            </w:r>
            <w:r>
              <w:rPr>
                <w:rFonts w:hint="eastAsia"/>
                <w:color w:val="000000" w:themeColor="text1"/>
                <w14:textFill>
                  <w14:solidFill>
                    <w14:schemeClr w14:val="tx1"/>
                  </w14:solidFill>
                </w14:textFill>
              </w:rPr>
              <w:t>新建、扩建钛白粉制造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成都市、泸州市、德阳市、绵阳市、乐山市、南充市、宜宾市、达州市除外</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铬盐、氰化物制造</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八</w:t>
            </w:r>
            <w:r>
              <w:rPr>
                <w:color w:val="000000" w:themeColor="text1"/>
                <w14:textFill>
                  <w14:solidFill>
                    <w14:schemeClr w14:val="tx1"/>
                  </w14:solidFill>
                </w14:textFill>
              </w:rPr>
              <w:t>）医药制造业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发酵类抗生素制造。</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九</w:t>
            </w:r>
            <w:r>
              <w:rPr>
                <w:color w:val="000000" w:themeColor="text1"/>
                <w14:textFill>
                  <w14:solidFill>
                    <w14:schemeClr w14:val="tx1"/>
                  </w14:solidFill>
                </w14:textFill>
              </w:rPr>
              <w:t>）非金属矿物制品业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水泥</w:t>
            </w:r>
            <w:r>
              <w:rPr>
                <w:rFonts w:hint="eastAsia"/>
                <w:color w:val="000000" w:themeColor="text1"/>
                <w:lang w:eastAsia="zh-CN"/>
                <w14:textFill>
                  <w14:solidFill>
                    <w14:schemeClr w14:val="tx1"/>
                  </w14:solidFill>
                </w14:textFill>
              </w:rPr>
              <w:t>熟料</w:t>
            </w:r>
            <w:r>
              <w:rPr>
                <w:color w:val="000000" w:themeColor="text1"/>
                <w14:textFill>
                  <w14:solidFill>
                    <w14:schemeClr w14:val="tx1"/>
                  </w14:solidFill>
                </w14:textFill>
              </w:rPr>
              <w:t>制造；平板玻璃制造；含焙烧的石墨、碳素制品。</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十</w:t>
            </w:r>
            <w:r>
              <w:rPr>
                <w:color w:val="000000" w:themeColor="text1"/>
                <w14:textFill>
                  <w14:solidFill>
                    <w14:schemeClr w14:val="tx1"/>
                  </w14:solidFill>
                </w14:textFill>
              </w:rPr>
              <w:t>）黑色金属冶炼和压延加工业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黑色金属冶炼（铁合金制造</w:t>
            </w:r>
            <w:r>
              <w:rPr>
                <w:rFonts w:hint="eastAsia"/>
                <w:color w:val="000000" w:themeColor="text1"/>
                <w:lang w:eastAsia="zh-CN"/>
                <w14:textFill>
                  <w14:solidFill>
                    <w14:schemeClr w14:val="tx1"/>
                  </w14:solidFill>
                </w14:textFill>
              </w:rPr>
              <w:t>除外</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十一</w:t>
            </w:r>
            <w:r>
              <w:rPr>
                <w:color w:val="000000" w:themeColor="text1"/>
                <w14:textFill>
                  <w14:solidFill>
                    <w14:schemeClr w14:val="tx1"/>
                  </w14:solidFill>
                </w14:textFill>
              </w:rPr>
              <w:t>）有色金属冶炼和压延加工业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有色金属冶炼（</w:t>
            </w:r>
            <w:r>
              <w:rPr>
                <w:rFonts w:hint="eastAsia"/>
                <w:color w:val="000000" w:themeColor="text1"/>
                <w:lang w:eastAsia="zh-CN"/>
                <w14:textFill>
                  <w14:solidFill>
                    <w14:schemeClr w14:val="tx1"/>
                  </w14:solidFill>
                </w14:textFill>
              </w:rPr>
              <w:t>工业硅</w:t>
            </w:r>
            <w:r>
              <w:rPr>
                <w:color w:val="000000" w:themeColor="text1"/>
                <w14:textFill>
                  <w14:solidFill>
                    <w14:schemeClr w14:val="tx1"/>
                  </w14:solidFill>
                </w14:textFill>
              </w:rPr>
              <w:t>冶炼</w:t>
            </w:r>
            <w:r>
              <w:rPr>
                <w:rFonts w:hint="eastAsia"/>
                <w:color w:val="000000" w:themeColor="text1"/>
                <w:lang w:eastAsia="zh-CN"/>
                <w14:textFill>
                  <w14:solidFill>
                    <w14:schemeClr w14:val="tx1"/>
                  </w14:solidFill>
                </w14:textFill>
              </w:rPr>
              <w:t>除外</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十二</w:t>
            </w:r>
            <w:r>
              <w:rPr>
                <w:color w:val="000000" w:themeColor="text1"/>
                <w14:textFill>
                  <w14:solidFill>
                    <w14:schemeClr w14:val="tx1"/>
                  </w14:solidFill>
                </w14:textFill>
              </w:rPr>
              <w:t>）电气机械和器材制造业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非专业电镀园区内的电镀项目。</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三</w:t>
            </w:r>
            <w:r>
              <w:rPr>
                <w:color w:val="000000" w:themeColor="text1"/>
                <w14:textFill>
                  <w14:solidFill>
                    <w14:schemeClr w14:val="tx1"/>
                  </w14:solidFill>
                </w14:textFill>
              </w:rPr>
              <w:t>）计算机、通信和其他电子设备制造业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新建、扩建</w:t>
            </w:r>
            <w:r>
              <w:rPr>
                <w:color w:val="000000" w:themeColor="text1"/>
                <w14:textFill>
                  <w14:solidFill>
                    <w14:schemeClr w14:val="tx1"/>
                  </w14:solidFill>
                </w14:textFill>
              </w:rPr>
              <w:t>含前工序的8英寸及以上</w:t>
            </w:r>
            <w:r>
              <w:rPr>
                <w:rFonts w:hint="eastAsia"/>
                <w:color w:val="000000" w:themeColor="text1"/>
                <w:lang w:eastAsia="zh-CN"/>
                <w14:textFill>
                  <w14:solidFill>
                    <w14:schemeClr w14:val="tx1"/>
                  </w14:solidFill>
                </w14:textFill>
              </w:rPr>
              <w:t>集成电路</w:t>
            </w:r>
            <w:r>
              <w:rPr>
                <w:color w:val="000000" w:themeColor="text1"/>
                <w14:textFill>
                  <w14:solidFill>
                    <w14:schemeClr w14:val="tx1"/>
                  </w14:solidFill>
                </w14:textFill>
              </w:rPr>
              <w:t>制造（</w:t>
            </w:r>
            <w:r>
              <w:rPr>
                <w:rFonts w:hint="eastAsia"/>
                <w:color w:val="000000" w:themeColor="text1"/>
                <w14:textFill>
                  <w14:solidFill>
                    <w14:schemeClr w14:val="tx1"/>
                  </w14:solidFill>
                </w14:textFill>
              </w:rPr>
              <w:t>成都市、泸州市、德阳市、绵阳市、乐山市、南充市、宜宾市、达州市除外</w:t>
            </w:r>
            <w:r>
              <w:rPr>
                <w:rFonts w:hint="eastAsia"/>
                <w:color w:val="000000" w:themeColor="text1"/>
                <w:lang w:eastAsia="zh-CN"/>
                <w14:textFill>
                  <w14:solidFill>
                    <w14:schemeClr w14:val="tx1"/>
                  </w14:solidFill>
                </w14:textFill>
              </w:rPr>
              <w:t>；位于产业定位涉及含前工序的集成电路的产业园区内项目除外</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四</w:t>
            </w:r>
            <w:r>
              <w:rPr>
                <w:color w:val="000000" w:themeColor="text1"/>
                <w14:textFill>
                  <w14:solidFill>
                    <w14:schemeClr w14:val="tx1"/>
                  </w14:solidFill>
                </w14:textFill>
              </w:rPr>
              <w:t>）电力、热力生产和供应业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燃煤发电；</w:t>
            </w:r>
            <w:r>
              <w:rPr>
                <w:color w:val="000000" w:themeColor="text1"/>
                <w14:textFill>
                  <w14:solidFill>
                    <w14:schemeClr w14:val="tx1"/>
                  </w14:solidFill>
                </w14:textFill>
              </w:rPr>
              <w:t>生态环境部审批权限以外的</w:t>
            </w:r>
            <w:r>
              <w:rPr>
                <w:rFonts w:hint="eastAsia"/>
                <w:color w:val="000000" w:themeColor="text1"/>
                <w:lang w:eastAsia="zh-CN"/>
                <w14:textFill>
                  <w14:solidFill>
                    <w14:schemeClr w14:val="tx1"/>
                  </w14:solidFill>
                </w14:textFill>
              </w:rPr>
              <w:t>常规</w:t>
            </w:r>
            <w:r>
              <w:rPr>
                <w:color w:val="000000" w:themeColor="text1"/>
                <w14:textFill>
                  <w14:solidFill>
                    <w14:schemeClr w14:val="tx1"/>
                  </w14:solidFill>
                </w14:textFill>
              </w:rPr>
              <w:t>水电（</w:t>
            </w:r>
            <w:r>
              <w:rPr>
                <w:rFonts w:hint="eastAsia"/>
                <w:color w:val="000000" w:themeColor="text1"/>
                <w14:textFill>
                  <w14:solidFill>
                    <w14:schemeClr w14:val="tx1"/>
                  </w14:solidFill>
                </w14:textFill>
              </w:rPr>
              <w:t>5万千瓦及以下的除外</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抽水蓄能水电</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五</w:t>
            </w:r>
            <w:r>
              <w:rPr>
                <w:color w:val="000000" w:themeColor="text1"/>
                <w14:textFill>
                  <w14:solidFill>
                    <w14:schemeClr w14:val="tx1"/>
                  </w14:solidFill>
                </w14:textFill>
              </w:rPr>
              <w:t>）研究和试验发展</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由国务院或国务院授权相关部门审批的应编制环境影响报告书的研究和试验发展项目。</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567"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六</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生态保护和</w:t>
            </w:r>
            <w:r>
              <w:rPr>
                <w:color w:val="000000" w:themeColor="text1"/>
                <w14:textFill>
                  <w14:solidFill>
                    <w14:schemeClr w14:val="tx1"/>
                  </w14:solidFill>
                </w14:textFill>
              </w:rPr>
              <w:t>环境治理业</w:t>
            </w:r>
          </w:p>
        </w:tc>
        <w:tc>
          <w:tcPr>
            <w:tcW w:w="6145"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新建危险废物（医疗废物、废矿物油除外）集中处置项目；水泥窑、钢铁、火电等协同处置危险废物项目。</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七</w:t>
            </w:r>
            <w:r>
              <w:rPr>
                <w:color w:val="000000" w:themeColor="text1"/>
                <w14:textFill>
                  <w14:solidFill>
                    <w14:schemeClr w14:val="tx1"/>
                  </w14:solidFill>
                </w14:textFill>
              </w:rPr>
              <w:t>）社会事业与服务业</w:t>
            </w:r>
          </w:p>
        </w:tc>
        <w:tc>
          <w:tcPr>
            <w:tcW w:w="6145"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特大型主题公园（</w:t>
            </w:r>
            <w:r>
              <w:rPr>
                <w:rFonts w:hint="eastAsia"/>
                <w:color w:val="000000" w:themeColor="text1"/>
                <w14:textFill>
                  <w14:solidFill>
                    <w14:schemeClr w14:val="tx1"/>
                  </w14:solidFill>
                </w14:textFill>
              </w:rPr>
              <w:t>成都市、泸州市、德阳市、绵阳市、乐山市、南充市、宜宾市、达州市除外</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；涉及世界自然和文化遗产保护区、国家级自然保护区的编制环境影响报告书的旅游开发项目；由国务院或国务院授权相关部门审批的应编制环境影响报告书的卫生项目；高尔夫球场。</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八</w:t>
            </w:r>
            <w:r>
              <w:rPr>
                <w:color w:val="000000" w:themeColor="text1"/>
                <w14:textFill>
                  <w14:solidFill>
                    <w14:schemeClr w14:val="tx1"/>
                  </w14:solidFill>
                </w14:textFill>
              </w:rPr>
              <w:t>）水利</w:t>
            </w:r>
          </w:p>
        </w:tc>
        <w:tc>
          <w:tcPr>
            <w:tcW w:w="6145"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国务院或国务院授权有关部门审批的应编制环境影响报告书的不含水库的防洪治涝工程，不含水库的灌区工程；应编制环境影响报告书的水库；涉及跨市（州）水资源配置调整的且编制环境影响报告书的其他水事工程。</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九</w:t>
            </w:r>
            <w:r>
              <w:rPr>
                <w:color w:val="000000" w:themeColor="text1"/>
                <w14:textFill>
                  <w14:solidFill>
                    <w14:schemeClr w14:val="tx1"/>
                  </w14:solidFill>
                </w14:textFill>
              </w:rPr>
              <w:t>）交通运输业、管道运输业</w:t>
            </w:r>
          </w:p>
        </w:tc>
        <w:tc>
          <w:tcPr>
            <w:tcW w:w="6145"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生态环境部审批权限以外的新建（含增建）铁路（铁路专用线、联络线、货站、站场项目除外）；地铁；新建、迁建、</w:t>
            </w:r>
            <w:r>
              <w:rPr>
                <w:rFonts w:hint="eastAsia"/>
                <w:color w:val="000000" w:themeColor="text1"/>
                <w:lang w:eastAsia="zh-CN"/>
                <w14:textFill>
                  <w14:solidFill>
                    <w14:schemeClr w14:val="tx1"/>
                  </w14:solidFill>
                </w14:textFill>
              </w:rPr>
              <w:t>增加航空业务量的飞行区扩建</w:t>
            </w:r>
            <w:r>
              <w:rPr>
                <w:color w:val="000000" w:themeColor="text1"/>
                <w14:textFill>
                  <w14:solidFill>
                    <w14:schemeClr w14:val="tx1"/>
                  </w14:solidFill>
                </w14:textFill>
              </w:rPr>
              <w:t>运输机场；新建一类通用机场（</w:t>
            </w:r>
            <w:r>
              <w:rPr>
                <w:rFonts w:hint="eastAsia"/>
                <w:color w:val="000000" w:themeColor="text1"/>
                <w14:textFill>
                  <w14:solidFill>
                    <w14:schemeClr w14:val="tx1"/>
                  </w14:solidFill>
                </w14:textFill>
              </w:rPr>
              <w:t>成都市、泸州市、德阳市、绵阳市、乐山市、南充市、宜宾市、达州市除外</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；新建编制环境影响报告书的跨市（州）高速公路；涉及危险品、化学品的集装箱专用码头；跨市（州）的航电枢纽工程；编制环境影响报告书的跨市（州）输油（气）管线。</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567"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二</w:t>
            </w:r>
            <w:r>
              <w:rPr>
                <w:color w:val="000000" w:themeColor="text1"/>
                <w14:textFill>
                  <w14:solidFill>
                    <w14:schemeClr w14:val="tx1"/>
                  </w14:solidFill>
                </w14:textFill>
              </w:rPr>
              <w:t>十）核与辐射</w:t>
            </w:r>
          </w:p>
        </w:tc>
        <w:tc>
          <w:tcPr>
            <w:tcW w:w="6145" w:type="dxa"/>
            <w:vAlign w:val="center"/>
          </w:tcPr>
          <w:p>
            <w:pPr>
              <w:pStyle w:val="28"/>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生态环境部审批权限以外的</w:t>
            </w:r>
            <w:r>
              <w:rPr>
                <w:color w:val="000000" w:themeColor="text1"/>
                <w14:textFill>
                  <w14:solidFill>
                    <w14:schemeClr w14:val="tx1"/>
                  </w14:solidFill>
                </w14:textFill>
              </w:rPr>
              <w:t>500千伏及以上输变电工程；生态环境部审批权限以外，编制环境影响报告书的广播电台、差转台，电视塔台，卫星地球上行站，雷达；生态环境部审批权限以外的伴生放射性矿产资源的采选、冶炼及废渣再利用；生产放射性同位素的，甲级、乙级非密封放射性物质工作场所，使用Ⅰ</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Ⅱ类放射源的，销售（含建造）、使用Ⅰ类射线装置的，生产、使用Ⅱ类射线装置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使用血管造影</w:t>
            </w:r>
            <w:r>
              <w:rPr>
                <w:rFonts w:hint="eastAsia"/>
                <w:color w:val="000000" w:themeColor="text1"/>
                <w:lang w:eastAsia="zh-CN"/>
                <w14:textFill>
                  <w14:solidFill>
                    <w14:schemeClr w14:val="tx1"/>
                  </w14:solidFill>
                </w14:textFill>
              </w:rPr>
              <w:t>用</w:t>
            </w:r>
            <w:r>
              <w:rPr>
                <w:color w:val="000000" w:themeColor="text1"/>
                <w14:textFill>
                  <w14:solidFill>
                    <w14:schemeClr w14:val="tx1"/>
                  </w14:solidFill>
                </w14:textFill>
              </w:rPr>
              <w:t>X射线装置</w:t>
            </w:r>
            <w:r>
              <w:rPr>
                <w:rFonts w:hint="eastAsia"/>
                <w:color w:val="000000" w:themeColor="text1"/>
                <w:lang w:eastAsia="zh-CN"/>
                <w14:textFill>
                  <w14:solidFill>
                    <w14:schemeClr w14:val="tx1"/>
                  </w14:solidFill>
                </w14:textFill>
              </w:rPr>
              <w:t>、术中放射治疗装置、X射线治疗机</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深部、浅部</w:t>
            </w:r>
            <w:r>
              <w:rPr>
                <w:color w:val="000000" w:themeColor="text1"/>
                <w14:textFill>
                  <w14:solidFill>
                    <w14:schemeClr w14:val="tx1"/>
                  </w14:solidFill>
                </w14:textFill>
              </w:rPr>
              <w:t>）除外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的核技术利用项目及相应需要退役的项目；在野外进行放射性同位素示踪试验项目。</w:t>
            </w:r>
          </w:p>
        </w:tc>
      </w:tr>
    </w:tbl>
    <w:p>
      <w:pPr>
        <w:pStyle w:val="26"/>
        <w:ind w:firstLine="562"/>
        <w:rPr>
          <w:rFonts w:hint="eastAsia"/>
          <w:color w:val="000000" w:themeColor="text1"/>
          <w14:textFill>
            <w14:solidFill>
              <w14:schemeClr w14:val="tx1"/>
            </w14:solidFill>
          </w14:textFill>
        </w:rPr>
      </w:pPr>
      <w:bookmarkStart w:id="7" w:name="_Toc22472"/>
    </w:p>
    <w:p>
      <w:pPr>
        <w:pStyle w:val="26"/>
        <w:ind w:firstLine="562"/>
        <w:rPr>
          <w:rFonts w:hint="eastAsia"/>
          <w:color w:val="000000" w:themeColor="text1"/>
          <w14:textFill>
            <w14:solidFill>
              <w14:schemeClr w14:val="tx1"/>
            </w14:solidFill>
          </w14:textFill>
        </w:rPr>
      </w:pPr>
    </w:p>
    <w:p>
      <w:pPr>
        <w:pStyle w:val="26"/>
        <w:ind w:firstLine="562"/>
        <w:rPr>
          <w:rFonts w:hint="eastAsia"/>
          <w:color w:val="000000" w:themeColor="text1"/>
          <w14:textFill>
            <w14:solidFill>
              <w14:schemeClr w14:val="tx1"/>
            </w14:solidFill>
          </w14:textFill>
        </w:rPr>
      </w:pPr>
    </w:p>
    <w:p>
      <w:pPr>
        <w:pStyle w:val="26"/>
        <w:ind w:firstLine="562"/>
        <w:rPr>
          <w:rFonts w:hint="eastAsia"/>
          <w:color w:val="000000" w:themeColor="text1"/>
          <w14:textFill>
            <w14:solidFill>
              <w14:schemeClr w14:val="tx1"/>
            </w14:solidFill>
          </w14:textFill>
        </w:rPr>
      </w:pPr>
    </w:p>
    <w:p>
      <w:pPr>
        <w:pStyle w:val="26"/>
        <w:ind w:firstLine="562"/>
        <w:rPr>
          <w:rFonts w:hint="eastAsia"/>
          <w:color w:val="000000" w:themeColor="text1"/>
          <w14:textFill>
            <w14:solidFill>
              <w14:schemeClr w14:val="tx1"/>
            </w14:solidFill>
          </w14:textFill>
        </w:rPr>
      </w:pPr>
    </w:p>
    <w:p>
      <w:pPr>
        <w:pStyle w:val="26"/>
        <w:ind w:firstLine="562"/>
        <w:rPr>
          <w:rFonts w:hint="eastAsia"/>
          <w:color w:val="000000" w:themeColor="text1"/>
          <w14:textFill>
            <w14:solidFill>
              <w14:schemeClr w14:val="tx1"/>
            </w14:solidFill>
          </w14:textFill>
        </w:rPr>
      </w:pPr>
    </w:p>
    <w:p>
      <w:pPr>
        <w:pStyle w:val="26"/>
        <w:ind w:firstLine="562"/>
        <w:rPr>
          <w:rFonts w:hint="eastAsia"/>
          <w:color w:val="000000" w:themeColor="text1"/>
          <w14:textFill>
            <w14:solidFill>
              <w14:schemeClr w14:val="tx1"/>
            </w14:solidFill>
          </w14:textFill>
        </w:rPr>
      </w:pPr>
    </w:p>
    <w:p>
      <w:pPr>
        <w:pStyle w:val="26"/>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（三）攀枝花市生态环境局审批建设项目</w:t>
      </w:r>
      <w:bookmarkEnd w:id="7"/>
    </w:p>
    <w:p>
      <w:pPr>
        <w:pStyle w:val="27"/>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市级生态环境部门负责审批除生态环境部、生态环境厅审批的项目外</w:t>
      </w:r>
      <w:r>
        <w:rPr>
          <w:rFonts w:hint="eastAsia"/>
          <w:color w:val="000000" w:themeColor="text1"/>
          <w:kern w:val="0"/>
          <w:lang w:eastAsia="zh-CN"/>
          <w14:textFill>
            <w14:solidFill>
              <w14:schemeClr w14:val="tx1"/>
            </w14:solidFill>
          </w14:textFill>
        </w:rPr>
        <w:t>其他</w:t>
      </w:r>
      <w:r>
        <w:rPr>
          <w:rFonts w:hint="eastAsia"/>
          <w:color w:val="000000" w:themeColor="text1"/>
          <w:kern w:val="0"/>
          <w14:textFill>
            <w14:solidFill>
              <w14:schemeClr w14:val="tx1"/>
            </w14:solidFill>
          </w14:textFill>
        </w:rPr>
        <w:t>建设项目环境影响评价文件。</w:t>
      </w:r>
    </w:p>
    <w:p>
      <w:pPr>
        <w:pStyle w:val="25"/>
        <w:rPr>
          <w:rFonts w:hint="eastAsia"/>
          <w:color w:val="000000" w:themeColor="text1"/>
          <w14:textFill>
            <w14:solidFill>
              <w14:schemeClr w14:val="tx1"/>
            </w14:solidFill>
          </w14:textFill>
        </w:rPr>
      </w:pPr>
      <w:bookmarkStart w:id="8" w:name="_Toc28900"/>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pPr>
      <w:r>
        <w:rPr>
          <w:rFonts w:hint="eastAsia"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t>五、建设项目分类管理名录</w:t>
      </w:r>
      <w:bookmarkEnd w:id="8"/>
    </w:p>
    <w:p>
      <w:pPr>
        <w:pStyle w:val="29"/>
        <w:rPr>
          <w:rFonts w:hint="eastAsia"/>
          <w:color w:val="000000" w:themeColor="text1"/>
          <w14:textFill>
            <w14:solidFill>
              <w14:schemeClr w14:val="tx1"/>
            </w14:solidFill>
          </w14:textFill>
        </w:rPr>
      </w:pPr>
    </w:p>
    <w:p>
      <w:pPr>
        <w:pStyle w:val="29"/>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《建设项目环境影响评价分类管理目录》（</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21年）</w:t>
      </w:r>
    </w:p>
    <w:p>
      <w:pPr>
        <w:pStyle w:val="27"/>
        <w:ind w:firstLine="482"/>
        <w:rPr>
          <w:rFonts w:hint="eastAsia"/>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第一条</w:t>
      </w:r>
      <w:r>
        <w:rPr>
          <w:rFonts w:hint="default"/>
          <w:b/>
          <w:color w:val="000000" w:themeColor="text1"/>
          <w:kern w:val="0"/>
          <w:lang w:val="en-US"/>
          <w14:textFill>
            <w14:solidFill>
              <w14:schemeClr w14:val="tx1"/>
            </w14:solidFill>
          </w14:textFill>
        </w:rPr>
        <w:t xml:space="preserve">  </w:t>
      </w:r>
      <w:r>
        <w:rPr>
          <w:rFonts w:hint="eastAsia"/>
          <w:color w:val="000000" w:themeColor="text1"/>
          <w:kern w:val="0"/>
          <w14:textFill>
            <w14:solidFill>
              <w14:schemeClr w14:val="tx1"/>
            </w14:solidFill>
          </w14:textFill>
        </w:rPr>
        <w:t>为了实施建设项目环境影响评价分类管理，根据《中华人民共和国环境影响评价法》的有关规定，制定本名录。</w:t>
      </w:r>
    </w:p>
    <w:p>
      <w:pPr>
        <w:pStyle w:val="27"/>
        <w:ind w:firstLine="482"/>
        <w:rPr>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第二条</w:t>
      </w:r>
      <w:r>
        <w:rPr>
          <w:rFonts w:hint="default"/>
          <w:b/>
          <w:color w:val="000000" w:themeColor="text1"/>
          <w:kern w:val="0"/>
          <w:lang w:val="en-US"/>
          <w14:textFill>
            <w14:solidFill>
              <w14:schemeClr w14:val="tx1"/>
            </w14:solidFill>
          </w14:textFill>
        </w:rPr>
        <w:t xml:space="preserve">  </w:t>
      </w:r>
      <w:r>
        <w:rPr>
          <w:rFonts w:hint="eastAsia"/>
          <w:color w:val="000000" w:themeColor="text1"/>
          <w:kern w:val="0"/>
          <w14:textFill>
            <w14:solidFill>
              <w14:schemeClr w14:val="tx1"/>
            </w14:solidFill>
          </w14:textFill>
        </w:rPr>
        <w:t>根据建设项目特征和所在区域的环境敏感程度，综合考虑建设项目可能对环境产生的影响，对建设项目的环境影响评价实行分类管理。</w:t>
      </w:r>
    </w:p>
    <w:p>
      <w:pPr>
        <w:pStyle w:val="27"/>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建设单位应当按照本名录的规定，分别组织编制建设项目环境影响报告书、环境影响报告表或者填报环境影响登记表。</w:t>
      </w:r>
    </w:p>
    <w:p>
      <w:pPr>
        <w:pStyle w:val="27"/>
        <w:ind w:firstLine="482"/>
        <w:rPr>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第三条</w:t>
      </w:r>
      <w:r>
        <w:rPr>
          <w:rFonts w:hint="default"/>
          <w:b/>
          <w:color w:val="000000" w:themeColor="text1"/>
          <w:kern w:val="0"/>
          <w:lang w:val="en-US"/>
          <w14:textFill>
            <w14:solidFill>
              <w14:schemeClr w14:val="tx1"/>
            </w14:solidFill>
          </w14:textFill>
        </w:rPr>
        <w:t xml:space="preserve">  </w:t>
      </w:r>
      <w:r>
        <w:rPr>
          <w:rFonts w:hint="eastAsia"/>
          <w:color w:val="000000" w:themeColor="text1"/>
          <w:kern w:val="0"/>
          <w14:textFill>
            <w14:solidFill>
              <w14:schemeClr w14:val="tx1"/>
            </w14:solidFill>
          </w14:textFill>
        </w:rPr>
        <w:t>本名录所称环境敏感区是指依法设立的各级各类保护区域和对建设项目产生的环境影响特别敏感的区域，主要包括下列区域：</w:t>
      </w:r>
    </w:p>
    <w:p>
      <w:pPr>
        <w:pStyle w:val="27"/>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（一）国家公园、自然保护区、风景名胜区、世界文化和自然遗产地、海洋特别保护区、饮用水水源保护区；</w:t>
      </w:r>
    </w:p>
    <w:p>
      <w:pPr>
        <w:pStyle w:val="27"/>
        <w:ind w:firstLine="48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二）除（一）外的生态保护红线管控范围，永久基本农田、基本草原、自然公园（森林公园、地质公园、海洋公园等）、重要湿地、天然林，重点保护野生动物栖息地，重点保护野生植物生长繁殖地，重要水生生物的自然产卵场、索饵场、越冬场和洄游通道，天然渔场，水土流失重点预防区和重点治理区、沙化土地封禁保护区、封闭及半封闭海域；</w:t>
      </w:r>
    </w:p>
    <w:p>
      <w:pPr>
        <w:pStyle w:val="27"/>
        <w:ind w:firstLine="480"/>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（三）以居住、医疗卫生、文化教育、科研、行政办公为主要功能的区域，以及文物保护单位。</w:t>
      </w:r>
    </w:p>
    <w:p>
      <w:pPr>
        <w:pStyle w:val="27"/>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环境影响报告书、环境影响报告表应当就建设项目对环境敏感区的影响做重点分析。</w:t>
      </w:r>
    </w:p>
    <w:p>
      <w:pPr>
        <w:pStyle w:val="27"/>
        <w:ind w:firstLine="482"/>
        <w:rPr>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第四条</w:t>
      </w:r>
      <w:r>
        <w:rPr>
          <w:rFonts w:hint="default"/>
          <w:b/>
          <w:color w:val="000000" w:themeColor="text1"/>
          <w:kern w:val="0"/>
          <w:lang w:val="en-US"/>
          <w14:textFill>
            <w14:solidFill>
              <w14:schemeClr w14:val="tx1"/>
            </w14:solidFill>
          </w14:textFill>
        </w:rPr>
        <w:t xml:space="preserve">  </w:t>
      </w:r>
      <w:r>
        <w:rPr>
          <w:rFonts w:hint="eastAsia"/>
          <w:color w:val="000000" w:themeColor="text1"/>
          <w:kern w:val="0"/>
          <w14:textFill>
            <w14:solidFill>
              <w14:schemeClr w14:val="tx1"/>
            </w14:solidFill>
          </w14:textFill>
        </w:rPr>
        <w:t>建设单位应当严格按照本名录确定建设项目环境影响评价类别，不得擅自改变环境影响评价类别。</w:t>
      </w:r>
    </w:p>
    <w:p>
      <w:pPr>
        <w:pStyle w:val="27"/>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建设内容涉及本名录中两个及以上项目类别的建设项目，其环境影响评价类别按照其中单项等级最高的确定。</w:t>
      </w:r>
    </w:p>
    <w:p>
      <w:pPr>
        <w:pStyle w:val="27"/>
        <w:ind w:firstLine="48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建设内容不涉及主体工程的改建、扩建项目，其环境影响评价类别按照改建、扩建的工程内容确定。</w:t>
      </w:r>
    </w:p>
    <w:p>
      <w:pPr>
        <w:pStyle w:val="27"/>
        <w:ind w:firstLine="482"/>
        <w:rPr>
          <w:rFonts w:hint="eastAsia"/>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第五条</w:t>
      </w:r>
      <w:r>
        <w:rPr>
          <w:rFonts w:hint="default"/>
          <w:b/>
          <w:color w:val="000000" w:themeColor="text1"/>
          <w:kern w:val="0"/>
          <w:lang w:val="en-US"/>
          <w14:textFill>
            <w14:solidFill>
              <w14:schemeClr w14:val="tx1"/>
            </w14:solidFill>
          </w14:textFill>
        </w:rPr>
        <w:t xml:space="preserve">  </w:t>
      </w:r>
      <w:r>
        <w:rPr>
          <w:rFonts w:hint="eastAsia"/>
          <w:color w:val="000000" w:themeColor="text1"/>
          <w:kern w:val="0"/>
          <w14:textFill>
            <w14:solidFill>
              <w14:schemeClr w14:val="tx1"/>
            </w14:solidFill>
          </w14:textFill>
        </w:rPr>
        <w:t>本名录未作规定的建设项目，不纳入建设项目环境影响评价管理；省级生态环境主管部门对本名录未作规定的建设项目，认为确有必要纳入建设项目环境影响评价管理的，可以根据建设项目的污染因子、生态影响因子特征及其所处环境的敏感性质和敏感程度等，提出环境影响评价分类管理的建议，报生态环境部认定后实施。</w:t>
      </w:r>
    </w:p>
    <w:p>
      <w:pPr>
        <w:pStyle w:val="27"/>
        <w:ind w:firstLine="482"/>
        <w:rPr>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第六条</w:t>
      </w:r>
      <w:r>
        <w:rPr>
          <w:rFonts w:hint="default"/>
          <w:b/>
          <w:color w:val="000000" w:themeColor="text1"/>
          <w:kern w:val="0"/>
          <w:lang w:val="en-US"/>
          <w14:textFill>
            <w14:solidFill>
              <w14:schemeClr w14:val="tx1"/>
            </w14:solidFill>
          </w14:textFill>
        </w:rPr>
        <w:t xml:space="preserve">  </w:t>
      </w:r>
      <w:r>
        <w:rPr>
          <w:rFonts w:hint="eastAsia"/>
          <w:color w:val="000000" w:themeColor="text1"/>
          <w:kern w:val="0"/>
          <w14:textFill>
            <w14:solidFill>
              <w14:schemeClr w14:val="tx1"/>
            </w14:solidFill>
          </w14:textFill>
        </w:rPr>
        <w:t>本名录由生态环境部负责解释，并适时修订公布。</w:t>
      </w:r>
    </w:p>
    <w:p>
      <w:pPr>
        <w:pStyle w:val="27"/>
        <w:ind w:firstLine="482"/>
        <w:rPr>
          <w:rFonts w:hint="eastAsia"/>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第七条</w:t>
      </w:r>
      <w:r>
        <w:rPr>
          <w:rFonts w:hint="default"/>
          <w:b/>
          <w:color w:val="000000" w:themeColor="text1"/>
          <w:kern w:val="0"/>
          <w:lang w:val="en-US"/>
          <w14:textFill>
            <w14:solidFill>
              <w14:schemeClr w14:val="tx1"/>
            </w14:solidFill>
          </w14:textFill>
        </w:rPr>
        <w:t xml:space="preserve">  </w:t>
      </w:r>
      <w:r>
        <w:rPr>
          <w:rFonts w:hint="eastAsia"/>
          <w:color w:val="000000" w:themeColor="text1"/>
          <w:kern w:val="0"/>
          <w14:textFill>
            <w14:solidFill>
              <w14:schemeClr w14:val="tx1"/>
            </w14:solidFill>
          </w14:textFill>
        </w:rPr>
        <w:t>本名录自</w:t>
      </w:r>
      <w:r>
        <w:rPr>
          <w:color w:val="000000" w:themeColor="text1"/>
          <w:kern w:val="0"/>
          <w14:textFill>
            <w14:solidFill>
              <w14:schemeClr w14:val="tx1"/>
            </w14:solidFill>
          </w14:textFill>
        </w:rPr>
        <w:t>2021</w:t>
      </w:r>
      <w:r>
        <w:rPr>
          <w:rFonts w:hint="eastAsia"/>
          <w:color w:val="000000" w:themeColor="text1"/>
          <w:kern w:val="0"/>
          <w14:textFill>
            <w14:solidFill>
              <w14:schemeClr w14:val="tx1"/>
            </w14:solidFill>
          </w14:textFill>
        </w:rPr>
        <w:t>年</w:t>
      </w:r>
      <w:r>
        <w:rPr>
          <w:color w:val="000000" w:themeColor="text1"/>
          <w:kern w:val="0"/>
          <w14:textFill>
            <w14:solidFill>
              <w14:schemeClr w14:val="tx1"/>
            </w14:solidFill>
          </w14:textFill>
        </w:rPr>
        <w:t>1</w:t>
      </w:r>
      <w:r>
        <w:rPr>
          <w:rFonts w:hint="eastAsia"/>
          <w:color w:val="000000" w:themeColor="text1"/>
          <w:kern w:val="0"/>
          <w14:textFill>
            <w14:solidFill>
              <w14:schemeClr w14:val="tx1"/>
            </w14:solidFill>
          </w14:textFill>
        </w:rPr>
        <w:t>月</w:t>
      </w:r>
      <w:r>
        <w:rPr>
          <w:color w:val="000000" w:themeColor="text1"/>
          <w:kern w:val="0"/>
          <w14:textFill>
            <w14:solidFill>
              <w14:schemeClr w14:val="tx1"/>
            </w14:solidFill>
          </w14:textFill>
        </w:rPr>
        <w:t>1</w:t>
      </w:r>
      <w:r>
        <w:rPr>
          <w:rFonts w:hint="eastAsia"/>
          <w:color w:val="000000" w:themeColor="text1"/>
          <w:kern w:val="0"/>
          <w14:textFill>
            <w14:solidFill>
              <w14:schemeClr w14:val="tx1"/>
            </w14:solidFill>
          </w14:textFill>
        </w:rPr>
        <w:t>日起施行。《建设项目环境影响评价分类管理名录》（环境保护部令第</w:t>
      </w:r>
      <w:r>
        <w:rPr>
          <w:color w:val="000000" w:themeColor="text1"/>
          <w:kern w:val="0"/>
          <w14:textFill>
            <w14:solidFill>
              <w14:schemeClr w14:val="tx1"/>
            </w14:solidFill>
          </w14:textFill>
        </w:rPr>
        <w:t>44</w:t>
      </w:r>
      <w:r>
        <w:rPr>
          <w:rFonts w:hint="eastAsia"/>
          <w:color w:val="000000" w:themeColor="text1"/>
          <w:kern w:val="0"/>
          <w14:textFill>
            <w14:solidFill>
              <w14:schemeClr w14:val="tx1"/>
            </w14:solidFill>
          </w14:textFill>
        </w:rPr>
        <w:t>号）及《关于修改〈建设项目环境影响评价分类管理名录〉部分内容的决定》（生态环境部令第</w:t>
      </w:r>
      <w:r>
        <w:rPr>
          <w:color w:val="000000" w:themeColor="text1"/>
          <w:kern w:val="0"/>
          <w14:textFill>
            <w14:solidFill>
              <w14:schemeClr w14:val="tx1"/>
            </w14:solidFill>
          </w14:textFill>
        </w:rPr>
        <w:t>1</w:t>
      </w:r>
      <w:r>
        <w:rPr>
          <w:rFonts w:hint="eastAsia"/>
          <w:color w:val="000000" w:themeColor="text1"/>
          <w:kern w:val="0"/>
          <w14:textFill>
            <w14:solidFill>
              <w14:schemeClr w14:val="tx1"/>
            </w14:solidFill>
          </w14:textFill>
        </w:rPr>
        <w:t>号）同时废止。</w:t>
      </w:r>
    </w:p>
    <w:p>
      <w:pPr>
        <w:pStyle w:val="27"/>
        <w:ind w:firstLine="482"/>
        <w:rPr>
          <w:rFonts w:hint="eastAsia"/>
          <w:color w:val="000000" w:themeColor="text1"/>
          <w:kern w:val="0"/>
          <w14:textFill>
            <w14:solidFill>
              <w14:schemeClr w14:val="tx1"/>
            </w14:solidFill>
          </w14:textFill>
        </w:rPr>
      </w:pPr>
    </w:p>
    <w:p>
      <w:pPr>
        <w:pStyle w:val="27"/>
        <w:ind w:firstLine="482"/>
        <w:rPr>
          <w:rFonts w:hint="eastAsia"/>
          <w:color w:val="000000" w:themeColor="text1"/>
          <w:kern w:val="0"/>
          <w14:textFill>
            <w14:solidFill>
              <w14:schemeClr w14:val="tx1"/>
            </w14:solidFill>
          </w14:textFill>
        </w:rPr>
      </w:pPr>
    </w:p>
    <w:p>
      <w:pPr>
        <w:pStyle w:val="27"/>
        <w:ind w:firstLine="482"/>
        <w:rPr>
          <w:rFonts w:hint="eastAsia"/>
          <w:color w:val="000000" w:themeColor="text1"/>
          <w:kern w:val="0"/>
          <w14:textFill>
            <w14:solidFill>
              <w14:schemeClr w14:val="tx1"/>
            </w14:solidFill>
          </w14:textFill>
        </w:rPr>
      </w:pPr>
    </w:p>
    <w:p>
      <w:pPr>
        <w:pStyle w:val="27"/>
        <w:ind w:firstLine="482"/>
        <w:rPr>
          <w:rFonts w:hint="eastAsia"/>
          <w:color w:val="000000" w:themeColor="text1"/>
          <w:kern w:val="0"/>
          <w14:textFill>
            <w14:solidFill>
              <w14:schemeClr w14:val="tx1"/>
            </w14:solidFill>
          </w14:textFill>
        </w:rPr>
      </w:pPr>
    </w:p>
    <w:p>
      <w:pPr>
        <w:pStyle w:val="27"/>
        <w:ind w:firstLine="482"/>
        <w:rPr>
          <w:rFonts w:hint="eastAsia"/>
          <w:color w:val="000000" w:themeColor="text1"/>
          <w:kern w:val="0"/>
          <w14:textFill>
            <w14:solidFill>
              <w14:schemeClr w14:val="tx1"/>
            </w14:solidFill>
          </w14:textFill>
        </w:rPr>
      </w:pPr>
    </w:p>
    <w:tbl>
      <w:tblPr>
        <w:tblStyle w:val="13"/>
        <w:tblW w:w="10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6"/>
        <w:gridCol w:w="2050"/>
        <w:gridCol w:w="2204"/>
        <w:gridCol w:w="1843"/>
        <w:gridCol w:w="1449"/>
        <w:gridCol w:w="2634"/>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639" w:hRule="atLeast"/>
          <w:jc w:val="center"/>
        </w:trPr>
        <w:tc>
          <w:tcPr>
            <w:tcW w:w="2656" w:type="dxa"/>
            <w:gridSpan w:val="2"/>
            <w:tcMar>
              <w:top w:w="0" w:type="dxa"/>
              <w:left w:w="108" w:type="dxa"/>
              <w:bottom w:w="0" w:type="dxa"/>
              <w:right w:w="108" w:type="dxa"/>
            </w:tcMar>
            <mc:AlternateContent>
              <mc:Choice Requires="wpsCustomData">
                <wpsCustomData:diagonals>
                  <wpsCustomData:diagonal from="10000" to="30000">
                    <wpsCustomData:border w:val="single" w:color="auto" w:sz="4" w:space="0"/>
                  </wpsCustomData:diagonal>
                </wpsCustomData:diagonals>
              </mc:Choice>
            </mc:AlternateContent>
          </w:tcPr>
          <w:p>
            <w:pPr>
              <w:pStyle w:val="30"/>
              <w:jc w:val="right"/>
              <w:rPr>
                <w:color w:val="000000" w:themeColor="text1"/>
                <w:sz w:val="21"/>
                <w:szCs w:val="21"/>
                <w14:textFill>
                  <w14:solidFill>
                    <w14:schemeClr w14:val="tx1"/>
                  </w14:solidFill>
                </w14:textFill>
              </w:rPr>
            </w:pPr>
          </w:p>
          <w:p>
            <w:pPr>
              <w:pStyle w:val="30"/>
              <w:snapToGrid w:val="0"/>
              <w:spacing w:line="240" w:lineRule="auto"/>
              <w:jc w:val="left"/>
              <mc:AlternateContent>
                <mc:Choice Requires="wpsCustomData">
                  <wpsCustomData:diagonalParaType/>
                </mc:Choice>
              </mc:AlternateConten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项目类别</w:t>
            </w:r>
          </w:p>
          <w:p>
            <w:pPr>
              <w:pStyle w:val="3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环评类别</w:t>
            </w:r>
          </w:p>
        </w:tc>
        <w:tc>
          <w:tcPr>
            <w:tcW w:w="2204" w:type="dxa"/>
            <w:tcMar>
              <w:top w:w="0" w:type="dxa"/>
              <w:left w:w="108" w:type="dxa"/>
              <w:bottom w:w="0" w:type="dxa"/>
              <w:right w:w="108" w:type="dxa"/>
            </w:tcMar>
            <w:vAlign w:val="center"/>
          </w:tcPr>
          <w:p>
            <w:pPr>
              <w:pStyle w:val="3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报告书</w:t>
            </w:r>
          </w:p>
        </w:tc>
        <w:tc>
          <w:tcPr>
            <w:tcW w:w="1843" w:type="dxa"/>
            <w:tcMar>
              <w:top w:w="0" w:type="dxa"/>
              <w:left w:w="108" w:type="dxa"/>
              <w:bottom w:w="0" w:type="dxa"/>
              <w:right w:w="108" w:type="dxa"/>
            </w:tcMar>
            <w:vAlign w:val="center"/>
          </w:tcPr>
          <w:p>
            <w:pPr>
              <w:pStyle w:val="3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报告表</w:t>
            </w:r>
          </w:p>
        </w:tc>
        <w:tc>
          <w:tcPr>
            <w:tcW w:w="1449" w:type="dxa"/>
            <w:tcMar>
              <w:top w:w="0" w:type="dxa"/>
              <w:left w:w="108" w:type="dxa"/>
              <w:bottom w:w="0" w:type="dxa"/>
              <w:right w:w="108" w:type="dxa"/>
            </w:tcMar>
            <w:vAlign w:val="center"/>
          </w:tcPr>
          <w:p>
            <w:pPr>
              <w:pStyle w:val="3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登记表</w:t>
            </w:r>
          </w:p>
        </w:tc>
        <w:tc>
          <w:tcPr>
            <w:tcW w:w="2634" w:type="dxa"/>
            <w:tcMar>
              <w:top w:w="0" w:type="dxa"/>
              <w:left w:w="108" w:type="dxa"/>
              <w:bottom w:w="0" w:type="dxa"/>
              <w:right w:w="108" w:type="dxa"/>
            </w:tcMar>
            <w:vAlign w:val="center"/>
          </w:tcPr>
          <w:p>
            <w:pPr>
              <w:pStyle w:val="3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本栏目环境敏感区含义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一、农业</w:t>
            </w:r>
            <w:r>
              <w:rPr>
                <w:rFonts w:hint="default"/>
                <w:b/>
                <w:bCs/>
                <w:color w:val="000000" w:themeColor="text1"/>
                <w:sz w:val="21"/>
                <w:szCs w:val="21"/>
                <w:lang w:val="en-US"/>
                <w14:textFill>
                  <w14:solidFill>
                    <w14:schemeClr w14:val="tx1"/>
                  </w14:solidFill>
                </w14:textFill>
              </w:rPr>
              <w:t>0</w:t>
            </w:r>
            <w:r>
              <w:rPr>
                <w:b/>
                <w:bCs/>
                <w:color w:val="000000" w:themeColor="text1"/>
                <w:sz w:val="21"/>
                <w:szCs w:val="21"/>
                <w14:textFill>
                  <w14:solidFill>
                    <w14:schemeClr w14:val="tx1"/>
                  </w14:solidFill>
                </w14:textFill>
              </w:rPr>
              <w:t>1</w:t>
            </w:r>
            <w:r>
              <w:rPr>
                <w:rFonts w:hint="eastAsia"/>
                <w:b/>
                <w:bCs/>
                <w:color w:val="000000" w:themeColor="text1"/>
                <w:sz w:val="21"/>
                <w:szCs w:val="21"/>
                <w14:textFill>
                  <w14:solidFill>
                    <w14:schemeClr w14:val="tx1"/>
                  </w14:solidFill>
                </w14:textFill>
              </w:rPr>
              <w:t>、林业</w:t>
            </w:r>
            <w:r>
              <w:rPr>
                <w:b/>
                <w:bCs/>
                <w:color w:val="000000" w:themeColor="text1"/>
                <w:sz w:val="2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2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050"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宋体" w:hAnsi="Times New Roman" w:cs="宋体"/>
                <w:color w:val="000000" w:themeColor="text1"/>
                <w:sz w:val="21"/>
                <w:szCs w:val="21"/>
                <w14:textFill>
                  <w14:solidFill>
                    <w14:schemeClr w14:val="tx1"/>
                  </w14:solidFill>
                </w14:textFill>
              </w:rPr>
            </w:pPr>
            <w:r>
              <w:rPr>
                <w:rFonts w:hint="eastAsia" w:ascii="宋体" w:hAnsi="Times New Roman" w:cs="宋体"/>
                <w:color w:val="000000" w:themeColor="text1"/>
                <w:sz w:val="21"/>
                <w:szCs w:val="21"/>
                <w14:textFill>
                  <w14:solidFill>
                    <w14:schemeClr w14:val="tx1"/>
                  </w14:solidFill>
                </w14:textFill>
              </w:rPr>
              <w:t>农产品基地项目（含</w:t>
            </w:r>
          </w:p>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ascii="宋体" w:hAnsi="Times New Roman" w:cs="宋体"/>
                <w:color w:val="000000" w:themeColor="text1"/>
                <w:sz w:val="21"/>
                <w:szCs w:val="21"/>
                <w14:textFill>
                  <w14:solidFill>
                    <w14:schemeClr w14:val="tx1"/>
                  </w14:solidFill>
                </w14:textFill>
              </w:rPr>
              <w:t>药材基地）</w:t>
            </w:r>
          </w:p>
        </w:tc>
        <w:tc>
          <w:tcPr>
            <w:tcW w:w="2204"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843"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ascii="宋体" w:hAnsi="Times New Roman" w:cs="宋体"/>
                <w:color w:val="000000" w:themeColor="text1"/>
                <w:sz w:val="21"/>
                <w:szCs w:val="21"/>
                <w14:textFill>
                  <w14:solidFill>
                    <w14:schemeClr w14:val="tx1"/>
                  </w14:solidFill>
                </w14:textFill>
              </w:rPr>
              <w:t>涉及环境敏感区的</w:t>
            </w:r>
          </w:p>
        </w:tc>
        <w:tc>
          <w:tcPr>
            <w:tcW w:w="1449"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w:t>
            </w:r>
          </w:p>
        </w:tc>
        <w:tc>
          <w:tcPr>
            <w:tcW w:w="2634"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宋体" w:hAnsi="Times New Roman" w:cs="宋体"/>
                <w:color w:val="000000" w:themeColor="text1"/>
                <w:sz w:val="21"/>
                <w:szCs w:val="21"/>
                <w14:textFill>
                  <w14:solidFill>
                    <w14:schemeClr w14:val="tx1"/>
                  </w14:solidFill>
                </w14:textFill>
              </w:rPr>
            </w:pPr>
            <w:r>
              <w:rPr>
                <w:rFonts w:hint="eastAsia" w:ascii="宋体" w:hAnsi="Times New Roman" w:cs="宋体"/>
                <w:color w:val="000000" w:themeColor="text1"/>
                <w:sz w:val="21"/>
                <w:szCs w:val="21"/>
                <w14:textFill>
                  <w14:solidFill>
                    <w14:schemeClr w14:val="tx1"/>
                  </w14:solidFill>
                </w14:textFill>
              </w:rPr>
              <w:t>第三条（一）中的全部区域；第三条（</w:t>
            </w:r>
            <w:r>
              <w:rPr>
                <w:rFonts w:hint="eastAsia" w:ascii="宋体" w:hAnsi="Times New Roman" w:cs="宋体"/>
                <w:color w:val="000000" w:themeColor="text1"/>
                <w:sz w:val="21"/>
                <w:szCs w:val="21"/>
                <w:lang w:eastAsia="zh-CN"/>
                <w14:textFill>
                  <w14:solidFill>
                    <w14:schemeClr w14:val="tx1"/>
                  </w14:solidFill>
                </w14:textFill>
              </w:rPr>
              <w:t>二</w:t>
            </w:r>
            <w:r>
              <w:rPr>
                <w:rFonts w:hint="eastAsia" w:ascii="宋体" w:hAnsi="Times New Roman" w:cs="宋体"/>
                <w:color w:val="000000" w:themeColor="text1"/>
                <w:sz w:val="21"/>
                <w:szCs w:val="21"/>
                <w14:textFill>
                  <w14:solidFill>
                    <w14:schemeClr w14:val="tx1"/>
                  </w14:solidFill>
                </w14:textFill>
              </w:rPr>
              <w:t>）中的除（一）外的生态保护红线管控范围，基本草原、重要湿地，水土流失重点预防区和重点治理区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2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050"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color w:val="000000" w:themeColor="text1"/>
                <w:sz w:val="21"/>
                <w:szCs w:val="21"/>
                <w14:textFill>
                  <w14:solidFill>
                    <w14:schemeClr w14:val="tx1"/>
                  </w14:solidFill>
                </w14:textFill>
              </w:rPr>
            </w:pPr>
            <w:r>
              <w:rPr>
                <w:rFonts w:hint="eastAsia" w:ascii="宋体" w:hAnsi="Times New Roman" w:cs="宋体"/>
                <w:color w:val="000000" w:themeColor="text1"/>
                <w:sz w:val="21"/>
                <w:szCs w:val="21"/>
                <w14:textFill>
                  <w14:solidFill>
                    <w14:schemeClr w14:val="tx1"/>
                  </w14:solidFill>
                </w14:textFill>
              </w:rPr>
              <w:t>经济林基地项目</w:t>
            </w:r>
          </w:p>
        </w:tc>
        <w:tc>
          <w:tcPr>
            <w:tcW w:w="2204"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843"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ascii="宋体" w:hAnsi="Times New Roman" w:cs="宋体"/>
                <w:color w:val="000000" w:themeColor="text1"/>
                <w:sz w:val="21"/>
                <w:szCs w:val="21"/>
                <w14:textFill>
                  <w14:solidFill>
                    <w14:schemeClr w14:val="tx1"/>
                  </w14:solidFill>
                </w14:textFill>
              </w:rPr>
              <w:t>原料林基地</w:t>
            </w:r>
          </w:p>
        </w:tc>
        <w:tc>
          <w:tcPr>
            <w:tcW w:w="1449"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w:t>
            </w:r>
          </w:p>
        </w:tc>
        <w:tc>
          <w:tcPr>
            <w:tcW w:w="2634"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二、畜牧业</w:t>
            </w:r>
            <w:r>
              <w:rPr>
                <w:b/>
                <w:bCs/>
                <w:color w:val="000000" w:themeColor="text1"/>
                <w:sz w:val="21"/>
                <w:szCs w:val="2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050"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牲畜饲养031；家禽</w:t>
            </w:r>
          </w:p>
          <w:p>
            <w:pPr>
              <w:pStyle w:val="28"/>
              <w:keepNext w:val="0"/>
              <w:keepLines w:val="0"/>
              <w:pageBreakBefore w:val="0"/>
              <w:kinsoku/>
              <w:wordWrap/>
              <w:overflowPunct/>
              <w:topLinePunct w:val="0"/>
              <w:autoSpaceDE/>
              <w:autoSpaceDN/>
              <w:bidi w:val="0"/>
              <w:adjustRightInd/>
              <w:snapToGrid/>
              <w:spacing w:line="240" w:lineRule="exact"/>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饲养032；其他畜牧</w:t>
            </w:r>
          </w:p>
          <w:p>
            <w:pPr>
              <w:pStyle w:val="28"/>
              <w:keepNext w:val="0"/>
              <w:keepLines w:val="0"/>
              <w:pageBreakBefore w:val="0"/>
              <w:kinsoku/>
              <w:wordWrap/>
              <w:overflowPunct/>
              <w:topLinePunct w:val="0"/>
              <w:autoSpaceDE/>
              <w:autoSpaceDN/>
              <w:bidi w:val="0"/>
              <w:adjustRightInd/>
              <w:snapToGrid/>
              <w:spacing w:line="240" w:lineRule="exact"/>
              <w:textAlignment w:val="auto"/>
              <w:rPr>
                <w:rFonts w:ascii="宋体" w:hAnsi="Times New Roman" w:cs="宋体"/>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业039</w:t>
            </w:r>
          </w:p>
        </w:tc>
        <w:tc>
          <w:tcPr>
            <w:tcW w:w="2204" w:type="dxa"/>
            <w:tcMar>
              <w:top w:w="0" w:type="dxa"/>
              <w:left w:w="108" w:type="dxa"/>
              <w:bottom w:w="0" w:type="dxa"/>
              <w:right w:w="108" w:type="dxa"/>
            </w:tcMar>
            <w:vAlign w:val="center"/>
          </w:tcPr>
          <w:p>
            <w:pPr>
              <w:pStyle w:val="28"/>
              <w:keepNext w:val="0"/>
              <w:keepLines w:val="0"/>
              <w:pageBreakBefore w:val="0"/>
              <w:widowControl/>
              <w:kinsoku/>
              <w:wordWrap/>
              <w:overflowPunct/>
              <w:topLinePunct w:val="0"/>
              <w:autoSpaceDE/>
              <w:autoSpaceDN/>
              <w:bidi w:val="0"/>
              <w:adjustRightInd/>
              <w:snapToGrid/>
              <w:spacing w:line="240" w:lineRule="exact"/>
              <w:textAlignment w:val="auto"/>
              <w:rPr>
                <w:rFonts w:ascii="宋体" w:hAnsi="Times New Roman" w:cs="宋体"/>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年出栏生猪5000头（其他畜禽种类折合猪的养殖量）及以上的规模化畜禽养殖；存栏生猪2500头（其他畜禽种类折合猪的养殖规模）及以上无出栏量的规模化畜禽养殖；涉及环境敏感区的规模化畜禽养殖</w:t>
            </w:r>
          </w:p>
        </w:tc>
        <w:tc>
          <w:tcPr>
            <w:tcW w:w="1843"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宋体" w:hAnsi="Times New Roman" w:cs="宋体"/>
                <w:color w:val="000000" w:themeColor="text1"/>
                <w:sz w:val="21"/>
                <w:szCs w:val="21"/>
                <w14:textFill>
                  <w14:solidFill>
                    <w14:schemeClr w14:val="tx1"/>
                  </w14:solidFill>
                </w14:textFill>
              </w:rPr>
            </w:pPr>
            <w:r>
              <w:rPr>
                <w:rFonts w:ascii="宋体" w:hAnsi="Times New Roman" w:cs="宋体"/>
                <w:color w:val="000000" w:themeColor="text1"/>
                <w:sz w:val="21"/>
                <w:szCs w:val="21"/>
                <w14:textFill>
                  <w14:solidFill>
                    <w14:schemeClr w14:val="tx1"/>
                  </w14:solidFill>
                </w14:textFill>
              </w:rPr>
              <w:t>/</w:t>
            </w:r>
          </w:p>
        </w:tc>
        <w:tc>
          <w:tcPr>
            <w:tcW w:w="1449"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宋体" w:hAnsi="Times New Roman" w:cs="宋体"/>
                <w:color w:val="000000" w:themeColor="text1"/>
                <w:sz w:val="21"/>
                <w:szCs w:val="21"/>
                <w14:textFill>
                  <w14:solidFill>
                    <w14:schemeClr w14:val="tx1"/>
                  </w14:solidFill>
                </w14:textFill>
              </w:rPr>
            </w:pPr>
            <w:r>
              <w:rPr>
                <w:rFonts w:hint="eastAsia" w:ascii="宋体" w:hAnsi="Times New Roman" w:cs="宋体"/>
                <w:color w:val="000000" w:themeColor="text1"/>
                <w:sz w:val="21"/>
                <w:szCs w:val="21"/>
                <w14:textFill>
                  <w14:solidFill>
                    <w14:schemeClr w14:val="tx1"/>
                  </w14:solidFill>
                </w14:textFill>
              </w:rPr>
              <w:t>其他（规模化以下的除外）（具体规模化的标准按《畜禽规模化养殖污染防治条例》执行）</w:t>
            </w:r>
          </w:p>
        </w:tc>
        <w:tc>
          <w:tcPr>
            <w:tcW w:w="2634"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宋体" w:hAnsi="Times New Roman" w:cs="宋体"/>
                <w:color w:val="000000" w:themeColor="text1"/>
                <w:sz w:val="21"/>
                <w:szCs w:val="21"/>
                <w14:textFill>
                  <w14:solidFill>
                    <w14:schemeClr w14:val="tx1"/>
                  </w14:solidFill>
                </w14:textFill>
              </w:rPr>
            </w:pPr>
            <w:r>
              <w:rPr>
                <w:rFonts w:ascii="宋体" w:hAnsi="Times New Roman" w:cs="宋体"/>
                <w:color w:val="000000" w:themeColor="text1"/>
                <w:sz w:val="21"/>
                <w:szCs w:val="21"/>
                <w14:textFill>
                  <w14:solidFill>
                    <w14:schemeClr w14:val="tx1"/>
                  </w14:solidFill>
                </w14:textFill>
              </w:rPr>
              <w:t> </w:t>
            </w:r>
            <w:r>
              <w:rPr>
                <w:rFonts w:hint="eastAsia" w:ascii="宋体" w:hAnsi="Times New Roman" w:cs="宋体"/>
                <w:color w:val="000000" w:themeColor="text1"/>
                <w:sz w:val="21"/>
                <w:szCs w:val="21"/>
                <w14:textFill>
                  <w14:solidFill>
                    <w14:schemeClr w14:val="tx1"/>
                  </w14:solidFill>
                </w14:textFill>
              </w:rPr>
              <w:t>第三条（一）中的全部区域；第三条（三）中的全部区域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三、渔业</w:t>
            </w:r>
            <w:r>
              <w:rPr>
                <w:b/>
                <w:bCs/>
                <w:color w:val="000000" w:themeColor="text1"/>
                <w:sz w:val="21"/>
                <w:szCs w:val="21"/>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366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2050"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海水养殖</w:t>
            </w:r>
            <w:r>
              <w:rPr>
                <w:rFonts w:ascii="Times New Roman" w:hAnsi="Times New Roman" w:cs="Times New Roman"/>
                <w:color w:val="000000" w:themeColor="text1"/>
                <w:sz w:val="21"/>
                <w:szCs w:val="21"/>
                <w14:textFill>
                  <w14:solidFill>
                    <w14:schemeClr w14:val="tx1"/>
                  </w14:solidFill>
                </w14:textFill>
              </w:rPr>
              <w:t>0411</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用海面积</w:t>
            </w:r>
            <w:r>
              <w:rPr>
                <w:rFonts w:ascii="Times New Roman" w:hAnsi="Times New Roman" w:eastAsia="仿宋_GB2312"/>
                <w:color w:val="000000" w:themeColor="text1"/>
                <w:kern w:val="0"/>
                <w:sz w:val="21"/>
                <w:szCs w:val="21"/>
                <w14:textFill>
                  <w14:solidFill>
                    <w14:schemeClr w14:val="tx1"/>
                  </w14:solidFill>
                </w14:textFill>
              </w:rPr>
              <w:t>1000</w:t>
            </w:r>
            <w:r>
              <w:rPr>
                <w:rFonts w:hint="eastAsia" w:ascii="Times New Roman" w:hAnsi="Times New Roman" w:eastAsia="仿宋_GB2312"/>
                <w:color w:val="000000" w:themeColor="text1"/>
                <w:kern w:val="0"/>
                <w:sz w:val="21"/>
                <w:szCs w:val="21"/>
                <w14:textFill>
                  <w14:solidFill>
                    <w14:schemeClr w14:val="tx1"/>
                  </w14:solidFill>
                </w14:textFill>
              </w:rPr>
              <w:t>亩及以上的海水养殖（不含底播、藻类养殖）；围海养殖</w:t>
            </w:r>
          </w:p>
        </w:tc>
        <w:tc>
          <w:tcPr>
            <w:tcW w:w="1843"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用海面积</w:t>
            </w:r>
            <w:r>
              <w:rPr>
                <w:rFonts w:ascii="Times New Roman" w:hAnsi="Times New Roman" w:eastAsia="仿宋_GB2312"/>
                <w:color w:val="000000" w:themeColor="text1"/>
                <w:kern w:val="0"/>
                <w:sz w:val="21"/>
                <w:szCs w:val="21"/>
                <w14:textFill>
                  <w14:solidFill>
                    <w14:schemeClr w14:val="tx1"/>
                  </w14:solidFill>
                </w14:textFill>
              </w:rPr>
              <w:t>1000</w:t>
            </w:r>
            <w:r>
              <w:rPr>
                <w:rFonts w:hint="eastAsia" w:ascii="Times New Roman" w:hAnsi="Times New Roman" w:eastAsia="仿宋_GB2312"/>
                <w:color w:val="000000" w:themeColor="text1"/>
                <w:kern w:val="0"/>
                <w:sz w:val="21"/>
                <w:szCs w:val="21"/>
                <w14:textFill>
                  <w14:solidFill>
                    <w14:schemeClr w14:val="tx1"/>
                  </w14:solidFill>
                </w14:textFill>
              </w:rPr>
              <w:t>亩以下</w:t>
            </w:r>
            <w:r>
              <w:rPr>
                <w:rFonts w:ascii="Times New Roman" w:hAnsi="Times New Roman" w:eastAsia="仿宋_GB2312"/>
                <w:color w:val="000000" w:themeColor="text1"/>
                <w:kern w:val="0"/>
                <w:sz w:val="21"/>
                <w:szCs w:val="21"/>
                <w14:textFill>
                  <w14:solidFill>
                    <w14:schemeClr w14:val="tx1"/>
                  </w14:solidFill>
                </w14:textFill>
              </w:rPr>
              <w:t>300</w:t>
            </w:r>
            <w:r>
              <w:rPr>
                <w:rFonts w:hint="eastAsia" w:ascii="Times New Roman" w:hAnsi="Times New Roman" w:eastAsia="仿宋_GB2312"/>
                <w:color w:val="000000" w:themeColor="text1"/>
                <w:kern w:val="0"/>
                <w:sz w:val="21"/>
                <w:szCs w:val="21"/>
                <w:lang w:eastAsia="zh-CN"/>
                <w14:textFill>
                  <w14:solidFill>
                    <w14:schemeClr w14:val="tx1"/>
                  </w14:solidFill>
                </w14:textFill>
              </w:rPr>
              <w:t>亩</w:t>
            </w:r>
            <w:r>
              <w:rPr>
                <w:rFonts w:hint="eastAsia" w:ascii="Times New Roman" w:hAnsi="Times New Roman" w:eastAsia="仿宋_GB2312"/>
                <w:color w:val="000000" w:themeColor="text1"/>
                <w:kern w:val="0"/>
                <w:sz w:val="21"/>
                <w:szCs w:val="21"/>
                <w14:textFill>
                  <w14:solidFill>
                    <w14:schemeClr w14:val="tx1"/>
                  </w14:solidFill>
                </w14:textFill>
              </w:rPr>
              <w:t>及以上的网箱养殖、海洋牧场（不含海洋人工鱼礁）、苔茷养殖等；用海面积</w:t>
            </w:r>
            <w:r>
              <w:rPr>
                <w:rFonts w:ascii="Times New Roman" w:hAnsi="Times New Roman" w:eastAsia="仿宋_GB2312"/>
                <w:color w:val="000000" w:themeColor="text1"/>
                <w:kern w:val="0"/>
                <w:sz w:val="21"/>
                <w:szCs w:val="21"/>
                <w14:textFill>
                  <w14:solidFill>
                    <w14:schemeClr w14:val="tx1"/>
                  </w14:solidFill>
                </w14:textFill>
              </w:rPr>
              <w:t>1000</w:t>
            </w:r>
            <w:r>
              <w:rPr>
                <w:rFonts w:hint="eastAsia" w:ascii="Times New Roman" w:hAnsi="Times New Roman" w:eastAsia="仿宋_GB2312"/>
                <w:color w:val="000000" w:themeColor="text1"/>
                <w:kern w:val="0"/>
                <w:sz w:val="21"/>
                <w:szCs w:val="21"/>
                <w14:textFill>
                  <w14:solidFill>
                    <w14:schemeClr w14:val="tx1"/>
                  </w14:solidFill>
                </w14:textFill>
              </w:rPr>
              <w:t>亩以下</w:t>
            </w:r>
            <w:r>
              <w:rPr>
                <w:rFonts w:ascii="Times New Roman" w:hAnsi="Times New Roman" w:eastAsia="仿宋_GB2312"/>
                <w:color w:val="000000" w:themeColor="text1"/>
                <w:kern w:val="0"/>
                <w:sz w:val="21"/>
                <w:szCs w:val="21"/>
                <w14:textFill>
                  <w14:solidFill>
                    <w14:schemeClr w14:val="tx1"/>
                  </w14:solidFill>
                </w14:textFill>
              </w:rPr>
              <w:t>100</w:t>
            </w:r>
            <w:r>
              <w:rPr>
                <w:rFonts w:hint="eastAsia" w:ascii="Times New Roman" w:hAnsi="Times New Roman" w:eastAsia="仿宋_GB2312"/>
                <w:color w:val="000000" w:themeColor="text1"/>
                <w:kern w:val="0"/>
                <w:sz w:val="21"/>
                <w:szCs w:val="21"/>
                <w14:textFill>
                  <w14:solidFill>
                    <w14:schemeClr w14:val="tx1"/>
                  </w14:solidFill>
                </w14:textFill>
              </w:rPr>
              <w:t>亩及以上的水产养殖基地、工厂化养殖、高位池（提水）养殖；用海面积</w:t>
            </w:r>
            <w:r>
              <w:rPr>
                <w:rFonts w:ascii="Times New Roman" w:hAnsi="Times New Roman" w:eastAsia="仿宋_GB2312"/>
                <w:color w:val="000000" w:themeColor="text1"/>
                <w:kern w:val="0"/>
                <w:sz w:val="21"/>
                <w:szCs w:val="21"/>
                <w14:textFill>
                  <w14:solidFill>
                    <w14:schemeClr w14:val="tx1"/>
                  </w14:solidFill>
                </w14:textFill>
              </w:rPr>
              <w:t>1500</w:t>
            </w:r>
            <w:r>
              <w:rPr>
                <w:rFonts w:hint="eastAsia" w:ascii="Times New Roman" w:hAnsi="Times New Roman" w:eastAsia="仿宋_GB2312"/>
                <w:color w:val="000000" w:themeColor="text1"/>
                <w:kern w:val="0"/>
                <w:sz w:val="21"/>
                <w:szCs w:val="21"/>
                <w14:textFill>
                  <w14:solidFill>
                    <w14:schemeClr w14:val="tx1"/>
                  </w14:solidFill>
                </w14:textFill>
              </w:rPr>
              <w:t>亩及以上的底播</w:t>
            </w:r>
            <w:r>
              <w:rPr>
                <w:rFonts w:hint="eastAsia" w:ascii="Times New Roman" w:hAnsi="Times New Roman" w:eastAsia="仿宋_GB2312"/>
                <w:color w:val="000000" w:themeColor="text1"/>
                <w:kern w:val="0"/>
                <w:sz w:val="21"/>
                <w:szCs w:val="21"/>
                <w:lang w:eastAsia="zh-CN"/>
                <w14:textFill>
                  <w14:solidFill>
                    <w14:schemeClr w14:val="tx1"/>
                  </w14:solidFill>
                </w14:textFill>
              </w:rPr>
              <w:t>养</w:t>
            </w:r>
            <w:r>
              <w:rPr>
                <w:rFonts w:hint="eastAsia" w:ascii="Times New Roman" w:hAnsi="Times New Roman" w:eastAsia="仿宋_GB2312"/>
                <w:color w:val="000000" w:themeColor="text1"/>
                <w:kern w:val="0"/>
                <w:sz w:val="21"/>
                <w:szCs w:val="21"/>
                <w14:textFill>
                  <w14:solidFill>
                    <w14:schemeClr w14:val="tx1"/>
                  </w14:solidFill>
                </w14:textFill>
              </w:rPr>
              <w:t>殖、藻类养殖；涉及环境敏感区的</w:t>
            </w:r>
          </w:p>
        </w:tc>
        <w:tc>
          <w:tcPr>
            <w:tcW w:w="1449"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其他</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ascii="Times New Roman" w:hAnsi="Times New Roman" w:eastAsia="仿宋_GB2312"/>
                <w:color w:val="000000" w:themeColor="text1"/>
                <w:kern w:val="0"/>
                <w:sz w:val="21"/>
                <w:szCs w:val="21"/>
                <w14:textFill>
                  <w14:solidFill>
                    <w14:schemeClr w14:val="tx1"/>
                  </w14:solidFill>
                </w14:textFill>
              </w:rPr>
              <w:t> </w:t>
            </w:r>
            <w:r>
              <w:rPr>
                <w:rFonts w:hint="eastAsia" w:ascii="Times New Roman" w:hAnsi="Times New Roman" w:eastAsia="仿宋_GB2312"/>
                <w:color w:val="000000" w:themeColor="text1"/>
                <w:kern w:val="0"/>
                <w:sz w:val="21"/>
                <w:szCs w:val="21"/>
                <w14:textFill>
                  <w14:solidFill>
                    <w14:schemeClr w14:val="tx1"/>
                  </w14:solidFill>
                </w14:textFill>
              </w:rPr>
              <w:t>第三条（一）中的自然保护区、海洋特别保护区；第三条（二）中的除（一）外的生态保护红线管控范围，海洋公园，重点保护野生动物栖息地，重点保护野生植物生长繁殖地，重要水生生物的自然产卵场、索饵场，天然渔场，封闭及半封闭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61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内陆养殖</w:t>
            </w:r>
            <w:r>
              <w:rPr>
                <w:rFonts w:ascii="Times New Roman" w:hAnsi="Times New Roman" w:eastAsia="仿宋_GB2312"/>
                <w:color w:val="000000" w:themeColor="text1"/>
                <w:kern w:val="0"/>
                <w:sz w:val="21"/>
                <w:szCs w:val="21"/>
                <w14:textFill>
                  <w14:solidFill>
                    <w14:schemeClr w14:val="tx1"/>
                  </w14:solidFill>
                </w14:textFill>
              </w:rPr>
              <w:t>0412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网箱、围网投饵养殖；涉及环境敏感区的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2634"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ascii="Times New Roman" w:hAnsi="Times New Roman" w:eastAsia="仿宋_GB2312"/>
                <w:color w:val="000000" w:themeColor="text1"/>
                <w:kern w:val="0"/>
                <w:sz w:val="21"/>
                <w:szCs w:val="21"/>
                <w14:textFill>
                  <w14:solidFill>
                    <w14:schemeClr w14:val="tx1"/>
                  </w14:solidFill>
                </w14:textFill>
              </w:rPr>
            </w:pPr>
            <w:r>
              <w:rPr>
                <w:rFonts w:ascii="Times New Roman" w:hAnsi="Times New Roman" w:eastAsia="仿宋_GB2312"/>
                <w:color w:val="000000" w:themeColor="text1"/>
                <w:kern w:val="0"/>
                <w:sz w:val="21"/>
                <w:szCs w:val="21"/>
                <w14:textFill>
                  <w14:solidFill>
                    <w14:schemeClr w14:val="tx1"/>
                  </w14:solidFill>
                </w14:textFill>
              </w:rPr>
              <w:t> </w:t>
            </w: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第三条（一）中的全部区域；第三条（二）中的除（一）外的生态保护红线管控范围，重要湿地，重要水生生物的自然产卵场、索饵场、越冬场和洄游通道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四、煤炭开采和洗选业</w:t>
            </w:r>
            <w:r>
              <w:rPr>
                <w:b/>
                <w:bCs/>
                <w:color w:val="000000" w:themeColor="text1"/>
                <w:sz w:val="21"/>
                <w:szCs w:val="2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2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烟煤和无烟煤开采洗选</w:t>
            </w:r>
            <w:r>
              <w:rPr>
                <w:rFonts w:ascii="Times New Roman" w:hAnsi="Times New Roman" w:eastAsia="仿宋_GB2312"/>
                <w:color w:val="000000" w:themeColor="text1"/>
                <w:kern w:val="0"/>
                <w:sz w:val="21"/>
                <w:szCs w:val="21"/>
                <w14:textFill>
                  <w14:solidFill>
                    <w14:schemeClr w14:val="tx1"/>
                  </w14:solidFill>
                </w14:textFill>
              </w:rPr>
              <w:t>061</w:t>
            </w:r>
            <w:r>
              <w:rPr>
                <w:rFonts w:hint="eastAsia" w:ascii="Times New Roman" w:hAnsi="Times New Roman" w:eastAsia="仿宋_GB2312"/>
                <w:color w:val="000000" w:themeColor="text1"/>
                <w:kern w:val="0"/>
                <w:sz w:val="21"/>
                <w:szCs w:val="21"/>
                <w14:textFill>
                  <w14:solidFill>
                    <w14:schemeClr w14:val="tx1"/>
                  </w14:solidFill>
                </w14:textFill>
              </w:rPr>
              <w:t>；褐煤开采洗选</w:t>
            </w:r>
            <w:r>
              <w:rPr>
                <w:rFonts w:ascii="Times New Roman" w:hAnsi="Times New Roman" w:eastAsia="仿宋_GB2312"/>
                <w:color w:val="000000" w:themeColor="text1"/>
                <w:kern w:val="0"/>
                <w:sz w:val="21"/>
                <w:szCs w:val="21"/>
                <w14:textFill>
                  <w14:solidFill>
                    <w14:schemeClr w14:val="tx1"/>
                  </w14:solidFill>
                </w14:textFill>
              </w:rPr>
              <w:t>062</w:t>
            </w:r>
            <w:r>
              <w:rPr>
                <w:rFonts w:hint="eastAsia" w:ascii="Times New Roman" w:hAnsi="Times New Roman" w:eastAsia="仿宋_GB2312"/>
                <w:color w:val="000000" w:themeColor="text1"/>
                <w:kern w:val="0"/>
                <w:sz w:val="21"/>
                <w:szCs w:val="21"/>
                <w14:textFill>
                  <w14:solidFill>
                    <w14:schemeClr w14:val="tx1"/>
                  </w14:solidFill>
                </w14:textFill>
              </w:rPr>
              <w:t>；其他煤炭采选</w:t>
            </w:r>
            <w:r>
              <w:rPr>
                <w:rFonts w:ascii="Times New Roman" w:hAnsi="Times New Roman"/>
                <w:color w:val="000000" w:themeColor="text1"/>
                <w:kern w:val="0"/>
                <w:sz w:val="21"/>
                <w:szCs w:val="21"/>
                <w14:textFill>
                  <w14:solidFill>
                    <w14:schemeClr w14:val="tx1"/>
                  </w14:solidFill>
                </w14:textFill>
              </w:rPr>
              <w:t>069</w:t>
            </w:r>
          </w:p>
        </w:tc>
        <w:tc>
          <w:tcPr>
            <w:tcW w:w="2204"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煤炭开采</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煤炭洗选、配煤；煤炭储存、集运；风井场地、瓦斯抽放站；矿区修复治理工程（含煤矿火烧区治理工程）</w:t>
            </w:r>
          </w:p>
        </w:tc>
        <w:tc>
          <w:tcPr>
            <w:tcW w:w="1449"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2634"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五、石油和天然气开采业</w:t>
            </w:r>
            <w:r>
              <w:rPr>
                <w:b/>
                <w:bCs/>
                <w:color w:val="000000" w:themeColor="text1"/>
                <w:sz w:val="21"/>
                <w:szCs w:val="21"/>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2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陆地石油开采</w:t>
            </w:r>
            <w:r>
              <w:rPr>
                <w:rFonts w:ascii="Times New Roman" w:hAnsi="Times New Roman" w:eastAsia="仿宋_GB2312"/>
                <w:color w:val="000000" w:themeColor="text1"/>
                <w:kern w:val="0"/>
                <w:sz w:val="21"/>
                <w:szCs w:val="21"/>
                <w14:textFill>
                  <w14:solidFill>
                    <w14:schemeClr w14:val="tx1"/>
                  </w14:solidFill>
                </w14:textFill>
              </w:rPr>
              <w:t>0711</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石油开采新区块开发；页岩油开采；涉及环境敏感区的（含内部集输管线建设）</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ascii="Times New Roman" w:hAnsi="Times New Roman" w:eastAsia="仿宋_GB2312"/>
                <w:color w:val="000000" w:themeColor="text1"/>
                <w:kern w:val="0"/>
                <w:sz w:val="21"/>
                <w:szCs w:val="21"/>
                <w14:textFill>
                  <w14:solidFill>
                    <w14:schemeClr w14:val="tx1"/>
                  </w14:solidFill>
                </w14:textFill>
              </w:rPr>
            </w:pPr>
            <w:r>
              <w:rPr>
                <w:rFonts w:ascii="Times New Roman" w:hAnsi="Times New Roman" w:eastAsia="仿宋_GB2312"/>
                <w:color w:val="000000" w:themeColor="text1"/>
                <w:kern w:val="0"/>
                <w:sz w:val="21"/>
                <w:szCs w:val="21"/>
                <w14:textFill>
                  <w14:solidFill>
                    <w14:schemeClr w14:val="tx1"/>
                  </w14:solidFill>
                </w14:textFill>
              </w:rPr>
              <w:t> </w:t>
            </w: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永久基本农田、基本草原、森林公园、地质公园、重要湿地、天然林，重点保护野生动物栖息地，重点保护野生植物生长繁殖地，重要水生生物的自然产卵场、索饵场、越冬场和洄游通道，天然渔场，水土流失重点预防区和重点治理区、沙化土地封禁保护区；第三条（三）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3726"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陆地天然气开采0721</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新区块开发；年生产能力</w:t>
            </w:r>
            <w:r>
              <w:rPr>
                <w:rFonts w:ascii="Times New Roman" w:hAnsi="Times New Roman" w:eastAsia="仿宋_GB2312"/>
                <w:color w:val="000000" w:themeColor="text1"/>
                <w:kern w:val="0"/>
                <w:sz w:val="21"/>
                <w:szCs w:val="21"/>
                <w14:textFill>
                  <w14:solidFill>
                    <w14:schemeClr w14:val="tx1"/>
                  </w14:solidFill>
                </w14:textFill>
              </w:rPr>
              <w:t>1</w:t>
            </w:r>
            <w:r>
              <w:rPr>
                <w:rFonts w:hint="eastAsia" w:ascii="Times New Roman" w:hAnsi="Times New Roman" w:eastAsia="仿宋_GB2312"/>
                <w:color w:val="000000" w:themeColor="text1"/>
                <w:kern w:val="0"/>
                <w:sz w:val="21"/>
                <w:szCs w:val="21"/>
                <w14:textFill>
                  <w14:solidFill>
                    <w14:schemeClr w14:val="tx1"/>
                  </w14:solidFill>
                </w14:textFill>
              </w:rPr>
              <w:t>亿立方米及以上的煤层气开采；涉及环境敏感区的（含内部集输管线建设）</w:t>
            </w:r>
          </w:p>
        </w:tc>
        <w:tc>
          <w:tcPr>
            <w:tcW w:w="1843"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永久基本农田、基本草原、森林公园、地质公园、重要湿地、天然林，重点保护野生动物栖息地，重点保护野生植物生长繁殖地，重要水生生物的自然产卵场、索饵场、越冬场和洄游通道，天然渔场，水土流失重点预防区和重点治理区、沙化土地封禁保护区；第三条（三）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highlight w:val="yellow"/>
                <w14:textFill>
                  <w14:solidFill>
                    <w14:schemeClr w14:val="tx1"/>
                  </w14:solidFill>
                </w14:textFill>
              </w:rPr>
            </w:pPr>
            <w:r>
              <w:rPr>
                <w:rFonts w:hint="eastAsia"/>
                <w:b/>
                <w:bCs/>
                <w:color w:val="000000" w:themeColor="text1"/>
                <w:sz w:val="21"/>
                <w:szCs w:val="21"/>
                <w14:textFill>
                  <w14:solidFill>
                    <w14:schemeClr w14:val="tx1"/>
                  </w14:solidFill>
                </w14:textFill>
              </w:rPr>
              <w:t>六、黑色金属矿采选业08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441"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ind w:firstLine="210" w:firstLineChars="10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ind w:firstLine="210" w:firstLineChars="100"/>
              <w:jc w:val="both"/>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9</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铁矿采选081；锰矿</w:t>
            </w:r>
            <w:r>
              <w:rPr>
                <w:rFonts w:hint="eastAsia" w:ascii="Times New Roman" w:hAnsi="Times New Roman" w:eastAsia="仿宋_GB2312"/>
                <w:color w:val="000000" w:themeColor="text1"/>
                <w:kern w:val="0"/>
                <w:sz w:val="21"/>
                <w:szCs w:val="21"/>
                <w:lang w:eastAsia="zh-CN"/>
                <w14:textFill>
                  <w14:solidFill>
                    <w14:schemeClr w14:val="tx1"/>
                  </w14:solidFill>
                </w14:textFill>
              </w:rPr>
              <w:t>、</w:t>
            </w:r>
            <w:r>
              <w:rPr>
                <w:rFonts w:hint="eastAsia" w:ascii="Times New Roman" w:hAnsi="Times New Roman" w:eastAsia="仿宋_GB2312"/>
                <w:color w:val="000000" w:themeColor="text1"/>
                <w:kern w:val="0"/>
                <w:sz w:val="21"/>
                <w:szCs w:val="21"/>
                <w14:textFill>
                  <w14:solidFill>
                    <w14:schemeClr w14:val="tx1"/>
                  </w14:solidFill>
                </w14:textFill>
              </w:rPr>
              <w:t>铬矿采选082；其他黑色金属矿采选089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全部(含新建或扩建的独立尾矿库；不含单独的矿石破碎、集运；不含矿区修复治理工程)</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单独的矿石破碎、集运；矿区修复治理工程</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left"/>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七、有色金属矿采选业09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2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常用有色金属矿采选091；贵金属矿采选092；稀有稀土金属矿采选093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全部(含新建或扩建的独立尾矿库；不含单独的矿石破碎、集运；不含矿区修复治理工程)</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单独的矿石破碎、集运；矿区修复治理工程</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left"/>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八、非金属矿采选业10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71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土砂石开</w:t>
            </w:r>
            <w:r>
              <w:rPr>
                <w:rFonts w:hint="eastAsia" w:ascii="Times New Roman" w:hAnsi="Times New Roman" w:eastAsia="仿宋_GB2312"/>
                <w:color w:val="000000" w:themeColor="text1"/>
                <w:kern w:val="0"/>
                <w:sz w:val="21"/>
                <w:szCs w:val="21"/>
                <w:lang w:eastAsia="zh-CN"/>
                <w14:textFill>
                  <w14:solidFill>
                    <w14:schemeClr w14:val="tx1"/>
                  </w14:solidFill>
                </w14:textFill>
              </w:rPr>
              <w:t>采</w:t>
            </w:r>
            <w:r>
              <w:rPr>
                <w:rFonts w:hint="eastAsia" w:ascii="Times New Roman" w:hAnsi="Times New Roman" w:eastAsia="仿宋_GB2312"/>
                <w:color w:val="000000" w:themeColor="text1"/>
                <w:kern w:val="0"/>
                <w:sz w:val="21"/>
                <w:szCs w:val="21"/>
                <w14:textFill>
                  <w14:solidFill>
                    <w14:schemeClr w14:val="tx1"/>
                  </w14:solidFill>
                </w14:textFill>
              </w:rPr>
              <w:t>101(不含河道采砂项目)</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涉及环境敏感区的(不含单独的矿石破碎、集运；不含矿区修复治理工程)</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eastAsia="zh-CN"/>
                <w14:textFill>
                  <w14:solidFill>
                    <w14:schemeClr w14:val="tx1"/>
                  </w14:solidFill>
                </w14:textFill>
              </w:rPr>
            </w:pPr>
            <w:r>
              <w:rPr>
                <w:rFonts w:hint="eastAsia" w:ascii="Times New Roman" w:hAnsi="Times New Roman" w:eastAsia="仿宋_GB2312"/>
                <w:color w:val="000000" w:themeColor="text1"/>
                <w:kern w:val="0"/>
                <w:sz w:val="21"/>
                <w:szCs w:val="21"/>
                <w:lang w:eastAsia="zh-CN"/>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 一) 中的全部区域；第三条(二) 中的除( 一)外的生态保护红线管控范围，基本草原，重要水生生物的自然产卵场、索饵场、越冬场和洄游通道，沙化土地封禁保护区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4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化学矿开采102； 石棉及其他非金属矿采选109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全部(不含单独的矿石破碎、集运；不含矿区修复治理工程)</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单独的矿石破碎、集运；矿区修复治理工程</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before="65" w:line="240" w:lineRule="exact"/>
              <w:jc w:val="left"/>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53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采盐103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井盐</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湖盐、海盐</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before="166" w:line="240" w:lineRule="exact"/>
              <w:ind w:left="114" w:leftChars="0"/>
              <w:jc w:val="left"/>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九、其他采矿业12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53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176"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其他采矿业120</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 一) 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十、农副食品加工业13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77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谷物磨制131*；饲料加工132*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含发酵工艺的；年加工1万吨及以上的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57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植物油加工133*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除单纯分装、调和外的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54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17</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制糖业134*</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日加工糖料能力1000吨及以上的原糖生产</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其他(单纯分装的除外)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1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18</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屠宰及肉类加工135*</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屠宰生猪10 万头、肉牛1万头、肉羊15万只、禽类1000万只及以上的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其他屠宰；年加工2万吨及以上的肉类加工</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其他肉类加工</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7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19</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水产品加工136</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鱼油提取及制品制造；年加工10万吨及以上的；涉及环境敏感区的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 一) 中的全部区域；第三条(二) 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8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20</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其他农副食品加工 139*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含发酵工艺的淀粉、淀粉糖制造</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不含发酵工艺的淀粉、淀粉糖制造；淀粉制品制造；豆制品制造</w:t>
            </w: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以上均不含单纯分装的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before="65" w:line="240" w:lineRule="exact"/>
              <w:jc w:val="left"/>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十一、食品制造业14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26"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糖果、巧克力及蜜饯制造142*；方便食品制造143*；罐头食品制造145*</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除单纯分装外的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26"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乳制品制造144*</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除单纯混合、分装外的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29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23</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调味品、发酵制品制造146*</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有发酵工艺的味精、柠檬酸、赖氨酸、酵母制造；年产2万吨及以上且有发酵工艺的酱油、食醋制造</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其他(单纯混合、分装的除外)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46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24</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其他食品制造149*</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有发酵工艺的食品添加剂制造；有发酵工艺的饲料添加剂制造</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盐加工；营养食品制造、保健食品制造、冷冻饮品及食用冰制造、无发酵工艺的食品及饲料添加剂制造、其他未列明食品制造</w:t>
            </w: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以上均不含单纯混合、分装的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十二、酒、饮料制造业15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78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酒的制造151*</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有发酵工艺的(年生产能力1000千升以下的除外)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其他(单纯勾兑的除外)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62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饮料制造152*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有发酵工艺、原汁生产的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十三、烟草制品业16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580" w:hRule="atLeast"/>
          <w:jc w:val="center"/>
        </w:trPr>
        <w:tc>
          <w:tcPr>
            <w:tcW w:w="606"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rFonts w:hint="default"/>
                <w:color w:val="000000" w:themeColor="text1"/>
                <w:sz w:val="21"/>
                <w:szCs w:val="21"/>
                <w:lang w:val="en-US"/>
                <w14:textFill>
                  <w14:solidFill>
                    <w14:schemeClr w14:val="tx1"/>
                  </w14:solidFill>
                </w14:textFill>
              </w:rPr>
              <w:t>7</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卷烟制造162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5"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十四、纺织业17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321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28</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棉纺织及印染精加工171*；毛纺织及染整精加工172*；麻纺织及染整精加工173*；丝绢纺织及印染精加工174*；化纤织造及印染精加工175*；针织或钩针编织物及其制品制造176*；家用纺织制成品制造177*；产业用纺织制成品制造178*</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有洗毛、脱胶、缫丝工艺的；染整工艺有前处理、染色、印花(喷墨印花和数码印花的除外)工序的；有使用有机溶剂的涂层工艺的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有喷墨印花或数码印花工艺的；后整理工序涉及有机溶剂的；有喷水织造工艺的；有水刺无纺布织造工艺的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十五、纺织服装、服饰业18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7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29</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机织服装制造181*；针织或钩针编织服装制造 182*；服饰制造183*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有染色、印花(喷墨印花和数码印花的除外)工序的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有喷墨印花或数码印花工艺的；有洗水、砂洗工艺的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5"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十六、皮革、毛皮、羽毛及其制品和制鞋业19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31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皮革鞣制加工191；皮革制品制造192；毛皮鞣制及制品加工193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有鞣制、染色工艺的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其他(无鞣制、染色工艺的毛 皮加工除外；无鞣制、染色工艺的皮革制品制造除外)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3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羽毛(绒)加工及制品制造194*</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全部(无水洗工艺的羽毛(绒)加工除外；羽毛(绒)制品制造除外)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85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制鞋业195*</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有橡胶硫化工艺、塑料注塑工艺的；年用溶剂型胶粘剂10吨及以上的，或年用溶剂型处理剂3吨及以上的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十七、木材加工和木、竹、藤、棕、草制品业20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991"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33</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木材加工201；木质制品制造203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年用溶剂型涂料(含稀释剂) 10吨以下的，或年用非溶剂型低VOCs含量涂料1</w:t>
            </w:r>
            <w:r>
              <w:rPr>
                <w:rFonts w:hint="default" w:ascii="Times New Roman" w:hAnsi="Times New Roman" w:eastAsia="仿宋_GB2312"/>
                <w:color w:val="000000" w:themeColor="text1"/>
                <w:kern w:val="0"/>
                <w:sz w:val="21"/>
                <w:szCs w:val="21"/>
                <w:lang w:val="en-US"/>
                <w14:textFill>
                  <w14:solidFill>
                    <w14:schemeClr w14:val="tx1"/>
                  </w14:solidFill>
                </w14:textFill>
              </w:rPr>
              <w:t>0</w:t>
            </w:r>
            <w:r>
              <w:rPr>
                <w:rFonts w:hint="eastAsia" w:ascii="Times New Roman" w:hAnsi="Times New Roman" w:eastAsia="仿宋_GB2312"/>
                <w:color w:val="000000" w:themeColor="text1"/>
                <w:kern w:val="0"/>
                <w:sz w:val="21"/>
                <w:szCs w:val="21"/>
                <w14:textFill>
                  <w14:solidFill>
                    <w14:schemeClr w14:val="tx1"/>
                  </w14:solidFill>
                </w14:textFill>
              </w:rPr>
              <w:t>吨及以上的；含木片烘干、水煮、染色等工艺的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732"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34</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人造板制造202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年产20万立方米及以上的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214"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竹、藤、棕、草等制品制造204*</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采用胶合工艺的；年用溶剂型涂料(含稀释剂) 10吨以下的，或年用非溶剂型低VOCs含量涂料10吨及以上的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十八、家具制造业21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0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木质家具制造211*；竹、 藤家具制造 212*；金属家具制造213*；塑料家具制造214*；其他家具制造 219*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其他(仅分割、组装的除外；年用非溶剂型低VOCs含量涂料10吨以下的除外)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十九、造纸和纸制品业22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1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37</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纸浆制造221*；造纸 222* (含废纸造纸)</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 (手工纸、加工纸制造除外)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手工纸制造；有涂布、浸渍、 印刷、粘胶工艺的加工纸制造</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59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纸制品制造223*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有涂布、浸渍、印刷、粘胶工艺的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二十、印刷和记录媒介复制业23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2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39</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印刷231*</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年用溶剂油墨10吨及以上的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其他(激光印刷除外；年用低VOCs含量油墨10吨以下的印刷除外)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二十一、文教、工美、体育和娱乐用品制造业24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99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文教办公用品制造 241* ；乐器制造242*；体育用品制造244* ；玩具制造245*；游艺器材及娱乐用品制造246*</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有橡胶硫化工艺、塑料注塑工艺的；年用溶剂型涂料(含稀释剂)10吨以下的，或年用非溶剂型低VOCs含量涂料10吨及 以上的；年用溶剂型胶粘剂10吨及以上的，或年用溶剂型处理剂3吨及以上的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924"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工艺美术及礼仪用品制造243*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年用溶剂型涂料(含稀释剂)10吨以下的，或年用非溶剂型低VOCs含量涂料10吨及以上的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二十二、石油、煤炭及其他燃料加工业25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701"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精炼石油产品制造 251；煤炭加工252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全部(单纯物理分离、物理提纯、混合、分装的除外；煤制品制造除外；其他煤炭加工除外)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单纯物理分离、物理提纯、混合、分装的(不产生废水或挥发性有机物的除外)；煤制品制造；其他煤炭加工</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1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43</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生物质燃料加工254</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生物质液体燃料生产</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生物质致密成型燃料加工</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5"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二十三、化学原料和化学制品制造业26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297"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44</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基础化学原料制造 261；农药制造263；涂料、油墨、颜料及类似产品制造264；合成材料制造265；专用化学产品制造 266；炸药、火工及焰火产品制造267</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全部(含研发中试；不含单纯物理分离、物理提纯、混合、分装的)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单纯物理分离、物理提纯、混合、分装的(不产生废水或挥发性有机物的除外)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784"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肥料制造262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化学方法生产氮肥、磷肥、复混肥的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25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46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日用化学产品制造 268</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以油脂为原料的肥皂或皂粒制造(采用连续皂化工艺、油脂水解工艺的除外)；香料制造</w:t>
            </w: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以上均不含单纯混合或分装的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采用连续皂化工艺、油脂水解工艺的肥皂或皂粒制造；采用高塔喷粉工艺的合成洗衣粉制造；采用热反应工艺的香精制造；烫发剂、染发剂制造</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二十四、医药制造业27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81"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47</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化学药品原料药制造271；化学药品制剂制造272；兽用药品制造275；生物药品制品制造276</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全部(含研发中试；不含单纯药品复配、分装；不含化学药品制剂制造的)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单纯药品复配且产生废水或挥发性有机物的；仅化学药品制剂制造</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69"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48</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中药饮片加工273*；中成药生产274*</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有提炼工艺的(仅醇提、水提的除外)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其他(单纯切片、制干、打包的除外)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47"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49</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卫生材料及医药用品制造277；药用辅料及包装材料制造278</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卫生材料及医药用品制造(仅组装、分装的除外)；含有机合成反应的药用辅料制造；含有机合成反应的包装材料制造</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4"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二十五、化学纤维制造业28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1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纤维素纤维原料及纤维制造281；合成纤维制造282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全部(单纯纺丝、单纯丙纶纤维制造的除外)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单纯纺丝制造；单纯丙纶纤维制造</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59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生物基材料制造283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生物基化学纤维制造(单纯纺丝的除外)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单纯纺丝制造</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二十六、橡胶和塑料制品业29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8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rFonts w:hint="eastAsia"/>
                <w:color w:val="000000" w:themeColor="text1"/>
                <w:sz w:val="21"/>
                <w:szCs w:val="21"/>
                <w:lang w:val="en-US" w:eastAsia="zh-CN"/>
                <w14:textFill>
                  <w14:solidFill>
                    <w14:schemeClr w14:val="tx1"/>
                  </w14:solidFill>
                </w14:textFill>
              </w:rPr>
              <w:t>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橡胶制品业291</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轮胎制造；再生橡胶制造(常压连续脱硫工艺除外)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65"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default"/>
                <w:color w:val="000000" w:themeColor="text1"/>
                <w:sz w:val="21"/>
                <w:szCs w:val="21"/>
                <w:lang w:val="en-US"/>
                <w14:textFill>
                  <w14:solidFill>
                    <w14:schemeClr w14:val="tx1"/>
                  </w14:solidFill>
                </w14:textFill>
              </w:rPr>
            </w:pPr>
            <w:r>
              <w:rPr>
                <w:rFonts w:hint="default"/>
                <w:color w:val="000000" w:themeColor="text1"/>
                <w:sz w:val="21"/>
                <w:szCs w:val="21"/>
                <w:lang w:val="en-US"/>
                <w14:textFill>
                  <w14:solidFill>
                    <w14:schemeClr w14:val="tx1"/>
                  </w14:solidFill>
                </w14:textFill>
              </w:rPr>
              <w:t xml:space="preserve">     </w:t>
            </w: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default"/>
                <w:color w:val="000000" w:themeColor="text1"/>
                <w:sz w:val="21"/>
                <w:szCs w:val="21"/>
                <w:lang w:val="en-US"/>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53</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塑料制品业292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以再生塑料为原料生产的；有电镀工艺的；年用溶剂型胶粘剂10吨及以上的；年用溶剂型涂料(含稀释剂)10吨及以上的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二十七、非金属矿物制品业30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8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54</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水泥、石灰和石膏制造301</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水泥制造(水泥粉磨站除外)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水泥粉磨站；石灰和石膏制造</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5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石膏、水泥制品及类似制品制造302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商品混凝土；砼结构构件制造；水泥制品制造</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72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砖瓦、石材等建筑材料制造303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粘土砖瓦及建筑砌块制造；建筑用石加工；防水建筑材料制造；隔热、隔音材料制造；其他建筑材料制造(含干粉砂浆搅拌站)</w:t>
            </w: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以上均不含利用石材板材切割、打磨、成型的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65"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both"/>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57</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玻璃制造304；玻璃制品制造305</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平板玻璃制造</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特种玻璃制造；其他玻璃制造；玻璃制品制造(电加热的除外；仅切割、打磨、成型的除外)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0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58</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玻璃纤维和玻璃纤维增强塑料制品制 造306</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51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59</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陶瓷制品制造307*</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使用高污染燃料的(高污染燃料指国环规大气〔2017〕2号《高污染燃料目录》中规定的燃料)</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不使用高污染燃料的建筑陶瓷制品制造；不使用高污染燃料的年产150万件及以上的卫生陶瓷制品制造；不使用高污染燃料的年产250万件及以上的日用陶瓷制品制造</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2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耐火材料制品制造 308；石墨及其他非金属矿物制品制造 309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石棉制品；含焙烧的石墨、碳素制品</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4"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二十八、黑色金属冶炼和压延加工业31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2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61</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炼铁311</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11"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炼钢312；铁合金冶炼314</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2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63</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钢压延加工313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年产50万吨及以上的冷轧</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2"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二十九、有色金属冶炼和压延加工业32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385"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64</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常用有色金属冶炼321；贵金属冶炼322；稀有稀土金属冶炼323；有色金属合金制造324</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全部(利用单质金属混配重熔生产合金的除外)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75"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有色金属压延加工</w:t>
            </w:r>
            <w:r>
              <w:rPr>
                <w:rFonts w:hint="eastAsia" w:ascii="Times New Roman" w:hAnsi="Times New Roman" w:eastAsia="仿宋_GB2312"/>
                <w:color w:val="000000" w:themeColor="text1"/>
                <w:kern w:val="0"/>
                <w:sz w:val="21"/>
                <w:szCs w:val="21"/>
                <w:lang w:val="en-US" w:eastAsia="zh-CN"/>
                <w14:textFill>
                  <w14:solidFill>
                    <w14:schemeClr w14:val="tx1"/>
                  </w14:solidFill>
                </w14:textFill>
              </w:rPr>
              <w:t xml:space="preserve"> </w:t>
            </w:r>
            <w:r>
              <w:rPr>
                <w:rFonts w:hint="eastAsia" w:ascii="Times New Roman" w:hAnsi="Times New Roman" w:eastAsia="仿宋_GB2312"/>
                <w:color w:val="000000" w:themeColor="text1"/>
                <w:kern w:val="0"/>
                <w:sz w:val="21"/>
                <w:szCs w:val="21"/>
                <w14:textFill>
                  <w14:solidFill>
                    <w14:schemeClr w14:val="tx1"/>
                  </w14:solidFill>
                </w14:textFill>
              </w:rPr>
              <w:t>325</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9"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三十、金属制品业33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52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66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结构性金属制品制造331；金属工具制造332；集装箱及金属包装容器制造333；金属丝绳及其制品制造334；建筑、安全用金属制品制造335；搪瓷制品制造337；金属制日用品制造338</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其他(仅分割、焊接、组装的除外；年用非溶剂型低VOCs含量涂料10吨以下的除外)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33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67</w:t>
            </w:r>
          </w:p>
        </w:tc>
        <w:tc>
          <w:tcPr>
            <w:tcW w:w="2050"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left"/>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金属表面处理及热处理加工</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有电镀工艺的；有钝化工艺的热镀锌；使用有机涂层的(喷粉、喷塑、浸塑和电泳除外；年用溶剂型涂料(含稀释剂)10吨以下和用非溶剂型低VOCs含量涂料的除外)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55"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68</w:t>
            </w:r>
          </w:p>
        </w:tc>
        <w:tc>
          <w:tcPr>
            <w:tcW w:w="2050"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left"/>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铸造及其他金属制品制造339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黑色金属铸造年产10万吨及以上的；有色金属铸造年产10万吨及以上的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其他(仅分割、焊接、组装的除外)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三十一、通用设备制造业34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001"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69</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锅炉及原动设备制造341；金属加工机械制造342；物料搬运设备制造343；泵、阀门、压缩机及类似机械制造344；轴承、齿轮和传动部件制造345；烘炉、风机、包装等设备制造346；文化、办公用机械制造347；通用零部件制造348；其他通用设备制造业349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 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其他(仅分割、焊接、组装的除外；年用非溶剂型低VOCs含量涂料10吨以下的除外)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8"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before="0" w:line="240" w:lineRule="exact"/>
              <w:ind w:right="0"/>
              <w:textAlignment w:val="auto"/>
              <w:rPr>
                <w:rFonts w:ascii="宋体" w:hAnsi="宋体" w:eastAsia="宋体" w:cs="宋体"/>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三十二、专用设备制造业35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895" w:hRule="atLeast"/>
          <w:jc w:val="center"/>
        </w:trPr>
        <w:tc>
          <w:tcPr>
            <w:tcW w:w="606"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70</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采矿、冶金、建筑专用设备制造351；化工、木材、非金属加工专用设备制造352；食品、饮料、烟草及饲料生产专用设备制造353；印刷、制药、日化及日用品生产专用设备 制造354；纺织、服装和皮革加工专用设备制造355；电子和电工机械专用设备制造356；农、林、牧、渔专用机械制造357；医疗仪器设备及器械制造358；环保、邮政、社会公共服务及其他专用设备制造359</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其他(仅分割、焊接、组装的除外；年用非溶剂型低VOCs含量涂料10吨以下的除外)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5"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before="0" w:line="240" w:lineRule="exact"/>
              <w:ind w:right="0"/>
              <w:textAlignment w:val="auto"/>
              <w:rPr>
                <w:rFonts w:hint="eastAsia"/>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三十三、汽车制造业36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970" w:hRule="atLeast"/>
          <w:jc w:val="center"/>
        </w:trPr>
        <w:tc>
          <w:tcPr>
            <w:tcW w:w="606"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71</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汽车整车制造361；汽车用发动机制造 362；改装汽车制造363；低速汽车制造 364； 电车制造365；汽车车身、挂车制造366；汽车零部件及配件制造367</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汽车整车制造(仅组装的除外)；汽车用发动机制造(仅组装的除外)；有电镀工艺的；年用溶剂型涂料(含稀释剂)10吨及以上的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6"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before="0" w:line="240" w:lineRule="exact"/>
              <w:ind w:right="0"/>
              <w:textAlignment w:val="auto"/>
              <w:rPr>
                <w:rFonts w:ascii="宋体" w:hAnsi="宋体" w:eastAsia="宋体" w:cs="宋体"/>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三十四、铁路、船舶、航空航天和其他运输设备制造业37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5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72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铁路运输设备制造 371；城市轨道交通设备制造372</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机车、车辆、高铁车组、城市轨道交通设备制造；发动机生产；有电镀工艺的；年用溶剂型涂料(含稀释剂)10吨及以上的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61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73</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船舶及相关装置制造 373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造船、拆船、修船厂；有电镀工艺的；年用溶剂型涂料(含稀释剂)10吨及以上的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其他(仅组装的除外；木船建造和维修除外；年用非溶剂型低VOCs含量涂料10吨以下的除外)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8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74</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航空、航天器及设备制造 374</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2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摩托车制造375</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摩托车整车制造(仅组装的除外)；发动机制造(仅组装的除外)；有电镀工艺的；年用溶剂型涂料(含稀释剂)10吨及以上的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900" w:hRule="atLeast"/>
          <w:jc w:val="center"/>
        </w:trPr>
        <w:tc>
          <w:tcPr>
            <w:tcW w:w="606"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76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自行车和残疾人座车制造376；助动车制造377；非公路休闲车及零配件制造378；潜水救捞及其他未列明运输设备制造379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其他(仅分割、焊接、组装的除外；年用非溶剂型低VOCs含量涂料10吨以下的除外)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right="0"/>
              <w:jc w:val="lef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三十五、电气机械和器材制造业38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3005" w:hRule="atLeast"/>
          <w:jc w:val="center"/>
        </w:trPr>
        <w:tc>
          <w:tcPr>
            <w:tcW w:w="606"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before="65"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77</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电机制造381；输配电及控制设备制造 382；电线、电缆、光缆及电工器材制 造383；电池制造384；家用电力器具 制造385；非电力家用器具制造386；照明器具制造387；其他电气机械及器材制造389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铅蓄电池制造；太阳能电池片生产；有电镀工艺的；年用溶剂型涂料(含稀释剂)10吨及以上的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其他(仅分割、焊接、组装的除外；年用非溶剂型低VOCs含量涂料10吨以下的除外)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SA"/>
                <w14:textFill>
                  <w14:solidFill>
                    <w14:schemeClr w14:val="tx1"/>
                  </w14:solidFill>
                </w14:textFill>
              </w:rPr>
              <w:t>三十六、计算机、通信和其他电子设备制造业39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0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78</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计算机制造391</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显示器件制造；集成电路制造；使用有机溶剂的；有酸洗的</w:t>
            </w: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以上均不含仅分割、焊接、组装的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69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79</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智能消费设备制 造 396</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全部(仅分割、焊接、组装的除外)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73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电子器件制造397</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显示器件制造；集成电路制造；使用有机溶剂的；有酸洗的</w:t>
            </w: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以上均不含仅分割、焊接、组装的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92"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81</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电子元件及电子专用材料制造398</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半导体材料制造；电子化工材料制造</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印刷电路板制造；电子专用材料制造(电子化工材料制造除外)；使用有机溶剂的；有酸洗的</w:t>
            </w: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以上均不含仅分割、焊接、组装的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850" w:hRule="atLeast"/>
          <w:jc w:val="center"/>
        </w:trPr>
        <w:tc>
          <w:tcPr>
            <w:tcW w:w="606"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82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通信设备制造392；广播电视设备制造393；雷达及配套设备制造394；非专业视听设备制造395；其他电子设备制造399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全部(仅分割、焊接、组装的除外)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5"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before="0" w:line="240" w:lineRule="exact"/>
              <w:ind w:right="0"/>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三十七、仪器仪表制造业40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447" w:hRule="atLeast"/>
          <w:jc w:val="center"/>
        </w:trPr>
        <w:tc>
          <w:tcPr>
            <w:tcW w:w="606"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83</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通用仪器仪表制造 401；专用仪器仪表制造402；钟表与计时仪器制造403*；光学仪器制造404；衡器制造405；其他仪器仪表制造业409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其他(仅分割、焊接、组装的除外；年用非溶剂型低VOCs含量涂料10吨以下的除外)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7"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宋体" w:hAnsi="宋体" w:eastAsia="宋体" w:cs="宋体"/>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三十八、其他制造业41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945" w:hRule="atLeast"/>
          <w:jc w:val="center"/>
        </w:trPr>
        <w:tc>
          <w:tcPr>
            <w:tcW w:w="606"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84</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日用杂品制造411*；其他未列明制造业 419*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年用溶剂型涂料(含稀释剂)10吨以下的，或年用非溶剂型低VOCs含量涂料10吨及以上的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before="0" w:line="240" w:lineRule="exact"/>
              <w:ind w:right="0"/>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三十九、废弃资源综合利用业42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399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85</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金属废料和碎屑加工处理421；非金属废料和碎屑加工处理422(421和422均不含原料为危险废物的，均不含仅分拣、破碎的)</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废电池、废油加工处理</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9"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宋体" w:hAnsi="宋体" w:eastAsia="宋体" w:cs="宋体"/>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四十、金属制品、机械和设备修理业43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285" w:hRule="atLeast"/>
          <w:jc w:val="center"/>
        </w:trPr>
        <w:tc>
          <w:tcPr>
            <w:tcW w:w="606"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86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金属制品修理431；通用设备修理432；专用设备修理433；铁路、船舶、航空航天等运输设备修理 434；电气设备修理435；仪器仪表修理436；其他机械和设备修理业439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有电镀工艺的；年用溶剂型涂料(含稀释剂)10吨及以上的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年用溶剂型涂料(含稀释剂)10吨以下的，或年用非溶剂型低VOCs含量涂料10吨及以上的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7"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hint="default" w:eastAsia="仿宋_GB2312"/>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四十一、电力、热力生产和供应业</w:t>
            </w:r>
            <w:r>
              <w:rPr>
                <w:rFonts w:hint="eastAsia"/>
                <w:b/>
                <w:bCs/>
                <w:color w:val="000000" w:themeColor="text1"/>
                <w:sz w:val="21"/>
                <w:szCs w:val="21"/>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18"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ind w:right="0"/>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ind w:right="0"/>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ind w:right="0"/>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87</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火力发电4411；热电联产4412(4411和4412均含掺烧生活垃圾发电、掺烧污泥发电)</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火力发电和热电联产(发电机组节能改造的除外；燃气发电除外；单纯利用余热、余压、余气(含煤矿瓦斯)发电的除外)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燃气发电；单纯利用余气(含煤矿瓦斯) 发电</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61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88</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水力发电4413</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总装机1000千瓦及以上的常规水电(仅更换发电设备的增效扩容项目除外)；抽水蓄能电站；涉及环境敏感区的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第三条(一)中的全部区域；第三条(二)中的除(一)外的生态保护红线管控范围，重要水生生物的自然产卵场、索饵场、越冬场和洄游通道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6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89</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生物质能发电4417</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生活垃圾发电(掺烧生活垃圾发电的除外)；污泥发电(掺烧污泥发电的除外)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利用农林生物质、沼气、垃圾填埋气发电的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165"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90</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陆上风力发电4415； 太阳能发电4416 (不含居民家用光伏发 电)；其他电力生产 4419(不含海上的潮汐能、波浪能、温差能等发电)</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涉及环境敏感区的总装机容量5万千瓦及以上的陆上风力发电</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陆地利用地热、太阳能热等发电；地面集中光伏电站(总容量大于6000千瓦，且接入电压等级不小于10千伏)；其他风力发电</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其他光伏发电</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第三条(一)中的全部区域；第三条(三)中的全部区域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3411"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ind w:right="0"/>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ind w:right="0"/>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ind w:right="0"/>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ind w:right="0"/>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ind w:right="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ind w:right="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ind w:right="0"/>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91</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热力生产和供应工程(包括建设单位自建自用的供热工程)</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燃煤、燃油锅炉总容量65吨/小时(45.5兆瓦)以上的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燃煤、燃油锅炉总容量65吨/小时(45.5兆瓦) 及以下的；天然气锅炉总容量1吨/小时(</w:t>
            </w:r>
            <w:r>
              <w:rPr>
                <w:rFonts w:hint="default" w:ascii="Times New Roman" w:hAnsi="Times New Roman" w:eastAsia="仿宋_GB2312"/>
                <w:color w:val="000000" w:themeColor="text1"/>
                <w:kern w:val="0"/>
                <w:sz w:val="21"/>
                <w:szCs w:val="21"/>
                <w:lang w:val="en-US"/>
                <w14:textFill>
                  <w14:solidFill>
                    <w14:schemeClr w14:val="tx1"/>
                  </w14:solidFill>
                </w14:textFill>
              </w:rPr>
              <w:t>0.7</w:t>
            </w:r>
            <w:r>
              <w:rPr>
                <w:rFonts w:hint="eastAsia" w:ascii="Times New Roman" w:hAnsi="Times New Roman" w:eastAsia="仿宋_GB2312"/>
                <w:color w:val="000000" w:themeColor="text1"/>
                <w:kern w:val="0"/>
                <w:sz w:val="21"/>
                <w:szCs w:val="21"/>
                <w14:textFill>
                  <w14:solidFill>
                    <w14:schemeClr w14:val="tx1"/>
                  </w14:solidFill>
                </w14:textFill>
              </w:rPr>
              <w:t>兆瓦)以上的；使用其他高污染燃料的(高污染燃料指国环规大气〔2017〕2号《高污染燃料目录》中规定的燃料)</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before="0" w:line="240" w:lineRule="exact"/>
              <w:ind w:right="0"/>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四十二、燃气生产和供应业 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783"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92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燃气生产和供应业 451(不含供应工程)</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煤气生产</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90" w:hRule="atLeast"/>
          <w:jc w:val="center"/>
        </w:trPr>
        <w:tc>
          <w:tcPr>
            <w:tcW w:w="606"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93</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生物质燃气生产和供应业452</w:t>
            </w:r>
            <w:r>
              <w:rPr>
                <w:rFonts w:hint="eastAsia" w:ascii="Times New Roman" w:hAnsi="Times New Roman" w:eastAsia="仿宋_GB2312"/>
                <w:color w:val="000000" w:themeColor="text1"/>
                <w:kern w:val="0"/>
                <w:sz w:val="21"/>
                <w:szCs w:val="21"/>
                <w:lang w:val="en-US" w:eastAsia="zh-CN"/>
                <w14:textFill>
                  <w14:solidFill>
                    <w14:schemeClr w14:val="tx1"/>
                  </w14:solidFill>
                </w14:textFill>
              </w:rPr>
              <w:t xml:space="preserve"> </w:t>
            </w:r>
            <w:r>
              <w:rPr>
                <w:rFonts w:hint="eastAsia" w:ascii="Times New Roman" w:hAnsi="Times New Roman" w:eastAsia="仿宋_GB2312"/>
                <w:color w:val="000000" w:themeColor="text1"/>
                <w:kern w:val="0"/>
                <w:sz w:val="21"/>
                <w:szCs w:val="21"/>
                <w14:textFill>
                  <w14:solidFill>
                    <w14:schemeClr w14:val="tx1"/>
                  </w14:solidFill>
                </w14:textFill>
              </w:rPr>
              <w:t>(不含供应工程)</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before="0" w:line="240" w:lineRule="exact"/>
              <w:ind w:right="0"/>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四十三、水的生产和供应业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86"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94</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自来水生产和供应 461(不含供应工程；不含村庄供应工程)</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964"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95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污水处理及其再生利用</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新建、扩建日处理10万吨及以上城乡污水处理的；新建、扩建工业废水集中处理的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新建、扩建日处理10万吨以下500吨及以上城乡污水处理的；新建、扩建其他工业废水处理的(不含建设单位自建自用仅处理生活污水的；不含出水间接排入地表水体且不排放重金属的)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其他(不含提标改造项目；不含化粪池 及化粪池处理后中水处理回用；不含仅建设沉淀池处理的)</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2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96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海水淡化处理463；其他水的处理、利用与分配469</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1"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四十四、房地产业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350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spacing w:val="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spacing w:val="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97</w:t>
            </w:r>
          </w:p>
        </w:tc>
        <w:tc>
          <w:tcPr>
            <w:tcW w:w="2050"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房地产开发、商业综</w:t>
            </w:r>
          </w:p>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合体、宾馆、酒店、</w:t>
            </w:r>
          </w:p>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办公用房、标准厂房</w:t>
            </w:r>
          </w:p>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等</w:t>
            </w:r>
          </w:p>
        </w:tc>
        <w:tc>
          <w:tcPr>
            <w:tcW w:w="2204"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w:t>
            </w:r>
          </w:p>
        </w:tc>
        <w:tc>
          <w:tcPr>
            <w:tcW w:w="1843"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涉及环境敏感区的</w:t>
            </w:r>
          </w:p>
        </w:tc>
        <w:tc>
          <w:tcPr>
            <w:tcW w:w="1449"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w:t>
            </w:r>
          </w:p>
        </w:tc>
        <w:tc>
          <w:tcPr>
            <w:tcW w:w="2634" w:type="dxa"/>
            <w:tcMar>
              <w:top w:w="0" w:type="dxa"/>
              <w:left w:w="108" w:type="dxa"/>
              <w:bottom w:w="0" w:type="dxa"/>
              <w:right w:w="108" w:type="dxa"/>
            </w:tcMar>
            <w:vAlign w:val="center"/>
          </w:tcPr>
          <w:p>
            <w:pPr>
              <w:pStyle w:val="28"/>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第三条（一）中的全部区域；第三条（二）中的除（一）外的生态保护红线管控范围，永久基本农田、基本草原、森林公园、地质公园、重要湿地、天然林，重点保护野生动物栖息地，重点保</w:t>
            </w:r>
          </w:p>
          <w:p>
            <w:pPr>
              <w:pStyle w:val="28"/>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护野生植物生长繁殖地；第三条（三）中的文物保护单位，针对标准厂房增加第三条（三）中的以居住、医疗卫生、文化教育、科研、行政办公等为主要功能的区域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5"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hint="eastAsia"/>
                <w:color w:val="000000" w:themeColor="text1"/>
                <w:spacing w:val="-6"/>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四十五、研究和试验发展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72"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98</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专业实验室、研发(试验) 基地</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P3、P4生物安全实验室；转基因实验室</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其他(不产生实验废气、废水、危险废物的除外)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textAlignment w:val="auto"/>
              <w:rPr>
                <w:rFonts w:ascii="宋体" w:hAnsi="宋体" w:eastAsia="宋体" w:cs="宋体"/>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四十六、专业技术服务业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10" w:hRule="atLeast"/>
          <w:jc w:val="center"/>
        </w:trPr>
        <w:tc>
          <w:tcPr>
            <w:tcW w:w="606"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14:textFill>
                  <w14:solidFill>
                    <w14:schemeClr w14:val="tx1"/>
                  </w14:solidFill>
                </w14:textFill>
              </w:rPr>
            </w:pPr>
          </w:p>
          <w:p>
            <w:pPr>
              <w:pStyle w:val="28"/>
              <w:keepNext w:val="0"/>
              <w:keepLines w:val="0"/>
              <w:pageBreakBefore w:val="0"/>
              <w:kinsoku/>
              <w:wordWrap/>
              <w:overflowPunct/>
              <w:topLinePunct w:val="0"/>
              <w:autoSpaceDE/>
              <w:autoSpaceDN/>
              <w:bidi w:val="0"/>
              <w:adjustRightInd/>
              <w:snapToGrid/>
              <w:spacing w:line="240" w:lineRule="exact"/>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99</w:t>
            </w:r>
          </w:p>
        </w:tc>
        <w:tc>
          <w:tcPr>
            <w:tcW w:w="2050"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left"/>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陆地矿产资源地质勘查</w:t>
            </w:r>
            <w:r>
              <w:rPr>
                <w:rFonts w:hint="eastAsia" w:ascii="Times New Roman" w:hAnsi="Times New Roman" w:eastAsia="仿宋_GB2312"/>
                <w:color w:val="000000" w:themeColor="text1"/>
                <w:kern w:val="0"/>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含油气资源 勘探</w:t>
            </w:r>
            <w:r>
              <w:rPr>
                <w:rFonts w:hint="eastAsia" w:ascii="Times New Roman" w:hAnsi="Times New Roman" w:eastAsia="仿宋_GB2312"/>
                <w:color w:val="000000" w:themeColor="text1"/>
                <w:kern w:val="0"/>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；二氧化碳地质封存</w:t>
            </w:r>
          </w:p>
        </w:tc>
        <w:tc>
          <w:tcPr>
            <w:tcW w:w="2204"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全部</w:t>
            </w:r>
          </w:p>
        </w:tc>
        <w:tc>
          <w:tcPr>
            <w:tcW w:w="1449" w:type="dxa"/>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t>/</w:t>
            </w:r>
          </w:p>
        </w:tc>
        <w:tc>
          <w:tcPr>
            <w:tcW w:w="2634" w:type="dxa"/>
            <w:tcMar>
              <w:top w:w="0" w:type="dxa"/>
              <w:left w:w="108" w:type="dxa"/>
              <w:bottom w:w="0" w:type="dxa"/>
              <w:right w:w="108" w:type="dxa"/>
            </w:tcMar>
            <w:vAlign w:val="top"/>
          </w:tcPr>
          <w:p>
            <w:pPr>
              <w:pStyle w:val="28"/>
              <w:keepNext w:val="0"/>
              <w:keepLines w:val="0"/>
              <w:pageBreakBefore w:val="0"/>
              <w:kinsoku/>
              <w:wordWrap/>
              <w:overflowPunct/>
              <w:topLinePunct w:val="0"/>
              <w:autoSpaceDE/>
              <w:autoSpaceDN/>
              <w:bidi w:val="0"/>
              <w:adjustRightInd/>
              <w:snapToGrid/>
              <w:spacing w:line="240" w:lineRule="exact"/>
              <w:jc w:val="left"/>
              <w:textAlignment w:val="auto"/>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0" w:hRule="atLeast"/>
          <w:jc w:val="center"/>
        </w:trPr>
        <w:tc>
          <w:tcPr>
            <w:tcW w:w="10797" w:type="dxa"/>
            <w:gridSpan w:val="7"/>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SA"/>
                <w14:textFill>
                  <w14:solidFill>
                    <w14:schemeClr w14:val="tx1"/>
                  </w14:solidFill>
                </w14:textFill>
              </w:rPr>
              <w:t>四十七、  生态保护和环境治理业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78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100</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脱硫、脱硝、除尘、VOCs治理等大气污染治理工程</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0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101</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危险废物(不含医疗废物)利用及处置</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危险废物利用及处置(产生单位内部回收再利用的除外；单纯收集、贮存的除外)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7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医疗废物处置、病死及病害动物无害化处理</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医疗废物集中处置(单纯收集、贮存的除外)</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34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103</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一 般工业固体废物 (含污水处理污泥)、建筑施工废弃物处置及综合利用</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一般工业固体废物(含污水处理污泥) 采取填埋、焚烧(水泥窑协同处置的改造项目除外)方式的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6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104</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泥石流等地质灾害治理工程(应急治理、应急排危除险工程除外)</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涉及环境敏感区的特大型泥石流治理工程</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其他(不涉及</w:t>
            </w:r>
            <w:r>
              <w:rPr>
                <w:rFonts w:hint="eastAsia" w:ascii="Times New Roman" w:hAnsi="Times New Roman" w:eastAsia="仿宋_GB2312"/>
                <w:color w:val="000000" w:themeColor="text1"/>
                <w:kern w:val="0"/>
                <w:sz w:val="21"/>
                <w:szCs w:val="21"/>
                <w:lang w:eastAsia="zh-CN"/>
                <w14:textFill>
                  <w14:solidFill>
                    <w14:schemeClr w14:val="tx1"/>
                  </w14:solidFill>
                </w14:textFill>
              </w:rPr>
              <w:t>环</w:t>
            </w:r>
            <w:r>
              <w:rPr>
                <w:rFonts w:hint="eastAsia" w:ascii="Times New Roman" w:hAnsi="Times New Roman" w:eastAsia="仿宋_GB2312"/>
                <w:color w:val="000000" w:themeColor="text1"/>
                <w:kern w:val="0"/>
                <w:sz w:val="21"/>
                <w:szCs w:val="21"/>
                <w14:textFill>
                  <w14:solidFill>
                    <w14:schemeClr w14:val="tx1"/>
                  </w14:solidFill>
                </w14:textFill>
              </w:rPr>
              <w:t>境敏感区 的小型地质 灾害治理工 程除外)</w:t>
            </w:r>
          </w:p>
        </w:tc>
        <w:tc>
          <w:tcPr>
            <w:tcW w:w="263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before="0" w:line="240" w:lineRule="exact"/>
              <w:ind w:right="0"/>
              <w:textAlignment w:val="auto"/>
              <w:rPr>
                <w:rFonts w:hint="eastAsia"/>
                <w:color w:val="000000" w:themeColor="text1"/>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SA"/>
                <w14:textFill>
                  <w14:solidFill>
                    <w14:schemeClr w14:val="tx1"/>
                  </w14:solidFill>
                </w14:textFill>
              </w:rPr>
              <w:t>四十八、公共设施管理业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16"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291"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生活垃圾(含餐厨废弃物)转运站</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日转运能力150吨及以上的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3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106</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生活垃圾(含餐厨废弃物)集中处置(生活垃圾发电除外)</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采取填埋方式的；其他处置方式日处置能力50吨及以上的</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其他处置方式日处置能力50吨以下10吨及以上的</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其他处置方式日处置能力10吨以下1吨及以上的</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680" w:hRule="atLeast"/>
          <w:jc w:val="center"/>
        </w:trPr>
        <w:tc>
          <w:tcPr>
            <w:tcW w:w="606"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107</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粪便处置工程</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日处理50吨及以上</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ind w:left="0"/>
              <w:textAlignment w:val="auto"/>
              <w:rPr>
                <w:rFonts w:ascii="宋体" w:hAnsi="宋体" w:eastAsia="宋体" w:cs="宋体"/>
                <w:color w:val="000000" w:themeColor="text1"/>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SA"/>
                <w14:textFill>
                  <w14:solidFill>
                    <w14:schemeClr w14:val="tx1"/>
                  </w14:solidFill>
                </w14:textFill>
              </w:rPr>
              <w:t>四十九、卫生84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6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108</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医院841；专科疾病防治院(所、站)8432；妇幼保健院(所、站)8433；急救中心(站)服务8434；采供血机构服务8435；基层医疗卫生服务842</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新建、扩建住院床位500张及以上的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其他(住院床位20张以下的除外)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住院床位 20张以下的(不含20张住院床位的)</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700" w:hRule="atLeast"/>
          <w:jc w:val="center"/>
        </w:trPr>
        <w:tc>
          <w:tcPr>
            <w:tcW w:w="606"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109</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疾病预防控制中心 8431</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ind w:left="0"/>
              <w:textAlignment w:val="auto"/>
              <w:rPr>
                <w:rFonts w:hint="eastAsia"/>
                <w:color w:val="000000" w:themeColor="text1"/>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SA"/>
                <w14:textFill>
                  <w14:solidFill>
                    <w14:schemeClr w14:val="tx1"/>
                  </w14:solidFill>
                </w14:textFill>
              </w:rPr>
              <w:t>五十、社会事业与服务业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6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110</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学校、福利院、养老院(建筑面积5000平方米及以上的)</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新建涉及环境敏感区的；有化学、生物实验室的学校</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第三条(一)中的全部区域；第三条(二)中的除(一)外的生态保护红线管控范围，永久基本农田、基本草原、森林公园、地质公园、重要湿地、天然林，重点保护野生动物栖息地，重点保护野生植物生长繁殖地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3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111</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批发、零售市场(建筑面积5000平方米及以上的)</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 外的生态保护红线管控范围，永久基本农田、基本草原、森林公园、地质公园、重要湿地、天然林，重点保护野生动物栖息地，重点保护野生植物生长繁殖地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7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112</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高尔夫球场、滑雪场、狩猎场、赛车场、跑马场、射击场、水上运动中心等</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高尔夫球场</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6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113</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展览馆、博物馆、美术馆、影剧院、音乐厅、文化馆、图书馆、档案馆、纪念馆、体育场、体育馆等(不含村庄文化体育场所)</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第三条(一)中的全部区域；第三条(二)中的除(一)外的生态保护红线管控范围，永久基本农田、基本草原、森林公园、地质公园、重要湿地、天然林，重点保护野生动物栖息地，重点保护野生植物生长繁殖地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300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114</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公园(含动物园、主题公园；不含城市公园、植物园、村庄公园)；人工湖、人工湿地</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特大型、大型主题公园；容积500万立方米及以上的人工湖、人工湿地；涉及环境敏感区的容积5万立方米及以上500万立方米以下的人工湖、人工湿地；年补水量占引水河流引水断面天然年径流量1/4及以上的人工湖、人工湿地</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其他公园；不涉及环境敏感区的容积5万立方米及以上500万立方米以下的人工湖、人工湿地；涉及环境敏感区的容积5万立方米以下的人工湖、人工湿地</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不涉及环境 敏感区的容积5万立方米以下的人工湖、人工湿地</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535" w:hRule="atLeast"/>
          <w:jc w:val="center"/>
        </w:trPr>
        <w:tc>
          <w:tcPr>
            <w:tcW w:w="606"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115</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旅游开发</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缆车、索道建设</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27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116</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影视基地建设</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基本草原、森林公园、地质公园、重要湿地、天然林，重点保护野生动物栖息地，重点保护野生植物生长繁殖地；第三条(三)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635" w:hRule="atLeast"/>
          <w:jc w:val="center"/>
        </w:trPr>
        <w:tc>
          <w:tcPr>
            <w:tcW w:w="606"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t>117</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胶片洗印厂</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31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118</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驾驶员训练基地、公交枢纽、长途客运站、大型停车场、机动车检测场</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永久基本农田、基本草原、森林公园、地质公园、重要湿地、天然林，重点保护野生动物栖息地，重点保护野生植物生长繁殖地；第三条(三)中的文物保护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5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244"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119</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加油、加气站</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城市建成区新建、扩建加油站；涉及环境敏感区的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lang w:val="en-US" w:eastAsia="zh-CN"/>
              </w:rPr>
            </w:pPr>
          </w:p>
          <w:p>
            <w:pPr>
              <w:pStyle w:val="2"/>
              <w:keepNext w:val="0"/>
              <w:keepLines w:val="0"/>
              <w:pageBreakBefore w:val="0"/>
              <w:kinsoku/>
              <w:wordWrap/>
              <w:overflowPunct/>
              <w:topLinePunct w:val="0"/>
              <w:autoSpaceDE/>
              <w:autoSpaceDN/>
              <w:bidi w:val="0"/>
              <w:adjustRightInd/>
              <w:snapToGrid/>
              <w:ind w:left="0" w:leftChars="0" w:firstLine="0" w:firstLineChars="0"/>
              <w:jc w:val="both"/>
              <w:textAlignment w:val="auto"/>
              <w:rPr>
                <w:rFonts w:hint="eastAsia"/>
                <w:lang w:val="en-US" w:eastAsia="zh-CN"/>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0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default" w:ascii="仿宋_GB2312" w:hAnsi="仿宋_GB2312" w:eastAsia="仿宋_GB2312" w:cs="仿宋_GB2312"/>
                <w:color w:val="000000" w:themeColor="text1"/>
                <w:kern w:val="0"/>
                <w:sz w:val="21"/>
                <w:szCs w:val="21"/>
                <w:lang w:val="en-US" w:eastAsia="zh-CN" w:bidi="ar-SA"/>
                <w14:textFill>
                  <w14:solidFill>
                    <w14:schemeClr w14:val="tx1"/>
                  </w14:solidFill>
                </w14:textFill>
              </w:rPr>
              <w:t>120</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洗车场</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危险化学品运输车辆清洗场</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97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121</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汽车、摩托车维修场所</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营业面积5000平方米及以上且使用溶剂型涂料的；营业面积5000平方米及以上且年用非溶剂型低VOCs含量涂料10吨及以上的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5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122</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殡仪馆、陵园、公墓</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殡仪馆；涉及环境敏感区的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第三条(一)中的全部区域；第三条(二)中的除(一)外的生态保护红线管控范围，基本农田保护区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78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246"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123</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动物医院</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设有动物颅腔、胸腔或腹腔手术设施的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before="0" w:line="240" w:lineRule="exact"/>
              <w:ind w:left="0" w:right="0"/>
              <w:jc w:val="both"/>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SA"/>
                <w14:textFill>
                  <w14:solidFill>
                    <w14:schemeClr w14:val="tx1"/>
                  </w14:solidFill>
                </w14:textFill>
              </w:rPr>
              <w:t>五十一、水利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46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124</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水库</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库容1000万立方米及以上；涉及环境敏感区的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第三条(一)中的全部区域；第三条(二)中的除(一)外的生态保护红线管控范围，重要水生生物的自然产卵场、索饵场、越冬场和洄游通道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9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center"/>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125</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灌区工程(不含水源工程的)</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其他(不含高标准农田、滴灌等节水改造工程)</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第三条(一)中的全部区域；第三条(二)中的除(一)外的生态保护红线管控范围，重要水生生物的自然产卵场、索饵场、越冬场和洄游通道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9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126</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引水工程</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跨流域调水；大中型河流引水；小型河流年总引水量占引水断面天然年径流量1/4及以上；涉及环境敏感区的(不含涉及饮用水水源保护区的水库配套引水工程)</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第三条(一)中的全部区域；第三条(二)中的除(一)外的生态保护红线管控范围，重要水生生物的自然产卵场、索饵场、越冬场和洄游通道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0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127</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防洪除涝工程</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新建大中型</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其他(小型沟渠的护坡除外；城镇排涝河流水闸、排涝泵站除外)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城镇排涝河流水闸、排涝泵站</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15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128</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河湖整治(不含农村塘堰、水渠)</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第三条(一)中的全部区域；第三条(二)中的除(一)外的生态保护红线管控范围，重要湿地，重点保护野生动物栖息地，重点保护野生植物生长繁殖地，重要水生生物的自然产卵场、索饵场、 越冬场和洄游通道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26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ascii="Arial"/>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129</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lang w:eastAsia="zh-CN"/>
                <w14:textFill>
                  <w14:solidFill>
                    <w14:schemeClr w14:val="tx1"/>
                  </w14:solidFill>
                </w14:textFill>
              </w:rPr>
              <w:t>地下水</w:t>
            </w:r>
            <w:r>
              <w:rPr>
                <w:rFonts w:hint="eastAsia" w:ascii="Times New Roman" w:hAnsi="Times New Roman" w:eastAsia="仿宋_GB2312"/>
                <w:color w:val="000000" w:themeColor="text1"/>
                <w:kern w:val="0"/>
                <w:sz w:val="21"/>
                <w:szCs w:val="21"/>
                <w14:textFill>
                  <w14:solidFill>
                    <w14:schemeClr w14:val="tx1"/>
                  </w14:solidFill>
                </w14:textFill>
              </w:rPr>
              <w:t>开采(农村分散式家庭生活自用水井除外)</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日取水量1万立方米及以上的；涉及环境敏感区的(不新增供水规模、不改变供水对象的改建工程除外)</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widowControl/>
              <w:kinsoku/>
              <w:wordWrap/>
              <w:overflowPunct/>
              <w:topLinePunct w:val="0"/>
              <w:autoSpaceDE/>
              <w:autoSpaceDN/>
              <w:bidi w:val="0"/>
              <w:adjustRightInd/>
              <w:snapToGrid/>
              <w:spacing w:line="240" w:lineRule="exact"/>
              <w:jc w:val="both"/>
              <w:textAlignment w:val="auto"/>
              <w:rPr>
                <w:color w:val="000000" w:themeColor="text1"/>
                <w:sz w:val="21"/>
                <w:szCs w:val="21"/>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SA"/>
                <w14:textFill>
                  <w14:solidFill>
                    <w14:schemeClr w14:val="tx1"/>
                  </w14:solidFill>
                </w14:textFill>
              </w:rPr>
              <w:t>五十二、交通运输业、管道运输业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66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130</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等级公路(不含维护；不含生命救援、应急保通工程以及国防交通保障项目；不含改扩建四级公路)</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新建30公里(不含)以上的二级及以上等级公路；新建涉及环境敏感区的二级及以上等级公路</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其他(配套设施除外；不涉及环境敏感区的三级、四级公路除外)</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配套设施；不涉及环境敏 感区的三 级、四级公路</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第三条(一)中的全部区域；第三条(二)中的全部区域；第三条(三)中的全部区域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1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131</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城市道路(不含维护；不含支路、人行天桥、人行地道)</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新建快速路、主干路；城市桥梁、隧道</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35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132</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新建、增建铁路</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新建、增建铁路(30公里及以下铁路联络线和30公里及以下铁路专用线除外)；涉及环境敏感区的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30公里及以下铁路联络线和30公里及以下铁路专用线</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第三条(一)中的全部区域；第三条(二)中的全部区域；第三条(三)中的全部区域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2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24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133</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改建铁路</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200公里及以上的电气化改造(线路和站场不发生调整的除外)</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lang w:val="en-US" w:eastAsia="zh-CN"/>
              </w:rPr>
            </w:pPr>
          </w:p>
          <w:p>
            <w:pPr>
              <w:pStyle w:val="2"/>
              <w:keepNext w:val="0"/>
              <w:keepLines w:val="0"/>
              <w:pageBreakBefore w:val="0"/>
              <w:kinsoku/>
              <w:wordWrap/>
              <w:overflowPunct/>
              <w:topLinePunct w:val="0"/>
              <w:autoSpaceDE/>
              <w:autoSpaceDN/>
              <w:bidi w:val="0"/>
              <w:adjustRightInd/>
              <w:snapToGrid/>
              <w:ind w:left="0" w:leftChars="0" w:firstLine="0" w:firstLineChars="0"/>
              <w:jc w:val="both"/>
              <w:textAlignment w:val="auto"/>
              <w:rPr>
                <w:rFonts w:hint="eastAsia"/>
                <w:lang w:val="en-US" w:eastAsia="zh-CN"/>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4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134</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铁路枢纽</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涉及环境敏感区的新建枢纽</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其他(不新增占地的既有枢纽中部分线路改建除外)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第三条(一)中的全部区域；第三条(二)中的全部区域；第三条(三) 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9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135</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城市轨道交通(不新增占地的停车场改建除外)</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7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246"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136</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机场</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新建；迁建；增加航空业务量的飞行区扩建</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8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137</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导航台站、供油工程、维修保障等配套工程</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供油工程；涉及环境敏感区的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第三条(三)中的以居住、医疗卫生、文化教育、科研、行政办公等为主要功能的区域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26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246"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138</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油气、液体化工码头</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新建；岸线、水工构筑物、吞吐量、储运量增加的扩建；装卸货种变化的扩建</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8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139</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干散货(含煤炭、矿石)、件杂、多用途、通用码头</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单个泊位1000吨级及以上的内河港口；单个泊位1万吨级及以上的沿海港口；涉及环境敏感区的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第三条(一)中的全部区域；第三条(二)中的除(一)外的生态保护红线管控范围，重要水生生物的自然产卵场、索饵场、越冬场和洄游通道，天然渔场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77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140</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集装箱专用码头</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单个泊位3000吨级及以上的内河港口；单个泊位3万吨级及以上的沿海港口；涉及危险品、化学品的；涉及环境敏感区的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第三条(一)中的全部区域；第三条(二)中的除(一)外的生态保护红线管控范围，重要水生生物的自然产卵场、索饵场、越冬场和洄游通道，天然渔场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5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141</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滚装、客运、工作船、 游艇码头</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第三条(一)中的全部区域；第三条(二)中的除(一)外的生态保护红线管控范围，重要水生生物的自然产卵场、索饵场、越冬场和洄游通道，天然渔场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7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142</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铁路轮渡码头</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第三条(一)中的全部区域；第三条(二)中的除(一)外的生态保护红线管控范围，重要水生生物的自然产卵场、索饵场、越冬场和洄游通道，天然渔场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63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143</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航道工程、水运辅助工程</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新建、扩建航道工程；涉及环境敏感区的防波堤、船闸、通航建筑物</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第三条(一)中的全部区域；第三条(二)中的除(一)外的生态保护红线管控范围，重要水生生物的自然产卵场、索饵场、越冬场和洄游通道，天然渔场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674"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184"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144</w:t>
            </w:r>
          </w:p>
        </w:tc>
        <w:tc>
          <w:tcPr>
            <w:tcW w:w="2050"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航电枢纽工程</w:t>
            </w:r>
          </w:p>
        </w:tc>
        <w:tc>
          <w:tcPr>
            <w:tcW w:w="2204"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843"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449"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58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145</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中心渔港码头</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第三条(一)中的全部区域；第三条(二)中的除(一)外的生态保护红线管控范围，重要水生生物的自然产卵场、索饵场、越冬场和洄游通道，天然渔场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46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146</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城市(镇)管网及管廊建设(不含给水管道；不含光纤；不含1.6兆帕及以下的天然气管道)</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新建涉及环境敏感区的</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第三条(一)中的全部区域；第三条(二)中的除(一)外的生态保护红线管控范围，永久基本农田、地质公园、重要湿地、天然林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77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147</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原油、成品油、天然气管线(不含城市天然气管线；不含城镇燃气管线；不含企业厂区内管道)</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第三条(一)中的全部区域；第三条(二)中的除(一)外的生态保护红线管控范围，永久基本农田、森林公园、地质公园、重要湿地、天然林；第三条(三)中的全部区域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750" w:hRule="atLeast"/>
          <w:jc w:val="center"/>
        </w:trPr>
        <w:tc>
          <w:tcPr>
            <w:tcW w:w="606"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ind w:right="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right="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right="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right="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148</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危险化学品输送管线(不含企业厂区内管线)</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第三条(一)中的全部区域；第三条(二)中的除(一)外的生态保护红线管控范围，永久基本农田、森林公园、地质公园、重要湿地、天然林；第三条(三)中的全部区域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5" w:hRule="atLeast"/>
          <w:jc w:val="center"/>
        </w:trPr>
        <w:tc>
          <w:tcPr>
            <w:tcW w:w="10797" w:type="dxa"/>
            <w:gridSpan w:val="7"/>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ind w:right="0"/>
              <w:jc w:val="left"/>
              <w:textAlignment w:val="auto"/>
              <w:rPr>
                <w:rFonts w:hint="eastAsia" w:ascii="仿宋_GB2312" w:hAnsi="仿宋_GB2312" w:eastAsia="仿宋_GB2312" w:cs="仿宋_GB2312"/>
                <w:b/>
                <w:bCs/>
                <w:color w:val="000000" w:themeColor="text1"/>
                <w:kern w:val="0"/>
                <w:sz w:val="21"/>
                <w:szCs w:val="21"/>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right="0"/>
              <w:jc w:val="left"/>
              <w:textAlignment w:val="auto"/>
              <w:rPr>
                <w:rFonts w:ascii="Arial" w:hAnsi="Calibri" w:eastAsia="宋体" w:cs="Times New Roman"/>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21"/>
                <w:szCs w:val="21"/>
                <w:lang w:val="en-US" w:eastAsia="zh-CN" w:bidi="ar-SA"/>
                <w14:textFill>
                  <w14:solidFill>
                    <w14:schemeClr w14:val="tx1"/>
                  </w14:solidFill>
                </w14:textFill>
              </w:rPr>
              <w:t>五十三、装卸搬运和仓储业59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150" w:hRule="atLeast"/>
          <w:jc w:val="center"/>
        </w:trPr>
        <w:tc>
          <w:tcPr>
            <w:tcW w:w="606"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ind w:right="0"/>
              <w:jc w:val="both"/>
              <w:textAlignment w:val="auto"/>
              <w:rPr>
                <w:rFonts w:ascii="Arial"/>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right="0"/>
              <w:jc w:val="both"/>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149</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危险品仓储594(不含加油站的油库；不含加气站的气库)</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总容量20万立方米及以上的油库(含油品码头后方配套油库)；地下油库；地下气库</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其他(含有毒、有害、危险品的仓储；含液化天然气库)</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90"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both"/>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五十四、海洋工程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129"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150</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海洋矿产资源勘探开发及其附属工程</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区块油气开发及其附属工程；污水日排放量1000立方米及以上或年产油量20万吨及以上的海洋油气开发及其附属工程；挖沟埋设单条管道长度20公里及以上或涉及环境敏感区的油气集输管道、电(光)缆工程；海洋(海底)矿产资源开发(包括天然气水合物开发；海砂开采；矿盐卤水开发；海床底温泉开发；海底地下水开发等工程)</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其他(不含海洋油气勘探工程；不含不在环境敏感区内且排污量未超出原环评批复排放总量的海洋油气调整井工程；不含为油气开采工程配套的海底输水及输送无毒无害物质的管道、电(光)缆原地弃置工程)</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海洋油气勘探工程；不在环境敏感区内且排污量 未超出原环 评批复排放总量的海洋油气调整井工程；为油气开采工程配套的海底输水及输送无毒无害物质的管道、电(光)缆原地弃置工程</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第三条(一)中的自然保护区、海洋特别保护区；第三条(二)中的除(一)外的生态保护红线管控范围，海洋公园，重点保护野生动物栖息地，重点保护野生植物生长繁殖地，封闭及半封闭海域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4013"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151</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ind w:right="110" w:rightChars="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海洋能源开发利用类工程</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216" w:line="240" w:lineRule="exact"/>
              <w:ind w:left="107" w:leftChars="0" w:right="107" w:rightChars="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装机容量在20兆瓦及以上的潮汐发电、波浪发电、温差发电、海洋生物质能等海洋能源开发利用、输送设施及网络工程；总装机容量5万千瓦及以上的海上风电工程及其输送设施及网络工程；涉及环境敏感区的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63" w:line="240" w:lineRule="exact"/>
              <w:ind w:left="111" w:leftChars="0" w:right="103" w:rightChars="0" w:firstLine="2" w:firstLineChars="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其他潮汐发电、波浪发电、温差发电、海洋生物质能等海洋能源开发利用、输送设施及网络工程；地热发电；太阳能发电工程及其输送设施及网络工 程；其他海上风电工程及其输送设施及网络工程</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ind w:left="114" w:leftChars="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before="62" w:line="240" w:lineRule="exact"/>
              <w:ind w:left="117" w:leftChars="0" w:right="104" w:rightChars="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2" w:line="240" w:lineRule="exact"/>
              <w:ind w:left="117" w:leftChars="0" w:right="104" w:rightChars="0"/>
              <w:jc w:val="both"/>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w:t>
            </w: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中的自然保护区、海洋特别保护区；第三条</w:t>
            </w:r>
            <w:r>
              <w:rPr>
                <w:rFonts w:hint="eastAsia" w:ascii="Times New Roman" w:hAnsi="Times New Roman" w:eastAsia="仿宋_GB2312"/>
                <w:color w:val="000000" w:themeColor="text1"/>
                <w:kern w:val="0"/>
                <w:sz w:val="21"/>
                <w:szCs w:val="21"/>
                <w14:textFill>
                  <w14:solidFill>
                    <w14:schemeClr w14:val="tx1"/>
                  </w14:solidFill>
                </w14:textFill>
              </w:rPr>
              <w:t>(二)</w:t>
            </w: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中的除</w:t>
            </w:r>
            <w:r>
              <w:rPr>
                <w:rFonts w:hint="eastAsia" w:ascii="Times New Roman" w:hAnsi="Times New Roman" w:eastAsia="仿宋_GB2312"/>
                <w:color w:val="000000" w:themeColor="text1"/>
                <w:kern w:val="0"/>
                <w:sz w:val="21"/>
                <w:szCs w:val="21"/>
                <w14:textFill>
                  <w14:solidFill>
                    <w14:schemeClr w14:val="tx1"/>
                  </w14:solidFill>
                </w14:textFill>
              </w:rPr>
              <w:t>(一)</w:t>
            </w: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外的生态保护红线管控范围，海洋公园，重点保护野生动物栖息地，重点保护野生植物生长繁殖地，封闭及半封闭海域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3295" w:hRule="atLeast"/>
          <w:jc w:val="center"/>
        </w:trPr>
        <w:tc>
          <w:tcPr>
            <w:tcW w:w="606"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ind w:left="0" w:right="0"/>
              <w:textAlignment w:val="auto"/>
              <w:rPr>
                <w:rFonts w:ascii="Arial"/>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left="0" w:right="0"/>
              <w:textAlignment w:val="auto"/>
              <w:rPr>
                <w:rFonts w:ascii="Arial"/>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left="0" w:right="0"/>
              <w:textAlignment w:val="auto"/>
              <w:rPr>
                <w:rFonts w:ascii="Arial"/>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left="0" w:right="0"/>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152</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海底隧道、管道、 电 (光)缆工程</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海底隧道工程；挖沟埋设单条管道长度20公里及以上的海上和海底电 (光)缆工程、海上和海底输水管道工程、天然气及无毒无害物质输送管道工程；长度1公里及以上的海上和海底有毒有害及危险品物质输送管道等工程；涉及环境敏感区的海底管道、电(光)缆工程</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其他(海底输送无毒无害物质的管道及电(光) 缆原地弃置工程除外)</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海底输送无 毒无害物质的管道及电(光)缆原地弃置工程</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第三条(一)中的自然保护区、海洋特别保护区；第三条(二)中的除(一)外的生态保护红线管控范围，海洋公园，重点保护野生动物栖息地，重点保护野生植物生长繁殖地，封闭及半封闭海域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65" w:hRule="atLeast"/>
          <w:jc w:val="center"/>
        </w:trPr>
        <w:tc>
          <w:tcPr>
            <w:tcW w:w="606"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ind w:left="0" w:right="0"/>
              <w:textAlignment w:val="auto"/>
              <w:rPr>
                <w:rFonts w:ascii="Arial"/>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left="0" w:right="0"/>
              <w:textAlignment w:val="auto"/>
              <w:rPr>
                <w:rFonts w:ascii="Arial"/>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left="0" w:right="0"/>
              <w:textAlignment w:val="auto"/>
              <w:rPr>
                <w:rFonts w:ascii="Arial"/>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153</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跨海桥梁工程</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非单跨、长度0.1公里及以上的公铁桥梁工程；涉及环境敏感区的</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第三条(一)中的自然保护区、海洋特别保护区；第三条(二)中的除(一)外的生态保护红线管控范围，海洋公园，重点保护野生动物栖息地，重点保护野生植物生长繁殖地，封闭及半封闭海域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70" w:hRule="atLeast"/>
          <w:jc w:val="center"/>
        </w:trPr>
        <w:tc>
          <w:tcPr>
            <w:tcW w:w="606"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ind w:left="0" w:leftChars="0" w:right="0"/>
              <w:textAlignment w:val="auto"/>
              <w:rPr>
                <w:rFonts w:ascii="宋体" w:hAnsi="宋体" w:eastAsia="宋体" w:cs="宋体"/>
                <w:color w:val="000000" w:themeColor="text1"/>
                <w:spacing w:val="-4"/>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textAlignment w:val="auto"/>
              <w:rPr>
                <w:rFonts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154</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围填海工程及海上堤坝工程</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围填海工程；长度0.5公里及以上的海上堤坝工程</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390" w:hRule="atLeast"/>
          <w:jc w:val="center"/>
        </w:trPr>
        <w:tc>
          <w:tcPr>
            <w:tcW w:w="606"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ind w:left="0" w:right="0"/>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155</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海上娱乐及运动、海上景观开发</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污水日排放量200立方米及以上的海上娱乐及运动、海上景观开发</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污水日排放量200立方米以下的海上娱乐及运动、海上景观开发</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98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before="65" w:line="240" w:lineRule="exac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156</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海洋人工鱼礁工程</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固体物质(虚方)投放量5万立方米及以上的</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固体物质(虚方)投放量5万立方米以下5000立方米及以上的；涉及环境敏感区的</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自然保护区、海洋特别保护区；第三条(二)中的除(一)外的生态保护红线管控范围，海洋公园，重点保护野生动物栖息地，重点保护野生植物生长繁殖地，重要水生生物的自然产卵场、索饵场，封闭及半封闭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157</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海上和海底物资储藏设施工程</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海上和海底物资储藏设施等工程及其废弃和拆除等；原油、成品油、天然气(含 LNG、LPG)、化学品及其他危险品、其他物质的仓储、储运等工程及其废弃和拆除等；吞吐(储)50万吨(万立方米)及以上的粉煤灰和废弃物储藏工程、海洋空间资源利用等工程</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687"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158</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海洋生态修复工程</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工程量在10万立方米及以上的清淤、滩涂垫高等工程；涉及环境敏感区的堤坝拆除、临时围堰等改变水动力的工程</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工程量在10万立方米以下的清淤、滩涂垫高等工程；涉及环境敏感区的其他海洋生态修复工程</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不涉及环境敏感区的退围、退养、退堤还海等近岸构筑物拆除工程；种植红树林、海草 床、碱蓬等植被；修复移植珊瑚礁、牡蛎礁等</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第三条(一)中的自然保护区、海洋特别保护区；第三条(二)中的除(一)外的生态保护红线管控范围，海洋公园，重点保护野生动物栖息地，重点保护野生植物生长繁殖地，封闭及半封闭海域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77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159</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排海工程</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低放射性废液排海；污水日排放量10万立方米及以上的城镇生活污水排污管道工程；日排放量0.5万立方米及以上的工业废水排放工程</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3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160</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其他海洋工程</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工程量在10万立方米及以上的疏浚(不含航道工程)、取土(沙)等水下开挖工程；爆破挤淤、炸礁(岩)量在0.2万立方米及以上的水下炸礁(岩)及爆破 工程</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5" w:hRule="atLeast"/>
          <w:jc w:val="center"/>
        </w:trPr>
        <w:tc>
          <w:tcPr>
            <w:tcW w:w="10797" w:type="dxa"/>
            <w:gridSpan w:val="7"/>
            <w:tcMar>
              <w:top w:w="0" w:type="dxa"/>
              <w:left w:w="108" w:type="dxa"/>
              <w:bottom w:w="0" w:type="dxa"/>
              <w:right w:w="108" w:type="dxa"/>
            </w:tcMar>
            <w:vAlign w:val="center"/>
          </w:tcPr>
          <w:p>
            <w:pPr>
              <w:pStyle w:val="28"/>
              <w:keepNext w:val="0"/>
              <w:keepLines w:val="0"/>
              <w:pageBreakBefore w:val="0"/>
              <w:kinsoku/>
              <w:wordWrap/>
              <w:overflowPunct/>
              <w:topLinePunct w:val="0"/>
              <w:autoSpaceDE/>
              <w:autoSpaceDN/>
              <w:bidi w:val="0"/>
              <w:adjustRightInd/>
              <w:snapToGrid/>
              <w:spacing w:line="240" w:lineRule="exact"/>
              <w:jc w:val="both"/>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五十五、核与辐射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29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161</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输变电工程</w:t>
            </w:r>
          </w:p>
        </w:tc>
        <w:tc>
          <w:tcPr>
            <w:tcW w:w="2204"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500千伏及以上的；涉及环境敏感区的330千伏及以上的</w:t>
            </w:r>
          </w:p>
        </w:tc>
        <w:tc>
          <w:tcPr>
            <w:tcW w:w="1843"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其他(100千伏以下除外)</w:t>
            </w:r>
          </w:p>
        </w:tc>
        <w:tc>
          <w:tcPr>
            <w:tcW w:w="1449"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第三条(一)中的全部区域；第三条(三)中的以居住、医疗卫生、文化教育、科研、行政办公等为主要功能的区域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5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162</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广播电台、差转台</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中波50千瓦及以上的；短波100千瓦及以上的；涉及环境敏感区的</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第三条(三)中的以居住、医疗卫生、文化教育、科研、行政办公等为主要功能的区域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8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163</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电视塔台</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涉及环境敏感区的100千瓦及以上的</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第三条(三)中的以居住、医疗卫生、文化教育、科研、行政办公等为主要功能的区域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7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164</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卫星地球上行站</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第三条(三)中的以居住、医疗卫生、文化教育、科研、行政办公等为主要功能的区域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102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165</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雷达</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涉及环境敏感区的</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第三条(三)中的以居住、医疗卫生、文化教育、科研、行政办公等为主要功能的区域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640" w:hRule="atLeast"/>
          <w:jc w:val="center"/>
        </w:trPr>
        <w:tc>
          <w:tcPr>
            <w:tcW w:w="606"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166</w:t>
            </w:r>
          </w:p>
        </w:tc>
        <w:tc>
          <w:tcPr>
            <w:tcW w:w="2050"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无线通讯</w:t>
            </w:r>
          </w:p>
        </w:tc>
        <w:tc>
          <w:tcPr>
            <w:tcW w:w="2204"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449"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2634"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209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167</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核动力厂(核电厂、核热电厂、核供汽供热厂等)；反应堆(研究堆、实验堆、临界装置等)；核燃料生产、加工、贮存、后处理设施；放射性污染治理项目</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新建、扩建、退役</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主生产工艺或安全重要构筑物的重大变更，但源项不显著增加；次临界装置的新建、扩建、退役</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核设施控制区范围内新增的不带放射性的实验室、试验装置、维修车 间、仓库、办公设施等</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0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168</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放射性废物贮存、处理、处置设施</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新建、扩建、退役；放射性废物处置设施的关闭</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独立的放射性废物贮存设施</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87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169</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铀矿开采、冶炼；其他方式提铀</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新建、扩建、退役</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其他(含工业试验)</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45"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170</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铀矿地质勘查、退役治理</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全部</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960"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171</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伴生放射性矿</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采选、冶炼</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其他(含放射性污染治理)</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6239"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172</w:t>
            </w:r>
          </w:p>
        </w:tc>
        <w:tc>
          <w:tcPr>
            <w:tcW w:w="2050"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核技术利用建设项目</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产放射性同位素的(制备PET用放射性药物的除外)；使用I类放射源的(医疗使用的除外)；销售(含建造)、使用I类射线装置的；甲级非密封放射性物质工作场所；以上项目的改、扩建(不含在已许可场所增加不超出已许可活动种类和不高于已许可范围等级的核素或射线装置，且新增规模不超过原环评规模的50%)</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制备PET用放射性药物的；医疗使用Ⅰ类放射源的；使用Ⅱ类、Ⅲ类放射源的；生产、使用Ⅱ类射线装置的；乙、丙级非密封放射性物质工作场所(医疗机构使用植入治疗用放射性粒子源的除外)；在野外进行放射性同位素示踪试验的；以上项目的改、扩建 (不含在已许可 场所增加不超出已许可活动种类和不高于已许可范围等级的核素或射线装置的)</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销售Ⅰ类、 Ⅱ类、Ⅲ类、Ⅳ类、Ⅴ类放射源的；使用Ⅳ类、Ⅴ类放射源的；医疗机构使用植入治疗用放射性粒子源的；销售非 密封放射性 物质的；销售Ⅱ类射线装置的；生产、销售、使用Ⅲ类射线装置的</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cantSplit/>
          <w:trHeight w:val="3164" w:hRule="atLeast"/>
          <w:jc w:val="center"/>
        </w:trPr>
        <w:tc>
          <w:tcPr>
            <w:tcW w:w="606" w:type="dxa"/>
            <w:tcMar>
              <w:top w:w="0" w:type="dxa"/>
              <w:left w:w="108" w:type="dxa"/>
              <w:bottom w:w="0" w:type="dxa"/>
              <w:right w:w="108" w:type="dxa"/>
            </w:tcMar>
            <w:vAlign w:val="top"/>
          </w:tcPr>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exact"/>
              <w:jc w:val="left"/>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kern w:val="0"/>
                <w:sz w:val="21"/>
                <w:szCs w:val="21"/>
                <w:lang w:val="en-US" w:eastAsia="zh-CN" w:bidi="ar-SA"/>
                <w14:textFill>
                  <w14:solidFill>
                    <w14:schemeClr w14:val="tx1"/>
                  </w14:solidFill>
                </w14:textFill>
              </w:rPr>
              <w:t>173</w:t>
            </w:r>
          </w:p>
        </w:tc>
        <w:tc>
          <w:tcPr>
            <w:tcW w:w="2050"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核技术利用项目退役</w:t>
            </w:r>
          </w:p>
        </w:tc>
        <w:tc>
          <w:tcPr>
            <w:tcW w:w="220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生产放射性同位素的(制备PET用放射性药物的除外)；甲级非密封放射性物质工作场所</w:t>
            </w:r>
          </w:p>
        </w:tc>
        <w:tc>
          <w:tcPr>
            <w:tcW w:w="1843"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制备PET用放射性药物的；乙级非密封放射性物质工作场所；使用Ⅰ类、Ⅱ类、Ⅲ类放射源场所存在污染的；使用Ⅰ类、Ⅱ类射线装置(X射线装置和粒子能量不高于10兆电子伏的电子加速器除外)存在污染的</w:t>
            </w:r>
          </w:p>
        </w:tc>
        <w:tc>
          <w:tcPr>
            <w:tcW w:w="1449"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r>
              <w:rPr>
                <w:rFonts w:hint="eastAsia" w:ascii="Times New Roman" w:hAnsi="Times New Roman" w:eastAsia="仿宋_GB2312"/>
                <w:color w:val="000000" w:themeColor="text1"/>
                <w:kern w:val="0"/>
                <w:sz w:val="21"/>
                <w:szCs w:val="21"/>
                <w14:textFill>
                  <w14:solidFill>
                    <w14:schemeClr w14:val="tx1"/>
                  </w14:solidFill>
                </w14:textFill>
              </w:rPr>
              <w:t>丙级非密封 放射性物质工作场所；使用Ⅰ类、Ⅱ类、Ⅲ类放射源场所不存在污染的</w:t>
            </w:r>
          </w:p>
        </w:tc>
        <w:tc>
          <w:tcPr>
            <w:tcW w:w="2634" w:type="dxa"/>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仿宋_GB2312"/>
                <w:color w:val="000000" w:themeColor="text1"/>
                <w:kern w:val="0"/>
                <w:sz w:val="21"/>
                <w:szCs w:val="21"/>
                <w:lang w:val="en-US" w:eastAsia="zh-CN"/>
                <w14:textFill>
                  <w14:solidFill>
                    <w14:schemeClr w14:val="tx1"/>
                  </w14:solidFill>
                </w14:textFill>
              </w:rPr>
            </w:pPr>
          </w:p>
        </w:tc>
      </w:tr>
    </w:tbl>
    <w:p>
      <w:pPr>
        <w:spacing w:before="281" w:line="228" w:lineRule="auto"/>
        <w:ind w:left="88"/>
        <w:rPr>
          <w:rFonts w:ascii="宋体" w:hAnsi="宋体" w:eastAsia="宋体" w:cs="宋体"/>
          <w:color w:val="000000" w:themeColor="text1"/>
          <w:sz w:val="32"/>
          <w:szCs w:val="32"/>
          <w14:textFill>
            <w14:solidFill>
              <w14:schemeClr w14:val="tx1"/>
            </w14:solidFill>
          </w14:textFill>
        </w:rPr>
      </w:pPr>
      <w:r>
        <w:rPr>
          <w:rFonts w:ascii="宋体" w:hAnsi="宋体" w:eastAsia="宋体" w:cs="宋体"/>
          <w:color w:val="000000" w:themeColor="text1"/>
          <w:spacing w:val="3"/>
          <w:sz w:val="32"/>
          <w:szCs w:val="32"/>
          <w14:textOutline w14:w="3795" w14:cap="sq" w14:cmpd="sng">
            <w14:solidFill>
              <w14:srgbClr w14:val="000000"/>
            </w14:solidFill>
            <w14:prstDash w14:val="solid"/>
            <w14:bevel/>
          </w14:textOutline>
          <w14:textFill>
            <w14:solidFill>
              <w14:schemeClr w14:val="tx1"/>
            </w14:solidFill>
          </w14:textFill>
        </w:rPr>
        <w:t>说明：</w:t>
      </w:r>
    </w:p>
    <w:p>
      <w:pPr>
        <w:keepNext w:val="0"/>
        <w:keepLines w:val="0"/>
        <w:pageBreakBefore w:val="0"/>
        <w:widowControl w:val="0"/>
        <w:kinsoku/>
        <w:wordWrap/>
        <w:overflowPunct/>
        <w:topLinePunct w:val="0"/>
        <w:autoSpaceDE/>
        <w:autoSpaceDN/>
        <w:bidi w:val="0"/>
        <w:adjustRightInd/>
        <w:snapToGrid/>
        <w:spacing w:before="79" w:line="400" w:lineRule="exact"/>
        <w:ind w:left="401" w:leftChars="48" w:hanging="300" w:hangingChars="1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0"/>
          <w:position w:val="9"/>
          <w:sz w:val="28"/>
          <w:szCs w:val="28"/>
          <w14:textFill>
            <w14:solidFill>
              <w14:schemeClr w14:val="tx1"/>
            </w14:solidFill>
          </w14:textFill>
        </w:rPr>
        <w:t>1.名录中项目</w:t>
      </w:r>
      <w:r>
        <w:rPr>
          <w:rFonts w:hint="eastAsia" w:ascii="仿宋_GB2312" w:hAnsi="仿宋_GB2312" w:eastAsia="仿宋_GB2312" w:cs="仿宋_GB2312"/>
          <w:color w:val="000000" w:themeColor="text1"/>
          <w:spacing w:val="9"/>
          <w:position w:val="9"/>
          <w:sz w:val="28"/>
          <w:szCs w:val="28"/>
          <w14:textFill>
            <w14:solidFill>
              <w14:schemeClr w14:val="tx1"/>
            </w14:solidFill>
          </w14:textFill>
        </w:rPr>
        <w:t>类</w:t>
      </w:r>
      <w:r>
        <w:rPr>
          <w:rFonts w:hint="eastAsia" w:ascii="仿宋_GB2312" w:hAnsi="仿宋_GB2312" w:eastAsia="仿宋_GB2312" w:cs="仿宋_GB2312"/>
          <w:color w:val="000000" w:themeColor="text1"/>
          <w:spacing w:val="5"/>
          <w:position w:val="9"/>
          <w:sz w:val="28"/>
          <w:szCs w:val="28"/>
          <w14:textFill>
            <w14:solidFill>
              <w14:schemeClr w14:val="tx1"/>
            </w14:solidFill>
          </w14:textFill>
        </w:rPr>
        <w:t>别后的数字为《国民经济行业分类》(</w:t>
      </w:r>
      <w:r>
        <w:rPr>
          <w:rFonts w:hint="eastAsia" w:ascii="仿宋_GB2312" w:hAnsi="仿宋_GB2312" w:eastAsia="仿宋_GB2312" w:cs="仿宋_GB2312"/>
          <w:color w:val="000000" w:themeColor="text1"/>
          <w:position w:val="9"/>
          <w:sz w:val="28"/>
          <w:szCs w:val="28"/>
          <w14:textFill>
            <w14:solidFill>
              <w14:schemeClr w14:val="tx1"/>
            </w14:solidFill>
          </w14:textFill>
        </w:rPr>
        <w:t>GB</w:t>
      </w:r>
      <w:r>
        <w:rPr>
          <w:rFonts w:hint="eastAsia" w:ascii="仿宋_GB2312" w:hAnsi="仿宋_GB2312" w:eastAsia="仿宋_GB2312" w:cs="仿宋_GB2312"/>
          <w:color w:val="000000" w:themeColor="text1"/>
          <w:spacing w:val="5"/>
          <w:position w:val="9"/>
          <w:sz w:val="28"/>
          <w:szCs w:val="28"/>
          <w14:textFill>
            <w14:solidFill>
              <w14:schemeClr w14:val="tx1"/>
            </w14:solidFill>
          </w14:textFill>
        </w:rPr>
        <w:t>/</w:t>
      </w:r>
      <w:r>
        <w:rPr>
          <w:rFonts w:hint="eastAsia" w:ascii="仿宋_GB2312" w:hAnsi="仿宋_GB2312" w:eastAsia="仿宋_GB2312" w:cs="仿宋_GB2312"/>
          <w:color w:val="000000" w:themeColor="text1"/>
          <w:position w:val="9"/>
          <w:sz w:val="28"/>
          <w:szCs w:val="28"/>
          <w14:textFill>
            <w14:solidFill>
              <w14:schemeClr w14:val="tx1"/>
            </w14:solidFill>
          </w14:textFill>
        </w:rPr>
        <w:t>T</w:t>
      </w:r>
      <w:r>
        <w:rPr>
          <w:rFonts w:hint="eastAsia" w:ascii="仿宋_GB2312" w:hAnsi="仿宋_GB2312" w:eastAsia="仿宋_GB2312" w:cs="仿宋_GB2312"/>
          <w:color w:val="000000" w:themeColor="text1"/>
          <w:spacing w:val="5"/>
          <w:position w:val="9"/>
          <w:sz w:val="28"/>
          <w:szCs w:val="28"/>
          <w14:textFill>
            <w14:solidFill>
              <w14:schemeClr w14:val="tx1"/>
            </w14:solidFill>
          </w14:textFill>
        </w:rPr>
        <w:t xml:space="preserve"> 4754-2017) 及第1号修改单行业代码。</w:t>
      </w:r>
    </w:p>
    <w:p>
      <w:pPr>
        <w:keepNext w:val="0"/>
        <w:keepLines w:val="0"/>
        <w:pageBreakBefore w:val="0"/>
        <w:widowControl w:val="0"/>
        <w:kinsoku/>
        <w:wordWrap/>
        <w:overflowPunct/>
        <w:topLinePunct w:val="0"/>
        <w:autoSpaceDE/>
        <w:autoSpaceDN/>
        <w:bidi w:val="0"/>
        <w:adjustRightInd/>
        <w:snapToGrid/>
        <w:spacing w:line="400" w:lineRule="exact"/>
        <w:ind w:left="88"/>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3"/>
          <w:position w:val="1"/>
          <w:sz w:val="28"/>
          <w:szCs w:val="28"/>
          <w14:textFill>
            <w14:solidFill>
              <w14:schemeClr w14:val="tx1"/>
            </w14:solidFill>
          </w14:textFill>
        </w:rPr>
        <w:t>2</w:t>
      </w:r>
      <w:r>
        <w:rPr>
          <w:rFonts w:hint="eastAsia" w:ascii="仿宋_GB2312" w:hAnsi="仿宋_GB2312" w:eastAsia="仿宋_GB2312" w:cs="仿宋_GB2312"/>
          <w:color w:val="000000" w:themeColor="text1"/>
          <w:spacing w:val="8"/>
          <w:position w:val="1"/>
          <w:sz w:val="28"/>
          <w:szCs w:val="28"/>
          <w14:textFill>
            <w14:solidFill>
              <w14:schemeClr w14:val="tx1"/>
            </w14:solidFill>
          </w14:textFill>
        </w:rPr>
        <w:t>.名录中涉及规模的，均指新增规模。</w:t>
      </w:r>
    </w:p>
    <w:p>
      <w:pPr>
        <w:keepNext w:val="0"/>
        <w:keepLines w:val="0"/>
        <w:pageBreakBefore w:val="0"/>
        <w:widowControl w:val="0"/>
        <w:kinsoku/>
        <w:wordWrap/>
        <w:overflowPunct/>
        <w:topLinePunct w:val="0"/>
        <w:autoSpaceDE/>
        <w:autoSpaceDN/>
        <w:bidi w:val="0"/>
        <w:adjustRightInd/>
        <w:snapToGrid/>
        <w:spacing w:before="56" w:line="400" w:lineRule="exact"/>
        <w:ind w:left="89"/>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0"/>
          <w:position w:val="1"/>
          <w:sz w:val="28"/>
          <w:szCs w:val="28"/>
          <w14:textFill>
            <w14:solidFill>
              <w14:schemeClr w14:val="tx1"/>
            </w14:solidFill>
          </w14:textFill>
        </w:rPr>
        <w:t>3</w:t>
      </w:r>
      <w:r>
        <w:rPr>
          <w:rFonts w:hint="eastAsia" w:ascii="仿宋_GB2312" w:hAnsi="仿宋_GB2312" w:eastAsia="仿宋_GB2312" w:cs="仿宋_GB2312"/>
          <w:color w:val="000000" w:themeColor="text1"/>
          <w:spacing w:val="9"/>
          <w:position w:val="1"/>
          <w:sz w:val="28"/>
          <w:szCs w:val="28"/>
          <w14:textFill>
            <w14:solidFill>
              <w14:schemeClr w14:val="tx1"/>
            </w14:solidFill>
          </w14:textFill>
        </w:rPr>
        <w:t>.单纯混合指不发生化学反应的物理混合过程；分装指由大包装变为小包装。</w:t>
      </w:r>
    </w:p>
    <w:p>
      <w:pPr>
        <w:keepNext w:val="0"/>
        <w:keepLines w:val="0"/>
        <w:pageBreakBefore w:val="0"/>
        <w:widowControl w:val="0"/>
        <w:kinsoku/>
        <w:wordWrap/>
        <w:overflowPunct/>
        <w:topLinePunct w:val="0"/>
        <w:autoSpaceDE/>
        <w:autoSpaceDN/>
        <w:bidi w:val="0"/>
        <w:adjustRightInd/>
        <w:snapToGrid/>
        <w:spacing w:before="61" w:line="400" w:lineRule="exact"/>
        <w:ind w:left="296" w:right="78" w:hanging="212"/>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16"/>
          <w:sz w:val="28"/>
          <w:szCs w:val="28"/>
          <w14:textFill>
            <w14:solidFill>
              <w14:schemeClr w14:val="tx1"/>
            </w14:solidFill>
          </w14:textFill>
        </w:rPr>
        <w:t>4.名录中所</w:t>
      </w:r>
      <w:r>
        <w:rPr>
          <w:rFonts w:hint="eastAsia" w:ascii="仿宋_GB2312" w:hAnsi="仿宋_GB2312" w:eastAsia="仿宋_GB2312" w:cs="仿宋_GB2312"/>
          <w:color w:val="000000" w:themeColor="text1"/>
          <w:spacing w:val="9"/>
          <w:sz w:val="28"/>
          <w:szCs w:val="28"/>
          <w14:textFill>
            <w14:solidFill>
              <w14:schemeClr w14:val="tx1"/>
            </w14:solidFill>
          </w14:textFill>
        </w:rPr>
        <w:t>标</w:t>
      </w:r>
      <w:r>
        <w:rPr>
          <w:rFonts w:hint="eastAsia" w:ascii="仿宋_GB2312" w:hAnsi="仿宋_GB2312" w:eastAsia="仿宋_GB2312" w:cs="仿宋_GB2312"/>
          <w:color w:val="000000" w:themeColor="text1"/>
          <w:spacing w:val="8"/>
          <w:sz w:val="28"/>
          <w:szCs w:val="28"/>
          <w:lang w:eastAsia="zh-CN"/>
          <w14:textFill>
            <w14:solidFill>
              <w14:schemeClr w14:val="tx1"/>
            </w14:solidFill>
          </w14:textFill>
        </w:rPr>
        <w:t>“</w:t>
      </w:r>
      <w:r>
        <w:rPr>
          <w:rFonts w:hint="eastAsia" w:ascii="仿宋_GB2312" w:hAnsi="仿宋_GB2312" w:eastAsia="仿宋_GB2312" w:cs="仿宋_GB2312"/>
          <w:color w:val="000000" w:themeColor="text1"/>
          <w:spacing w:val="8"/>
          <w:sz w:val="28"/>
          <w:szCs w:val="28"/>
          <w14:textFill>
            <w14:solidFill>
              <w14:schemeClr w14:val="tx1"/>
            </w14:solidFill>
          </w14:textFill>
        </w:rPr>
        <w:t>*”号，指在工业建筑中生产的建设项目。工业建筑的定义参见《工程结构设计基本术语标准》(</w:t>
      </w:r>
      <w:r>
        <w:rPr>
          <w:rFonts w:hint="eastAsia" w:ascii="仿宋_GB2312" w:hAnsi="仿宋_GB2312" w:eastAsia="仿宋_GB2312" w:cs="仿宋_GB2312"/>
          <w:color w:val="000000" w:themeColor="text1"/>
          <w:sz w:val="28"/>
          <w:szCs w:val="28"/>
          <w14:textFill>
            <w14:solidFill>
              <w14:schemeClr w14:val="tx1"/>
            </w14:solidFill>
          </w14:textFill>
        </w:rPr>
        <w:t>GB</w:t>
      </w:r>
      <w:r>
        <w:rPr>
          <w:rFonts w:hint="eastAsia" w:ascii="仿宋_GB2312" w:hAnsi="仿宋_GB2312" w:eastAsia="仿宋_GB2312" w:cs="仿宋_GB2312"/>
          <w:color w:val="000000" w:themeColor="text1"/>
          <w:spacing w:val="8"/>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T</w:t>
      </w:r>
      <w:r>
        <w:rPr>
          <w:rFonts w:hint="eastAsia" w:ascii="仿宋_GB2312" w:hAnsi="仿宋_GB2312" w:eastAsia="仿宋_GB2312" w:cs="仿宋_GB2312"/>
          <w:color w:val="000000" w:themeColor="text1"/>
          <w:spacing w:val="8"/>
          <w:sz w:val="28"/>
          <w:szCs w:val="28"/>
          <w14:textFill>
            <w14:solidFill>
              <w14:schemeClr w14:val="tx1"/>
            </w14:solidFill>
          </w14:textFill>
        </w:rPr>
        <w:t xml:space="preserve"> 50083-2014)，指提供生产用的各种建筑</w:t>
      </w:r>
      <w:r>
        <w:rPr>
          <w:rFonts w:hint="eastAsia" w:ascii="仿宋_GB2312" w:hAnsi="仿宋_GB2312" w:eastAsia="仿宋_GB2312" w:cs="仿宋_GB2312"/>
          <w:color w:val="000000" w:themeColor="text1"/>
          <w:spacing w:val="17"/>
          <w:sz w:val="28"/>
          <w:szCs w:val="28"/>
          <w14:textFill>
            <w14:solidFill>
              <w14:schemeClr w14:val="tx1"/>
            </w14:solidFill>
          </w14:textFill>
        </w:rPr>
        <w:t>物</w:t>
      </w:r>
      <w:r>
        <w:rPr>
          <w:rFonts w:hint="eastAsia" w:ascii="仿宋_GB2312" w:hAnsi="仿宋_GB2312" w:eastAsia="仿宋_GB2312" w:cs="仿宋_GB2312"/>
          <w:color w:val="000000" w:themeColor="text1"/>
          <w:spacing w:val="9"/>
          <w:sz w:val="28"/>
          <w:szCs w:val="28"/>
          <w14:textFill>
            <w14:solidFill>
              <w14:schemeClr w14:val="tx1"/>
            </w14:solidFill>
          </w14:textFill>
        </w:rPr>
        <w:t>，如车间、厂前区建筑、生活间、动力站、库房和运输设施等。</w:t>
      </w:r>
    </w:p>
    <w:p>
      <w:pPr>
        <w:keepNext w:val="0"/>
        <w:keepLines w:val="0"/>
        <w:pageBreakBefore w:val="0"/>
        <w:widowControl w:val="0"/>
        <w:kinsoku/>
        <w:wordWrap/>
        <w:overflowPunct/>
        <w:topLinePunct w:val="0"/>
        <w:autoSpaceDE/>
        <w:autoSpaceDN/>
        <w:bidi w:val="0"/>
        <w:adjustRightInd/>
        <w:snapToGrid/>
        <w:spacing w:before="1" w:line="400" w:lineRule="exact"/>
        <w:ind w:left="298" w:right="76" w:hanging="209"/>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8"/>
          <w:sz w:val="28"/>
          <w:szCs w:val="28"/>
          <w14:textFill>
            <w14:solidFill>
              <w14:schemeClr w14:val="tx1"/>
            </w14:solidFill>
          </w14:textFill>
        </w:rPr>
        <w:t>5.参照《中华人民共和国环境保护税法实施条例》，建设城乡污水集中处理工程，是指为社会公众提供生活污水处理服务的工程，不包括为工业园区、开发区</w:t>
      </w:r>
      <w:r>
        <w:rPr>
          <w:rFonts w:hint="eastAsia" w:ascii="仿宋_GB2312" w:hAnsi="仿宋_GB2312" w:eastAsia="仿宋_GB2312" w:cs="仿宋_GB2312"/>
          <w:color w:val="000000" w:themeColor="text1"/>
          <w:spacing w:val="3"/>
          <w:sz w:val="28"/>
          <w:szCs w:val="28"/>
          <w14:textFill>
            <w14:solidFill>
              <w14:schemeClr w14:val="tx1"/>
            </w14:solidFill>
          </w14:textFill>
        </w:rPr>
        <w:t>等</w:t>
      </w:r>
      <w:r>
        <w:rPr>
          <w:rFonts w:hint="eastAsia" w:ascii="仿宋_GB2312" w:hAnsi="仿宋_GB2312" w:eastAsia="仿宋_GB2312" w:cs="仿宋_GB2312"/>
          <w:color w:val="000000" w:themeColor="text1"/>
          <w:spacing w:val="14"/>
          <w:sz w:val="28"/>
          <w:szCs w:val="28"/>
          <w14:textFill>
            <w14:solidFill>
              <w14:schemeClr w14:val="tx1"/>
            </w14:solidFill>
          </w14:textFill>
        </w:rPr>
        <w:t>工业聚</w:t>
      </w:r>
      <w:r>
        <w:rPr>
          <w:rFonts w:hint="eastAsia" w:ascii="仿宋_GB2312" w:hAnsi="仿宋_GB2312" w:eastAsia="仿宋_GB2312" w:cs="仿宋_GB2312"/>
          <w:color w:val="000000" w:themeColor="text1"/>
          <w:spacing w:val="12"/>
          <w:sz w:val="28"/>
          <w:szCs w:val="28"/>
          <w14:textFill>
            <w14:solidFill>
              <w14:schemeClr w14:val="tx1"/>
            </w14:solidFill>
          </w14:textFill>
        </w:rPr>
        <w:t>集</w:t>
      </w:r>
      <w:r>
        <w:rPr>
          <w:rFonts w:hint="eastAsia" w:ascii="仿宋_GB2312" w:hAnsi="仿宋_GB2312" w:eastAsia="仿宋_GB2312" w:cs="仿宋_GB2312"/>
          <w:color w:val="000000" w:themeColor="text1"/>
          <w:spacing w:val="7"/>
          <w:sz w:val="28"/>
          <w:szCs w:val="28"/>
          <w14:textFill>
            <w14:solidFill>
              <w14:schemeClr w14:val="tx1"/>
            </w14:solidFill>
          </w14:textFill>
        </w:rPr>
        <w:t>区域内的企业事业单位和其他生产经营者提供污水处理服务的工程，以及建设单位自建自用的污水处理工程。</w:t>
      </w:r>
    </w:p>
    <w:p>
      <w:pPr>
        <w:keepNext w:val="0"/>
        <w:keepLines w:val="0"/>
        <w:pageBreakBefore w:val="0"/>
        <w:widowControl w:val="0"/>
        <w:kinsoku/>
        <w:wordWrap/>
        <w:overflowPunct/>
        <w:topLinePunct w:val="0"/>
        <w:autoSpaceDE/>
        <w:autoSpaceDN/>
        <w:bidi w:val="0"/>
        <w:adjustRightInd/>
        <w:snapToGrid/>
        <w:spacing w:line="400" w:lineRule="exact"/>
        <w:ind w:left="384" w:leftChars="41" w:hanging="298" w:hangingChars="1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pacing w:val="9"/>
          <w:position w:val="1"/>
          <w:sz w:val="28"/>
          <w:szCs w:val="28"/>
          <w14:textFill>
            <w14:solidFill>
              <w14:schemeClr w14:val="tx1"/>
            </w14:solidFill>
          </w14:textFill>
        </w:rPr>
        <w:t>6.化学镀、阳极氧化生产工艺按照本名录中电镀工艺相关规定执行</w:t>
      </w:r>
      <w:r>
        <w:rPr>
          <w:rFonts w:hint="eastAsia" w:ascii="仿宋_GB2312" w:hAnsi="仿宋_GB2312" w:eastAsia="仿宋_GB2312" w:cs="仿宋_GB2312"/>
          <w:color w:val="000000" w:themeColor="text1"/>
          <w:spacing w:val="8"/>
          <w:position w:val="1"/>
          <w:sz w:val="28"/>
          <w:szCs w:val="28"/>
          <w14:textFill>
            <w14:solidFill>
              <w14:schemeClr w14:val="tx1"/>
            </w14:solidFill>
          </w14:textFill>
        </w:rPr>
        <w:t>。</w:t>
      </w:r>
    </w:p>
    <w:p>
      <w:pPr>
        <w:widowControl/>
        <w:jc w:val="left"/>
        <w:outlineLvl w:val="0"/>
        <w:rPr>
          <w:rFonts w:hint="eastAsia" w:ascii="仿宋_GB2312" w:hAnsi="仿宋_GB2312" w:eastAsia="仿宋_GB2312" w:cs="仿宋_GB2312"/>
          <w:color w:val="000000" w:themeColor="text1"/>
          <w:sz w:val="28"/>
          <w:szCs w:val="28"/>
          <w14:textFill>
            <w14:solidFill>
              <w14:schemeClr w14:val="tx1"/>
            </w14:solidFill>
          </w14:textFill>
        </w:rPr>
      </w:pPr>
    </w:p>
    <w:p>
      <w:pPr>
        <w:widowControl/>
        <w:jc w:val="left"/>
        <w:outlineLvl w:val="0"/>
        <w:rPr>
          <w:rFonts w:ascii="Times New Roman" w:hAnsi="Times New Roman" w:eastAsia="黑体"/>
          <w:color w:val="000000" w:themeColor="text1"/>
          <w:sz w:val="28"/>
          <w:szCs w:val="28"/>
          <w14:textFill>
            <w14:solidFill>
              <w14:schemeClr w14:val="tx1"/>
            </w14:solidFill>
          </w14:textFill>
        </w:rPr>
      </w:pPr>
    </w:p>
    <w:p>
      <w:pPr>
        <w:pStyle w:val="2"/>
        <w:rPr>
          <w:rFonts w:ascii="Times New Roman" w:hAnsi="Times New Roman" w:eastAsia="黑体"/>
          <w:color w:val="000000" w:themeColor="text1"/>
          <w:sz w:val="28"/>
          <w:szCs w:val="28"/>
          <w14:textFill>
            <w14:solidFill>
              <w14:schemeClr w14:val="tx1"/>
            </w14:solidFill>
          </w14:textFill>
        </w:rPr>
      </w:pPr>
    </w:p>
    <w:p>
      <w:pPr>
        <w:rPr>
          <w:rFonts w:ascii="Times New Roman" w:hAnsi="Times New Roman" w:eastAsia="黑体"/>
          <w:color w:val="000000" w:themeColor="text1"/>
          <w:sz w:val="28"/>
          <w:szCs w:val="28"/>
          <w14:textFill>
            <w14:solidFill>
              <w14:schemeClr w14:val="tx1"/>
            </w14:solidFill>
          </w14:textFill>
        </w:rPr>
      </w:pPr>
    </w:p>
    <w:p>
      <w:pPr>
        <w:pStyle w:val="2"/>
      </w:pPr>
    </w:p>
    <w:p>
      <w:pPr>
        <w:keepNext w:val="0"/>
        <w:keepLines w:val="0"/>
        <w:pageBreakBefore w:val="0"/>
        <w:widowControl/>
        <w:kinsoku/>
        <w:wordWrap/>
        <w:overflowPunct/>
        <w:topLinePunct w:val="0"/>
        <w:autoSpaceDE/>
        <w:autoSpaceDN/>
        <w:bidi w:val="0"/>
        <w:adjustRightInd/>
        <w:snapToGrid/>
        <w:spacing w:line="440" w:lineRule="exact"/>
        <w:ind w:firstLine="600" w:firstLineChars="200"/>
        <w:textAlignment w:val="auto"/>
        <w:outlineLvl w:val="0"/>
        <w:rPr>
          <w:rFonts w:hint="eastAsia" w:ascii="方正黑体_GBK" w:hAnsi="Times New Roman" w:eastAsia="方正黑体_GBK"/>
          <w:color w:val="000000" w:themeColor="text1"/>
          <w:sz w:val="30"/>
          <w:szCs w:val="30"/>
          <w:lang w:val="en-US" w:eastAsia="zh-CN"/>
          <w14:textFill>
            <w14:solidFill>
              <w14:schemeClr w14:val="tx1"/>
            </w14:solidFill>
          </w14:textFill>
        </w:rPr>
      </w:pPr>
      <w:r>
        <w:rPr>
          <w:rFonts w:hint="eastAsia" w:ascii="方正黑体_GBK" w:hAnsi="Times New Roman" w:eastAsia="方正黑体_GBK"/>
          <w:color w:val="000000" w:themeColor="text1"/>
          <w:sz w:val="30"/>
          <w:szCs w:val="30"/>
          <w:lang w:val="en-US" w:eastAsia="zh-CN"/>
          <w14:textFill>
            <w14:solidFill>
              <w14:schemeClr w14:val="tx1"/>
            </w14:solidFill>
          </w14:textFill>
        </w:rPr>
        <w:t>六、小微企业</w:t>
      </w:r>
      <w:r>
        <w:rPr>
          <w:rFonts w:hint="eastAsia" w:ascii="方正黑体_GBK" w:hAnsi="Times New Roman" w:eastAsia="方正黑体_GBK"/>
          <w:color w:val="000000" w:themeColor="text1"/>
          <w:sz w:val="30"/>
          <w:szCs w:val="30"/>
          <w:lang w:val="en" w:eastAsia="zh-CN"/>
          <w14:textFill>
            <w14:solidFill>
              <w14:schemeClr w14:val="tx1"/>
            </w14:solidFill>
          </w14:textFill>
        </w:rPr>
        <w:t>“</w:t>
      </w:r>
      <w:r>
        <w:rPr>
          <w:rFonts w:hint="eastAsia" w:ascii="方正黑体_GBK" w:hAnsi="Times New Roman" w:eastAsia="方正黑体_GBK"/>
          <w:color w:val="000000" w:themeColor="text1"/>
          <w:sz w:val="30"/>
          <w:szCs w:val="30"/>
          <w:lang w:val="en-US" w:eastAsia="zh-CN"/>
          <w14:textFill>
            <w14:solidFill>
              <w14:schemeClr w14:val="tx1"/>
            </w14:solidFill>
          </w14:textFill>
        </w:rPr>
        <w:t>三个一</w:t>
      </w:r>
      <w:r>
        <w:rPr>
          <w:rFonts w:hint="eastAsia" w:ascii="方正黑体_GBK" w:hAnsi="Times New Roman" w:eastAsia="方正黑体_GBK"/>
          <w:color w:val="000000" w:themeColor="text1"/>
          <w:sz w:val="30"/>
          <w:szCs w:val="30"/>
          <w:lang w:val="en" w:eastAsia="zh-CN"/>
          <w14:textFill>
            <w14:solidFill>
              <w14:schemeClr w14:val="tx1"/>
            </w14:solidFill>
          </w14:textFill>
        </w:rPr>
        <w:t>”</w:t>
      </w:r>
      <w:r>
        <w:rPr>
          <w:rFonts w:hint="eastAsia" w:ascii="方正黑体_GBK" w:hAnsi="Times New Roman" w:eastAsia="方正黑体_GBK"/>
          <w:color w:val="000000" w:themeColor="text1"/>
          <w:sz w:val="30"/>
          <w:szCs w:val="30"/>
          <w:lang w:val="en-US" w:eastAsia="zh-CN"/>
          <w14:textFill>
            <w14:solidFill>
              <w14:schemeClr w14:val="tx1"/>
            </w14:solidFill>
          </w14:textFill>
        </w:rPr>
        <w:t>环保服务工作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在全市范围内开展小微企业“三个一”环保服务工作，即开通一个咨询电话，每周固定一个服务企业接待日，每月集中开展一次小微企业服务，对全市小微企业环评及排污许可手续办理进行服务指导，确保小微企业在办理环评及排污许可手续时政策有人讲解、疑问有人答复、困难有人帮助，切实减轻小微企业负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jc w:val="both"/>
        <w:textAlignment w:val="auto"/>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t>（一）开通一个咨询电话。</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市生态环境局通过官方网站、微信公众号等途径，公开环评和排污许可手续办理咨询电话以及服务时间，咨询电话专人负责接听并解答小微企业提出的环评、排污许可手续办理等问题。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环评手续、排污许可手续咨询电话：0812-3318159</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服务时间：星期一至星期五上午9:00-12:00，下午13:30-17:00</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t>（二）每周固定一个服务企业接待日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将每周五固定为小微企业接待日，在攀枝花市仁和区三线大道69号攀西科技城（新市政务中心）4楼C4</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04办公室</w:t>
      </w: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定点进行接待服务，有意愿参加接待日的企业，可提前一个工作日通过咨询电话告知需要咨询的环评、排污许可手续办理的有关事项，在固定接待日将由专人进行一对一讲解。</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t>（三）每月开展一次小微企业服务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将每月最后一周某个工作日作为集中送服务活动日，针对小微企业在日常工作中咨询较多的问题，由市生态环境局行政审批科牵头，组织有关科室、各县（区）生态环境局、相关专家组成服务小组，集中开展为小微企业送服务活动。</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ind w:firstLine="480" w:firstLineChars="200"/>
        <w:jc w:val="both"/>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p>
    <w:p>
      <w:pPr>
        <w:numPr>
          <w:ilvl w:val="0"/>
          <w:numId w:val="0"/>
        </w:numPr>
        <w:spacing w:beforeLines="0" w:afterLines="0" w:line="600" w:lineRule="exact"/>
        <w:jc w:val="both"/>
        <w:rPr>
          <w:rFonts w:hint="default" w:ascii="楷体_GB2312" w:hAnsi="楷体_GB2312" w:eastAsia="楷体_GB2312" w:cs="楷体_GB2312"/>
          <w:b/>
          <w:color w:val="000000" w:themeColor="text1"/>
          <w:sz w:val="32"/>
          <w:szCs w:val="32"/>
          <w:lang w:val="en-US" w:eastAsia="zh-CN"/>
          <w14:textFill>
            <w14:solidFill>
              <w14:schemeClr w14:val="tx1"/>
            </w14:solidFill>
          </w14:textFill>
        </w:rPr>
      </w:pPr>
    </w:p>
    <w:p>
      <w:pPr>
        <w:numPr>
          <w:ilvl w:val="0"/>
          <w:numId w:val="0"/>
        </w:numPr>
        <w:spacing w:beforeLines="0" w:afterLines="0" w:line="600" w:lineRule="exact"/>
        <w:jc w:val="both"/>
        <w:rPr>
          <w:rFonts w:hint="default" w:ascii="楷体_GB2312" w:hAnsi="楷体_GB2312" w:eastAsia="楷体_GB2312" w:cs="楷体_GB2312"/>
          <w:b/>
          <w:color w:val="000000" w:themeColor="text1"/>
          <w:sz w:val="32"/>
          <w:szCs w:val="32"/>
          <w:lang w:val="en-US" w:eastAsia="zh-CN"/>
          <w14:textFill>
            <w14:solidFill>
              <w14:schemeClr w14:val="tx1"/>
            </w14:solidFill>
          </w14:textFill>
        </w:rPr>
      </w:pPr>
    </w:p>
    <w:p>
      <w:pPr>
        <w:pStyle w:val="2"/>
        <w:rPr>
          <w:rFonts w:hint="default" w:ascii="楷体_GB2312" w:hAnsi="楷体_GB2312" w:eastAsia="楷体_GB2312" w:cs="楷体_GB2312"/>
          <w:b/>
          <w:color w:val="000000" w:themeColor="text1"/>
          <w:sz w:val="32"/>
          <w:szCs w:val="32"/>
          <w:lang w:val="en-US" w:eastAsia="zh-CN"/>
          <w14:textFill>
            <w14:solidFill>
              <w14:schemeClr w14:val="tx1"/>
            </w14:solidFill>
          </w14:textFill>
        </w:rPr>
      </w:pPr>
    </w:p>
    <w:p>
      <w:pPr>
        <w:rPr>
          <w:rFonts w:hint="default" w:ascii="楷体_GB2312" w:hAnsi="楷体_GB2312" w:eastAsia="楷体_GB2312" w:cs="楷体_GB2312"/>
          <w:b/>
          <w:color w:val="000000" w:themeColor="text1"/>
          <w:sz w:val="32"/>
          <w:szCs w:val="32"/>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40" w:lineRule="exact"/>
        <w:ind w:left="0" w:leftChars="0" w:firstLine="600" w:firstLineChars="200"/>
        <w:textAlignment w:val="auto"/>
        <w:outlineLvl w:val="0"/>
        <w:rPr>
          <w:rFonts w:hint="default" w:ascii="方正黑体_GBK" w:hAnsi="Times New Roman" w:eastAsia="方正黑体_GBK"/>
          <w:color w:val="000000" w:themeColor="text1"/>
          <w:sz w:val="30"/>
          <w:szCs w:val="30"/>
          <w:lang w:val="en-US" w:eastAsia="zh-CN"/>
          <w14:textFill>
            <w14:solidFill>
              <w14:schemeClr w14:val="tx1"/>
            </w14:solidFill>
          </w14:textFill>
        </w:rPr>
      </w:pPr>
      <w:r>
        <w:rPr>
          <w:rFonts w:hint="eastAsia" w:ascii="方正黑体_GBK" w:hAnsi="Times New Roman" w:eastAsia="方正黑体_GBK"/>
          <w:color w:val="000000" w:themeColor="text1"/>
          <w:sz w:val="30"/>
          <w:szCs w:val="30"/>
          <w:lang w:val="en-US" w:eastAsia="zh-CN"/>
          <w14:textFill>
            <w14:solidFill>
              <w14:schemeClr w14:val="tx1"/>
            </w14:solidFill>
          </w14:textFill>
        </w:rPr>
        <w:t>七</w:t>
      </w:r>
      <w:r>
        <w:rPr>
          <w:rFonts w:hint="default" w:ascii="方正黑体_GBK" w:hAnsi="Times New Roman" w:eastAsia="方正黑体_GBK"/>
          <w:color w:val="000000" w:themeColor="text1"/>
          <w:sz w:val="30"/>
          <w:szCs w:val="30"/>
          <w:lang w:val="en-US" w:eastAsia="zh-CN"/>
          <w14:textFill>
            <w14:solidFill>
              <w14:schemeClr w14:val="tx1"/>
            </w14:solidFill>
          </w14:textFill>
        </w:rPr>
        <w:t>、</w:t>
      </w:r>
      <w:r>
        <w:rPr>
          <w:rFonts w:hint="eastAsia" w:ascii="方正黑体_GBK" w:hAnsi="Times New Roman" w:eastAsia="方正黑体_GBK"/>
          <w:color w:val="000000" w:themeColor="text1"/>
          <w:sz w:val="30"/>
          <w:szCs w:val="30"/>
          <w:lang w:val="en-US" w:eastAsia="zh-CN"/>
          <w14:textFill>
            <w14:solidFill>
              <w14:schemeClr w14:val="tx1"/>
            </w14:solidFill>
          </w14:textFill>
        </w:rPr>
        <w:t>重点项目环评预审制</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(一)受理。</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项目建设单位或党政部门提出环评预审服务的书面申请和相关资料后，行政审批</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科</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提出意见，报分管</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局</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领导</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审定</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(二)预评估。</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委托</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生态环境信息与技术评估服务中心</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开展预评估，一般应在5个工作日内完成，并出具书面预评估意见。</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(三)出具意见。</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行政审批</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科</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根据</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生态环境信息与技术评估服务中心</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预评估意见，出具预审意见。</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line="440" w:lineRule="exact"/>
        <w:ind w:left="0" w:leftChars="0" w:firstLine="642" w:firstLineChars="200"/>
        <w:jc w:val="both"/>
        <w:textAlignment w:val="auto"/>
        <w:rPr>
          <w:rFonts w:hint="eastAsia" w:ascii="楷体_GB2312" w:hAnsi="楷体_GB2312" w:eastAsia="楷体_GB2312" w:cs="楷体_GB2312"/>
          <w:b/>
          <w:color w:val="000000" w:themeColor="text1"/>
          <w:sz w:val="32"/>
          <w:szCs w:val="32"/>
          <w:lang w:val="en-US" w:eastAsia="zh-CN"/>
          <w14:textFill>
            <w14:solidFill>
              <w14:schemeClr w14:val="tx1"/>
            </w14:solidFill>
          </w14:textFill>
        </w:rPr>
      </w:pPr>
    </w:p>
    <w:p>
      <w:pPr>
        <w:pStyle w:val="2"/>
        <w:rPr>
          <w:rFonts w:hint="eastAsia" w:ascii="楷体_GB2312" w:hAnsi="楷体_GB2312" w:eastAsia="楷体_GB2312" w:cs="楷体_GB2312"/>
          <w:b/>
          <w:color w:val="000000" w:themeColor="text1"/>
          <w:sz w:val="32"/>
          <w:szCs w:val="32"/>
          <w:lang w:val="en-US" w:eastAsia="zh-CN"/>
          <w14:textFill>
            <w14:solidFill>
              <w14:schemeClr w14:val="tx1"/>
            </w14:solidFill>
          </w14:textFill>
        </w:rPr>
      </w:pPr>
    </w:p>
    <w:p>
      <w:pPr>
        <w:rPr>
          <w:rFonts w:hint="eastAsia" w:ascii="楷体_GB2312" w:hAnsi="楷体_GB2312" w:eastAsia="楷体_GB2312" w:cs="楷体_GB2312"/>
          <w:b/>
          <w:color w:val="000000" w:themeColor="text1"/>
          <w:sz w:val="32"/>
          <w:szCs w:val="32"/>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keepNext w:val="0"/>
        <w:keepLines w:val="0"/>
        <w:pageBreakBefore w:val="0"/>
        <w:kinsoku/>
        <w:wordWrap/>
        <w:overflowPunct/>
        <w:topLinePunct w:val="0"/>
        <w:autoSpaceDE/>
        <w:autoSpaceDN/>
        <w:bidi w:val="0"/>
        <w:adjustRightInd/>
        <w:snapToGrid/>
        <w:spacing w:line="440" w:lineRule="exact"/>
        <w:ind w:left="0" w:leftChars="0" w:firstLine="420" w:firstLineChars="200"/>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40" w:lineRule="exact"/>
        <w:ind w:left="0" w:leftChars="0" w:firstLine="600" w:firstLineChars="200"/>
        <w:textAlignment w:val="auto"/>
        <w:outlineLvl w:val="0"/>
        <w:rPr>
          <w:rFonts w:hint="eastAsia" w:ascii="方正黑体_GBK" w:hAnsi="Times New Roman" w:eastAsia="方正黑体_GBK"/>
          <w:color w:val="000000" w:themeColor="text1"/>
          <w:sz w:val="30"/>
          <w:szCs w:val="30"/>
          <w:lang w:val="en-US" w:eastAsia="zh-CN"/>
          <w14:textFill>
            <w14:solidFill>
              <w14:schemeClr w14:val="tx1"/>
            </w14:solidFill>
          </w14:textFill>
        </w:rPr>
      </w:pPr>
      <w:r>
        <w:rPr>
          <w:rFonts w:hint="eastAsia" w:ascii="方正黑体_GBK" w:hAnsi="Times New Roman" w:eastAsia="方正黑体_GBK"/>
          <w:color w:val="000000" w:themeColor="text1"/>
          <w:sz w:val="30"/>
          <w:szCs w:val="30"/>
          <w:lang w:val="en-US" w:eastAsia="zh-CN"/>
          <w14:textFill>
            <w14:solidFill>
              <w14:schemeClr w14:val="tx1"/>
            </w14:solidFill>
          </w14:textFill>
        </w:rPr>
        <w:t>八、攀枝花市建设项目环境影响报告表承诺制审批</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（一）实施原则。</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采取自愿原则，建设单位可根据承诺制审批名录的项目类别自主选择是否按照承诺制办理项目环评审批手续，对不愿开展承诺制审批的建设单位，按照原有先审查再审批的程序办理项目环评审批手续。</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ascii="Times New Roman" w:hAnsi="Times New Roman" w:eastAsia="楷体_GB2312"/>
          <w:bCs/>
          <w:color w:val="000000" w:themeColor="text1"/>
          <w:sz w:val="32"/>
          <w:szCs w:val="32"/>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（二）实施范围。</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市域内已完成规划环评或跟踪评价的产业园区及开发建设区域</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相关规划及规划环评情况由市生态环境局在其网站上予以公开，并进行动态调整。</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（三）实施对象。</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按照《建设项目环境影响评价分类管理》规定，应当编制环境影响报告表的部分项目</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ascii="Times New Roman" w:hAnsi="Times New Roman" w:eastAsia="楷体_GB2312"/>
          <w:bCs/>
          <w:color w:val="000000" w:themeColor="text1"/>
          <w:sz w:val="32"/>
          <w:szCs w:val="32"/>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（四）实施条件。</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建设单位完成工商注册</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项目位于已完成规划环评或跟踪评价的产业园区及开发建设区域内；项目环评文件审批权限属于市级生态环境主管部门</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不包括关系国家安全、涉及重大公共利益的建设项目。</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（五）办理程序。</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1.建设单位可以委托环评编制单位对其建设项目开展环境影响评价，编制建设项目环境影响报告表；建设单位具备环境影响评价技术能力，可以自行对其建设项目开展环境影响评价，编制建设项目环境影响报告表。并在项目开工建设前，报具有审批权限的生态环境部门审批，同时报送《建设项目环境影响评价文件报批承诺书》。</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2.</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自行</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编制建设项目环境影响报告表的建设单位或接受委托的环评编制单位，应严格按照国家有关法律法规、政策、技术导则、标准等要求编制环境影响报告表，提出科学客观的环评结论，环评结论应当明确项目环评与规划环评的相符性，环评结论将作为项目审批的重要依据。</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3.建设单位申报后，生态环境部门对其申报资料进行初步审查，对明显不符合有关环保法律、法规、政策要求或明显不符合规划选址及区域环评要求的建设项目，不予受理、审批。</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对符合承诺制审批要求的建设项目，生态环境部门</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立即</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对其环评文件进行公示，公示期不少于5个工作日（含受理公示和拟审批公示）。若在公示期间社会各界、组织对环境影响报告表提出重大异议时，生态环境部门应立即撤销受理公示，并立即告知建设单位，进行退件处理，将其纳入实质性审查</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若在公示期间未收到群众反对意见，生态环境部门在公示期结束后2个工作日内出具批复文件。</w:t>
      </w:r>
    </w:p>
    <w:p>
      <w:pPr>
        <w:pStyle w:val="2"/>
        <w:keepNext w:val="0"/>
        <w:keepLines w:val="0"/>
        <w:pageBreakBefore w:val="0"/>
        <w:kinsoku/>
        <w:wordWrap/>
        <w:overflowPunct/>
        <w:topLinePunct w:val="0"/>
        <w:autoSpaceDE/>
        <w:autoSpaceDN/>
        <w:bidi w:val="0"/>
        <w:adjustRightInd/>
        <w:snapToGrid/>
        <w:spacing w:line="440" w:lineRule="exact"/>
        <w:ind w:left="0" w:leftChars="0" w:firstLine="420" w:firstLineChars="200"/>
        <w:textAlignment w:val="auto"/>
        <w:rPr>
          <w:rFonts w:hint="eastAsia"/>
          <w:color w:val="000000" w:themeColor="text1"/>
          <w:lang w:val="en-US" w:eastAsia="zh-CN"/>
          <w14:textFill>
            <w14:solidFill>
              <w14:schemeClr w14:val="tx1"/>
            </w14:solidFill>
          </w14:textFill>
        </w:rPr>
      </w:pPr>
    </w:p>
    <w:p>
      <w:pPr>
        <w:pStyle w:val="2"/>
        <w:keepNext w:val="0"/>
        <w:keepLines w:val="0"/>
        <w:pageBreakBefore w:val="0"/>
        <w:kinsoku/>
        <w:wordWrap/>
        <w:overflowPunct/>
        <w:topLinePunct w:val="0"/>
        <w:autoSpaceDE/>
        <w:autoSpaceDN/>
        <w:bidi w:val="0"/>
        <w:adjustRightInd/>
        <w:snapToGrid/>
        <w:spacing w:line="440" w:lineRule="exact"/>
        <w:ind w:left="0" w:leftChars="0" w:firstLine="420" w:firstLineChars="200"/>
        <w:textAlignment w:val="auto"/>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40" w:lineRule="exact"/>
        <w:ind w:left="0" w:leftChars="0" w:firstLine="600" w:firstLineChars="200"/>
        <w:textAlignment w:val="auto"/>
        <w:outlineLvl w:val="0"/>
        <w:rPr>
          <w:rFonts w:hint="eastAsia" w:ascii="方正黑体_GBK" w:hAnsi="Times New Roman" w:eastAsia="方正黑体_GBK"/>
          <w:color w:val="000000" w:themeColor="text1"/>
          <w:sz w:val="30"/>
          <w:szCs w:val="30"/>
          <w:lang w:val="en-US" w:eastAsia="zh-CN"/>
          <w14:textFill>
            <w14:solidFill>
              <w14:schemeClr w14:val="tx1"/>
            </w14:solidFill>
          </w14:textFill>
        </w:rPr>
      </w:pPr>
      <w:r>
        <w:rPr>
          <w:rFonts w:hint="eastAsia" w:ascii="方正黑体_GBK" w:hAnsi="Times New Roman" w:eastAsia="方正黑体_GBK"/>
          <w:color w:val="000000" w:themeColor="text1"/>
          <w:sz w:val="30"/>
          <w:szCs w:val="30"/>
          <w:lang w:val="en-US" w:eastAsia="zh-CN"/>
          <w14:textFill>
            <w14:solidFill>
              <w14:schemeClr w14:val="tx1"/>
            </w14:solidFill>
          </w14:textFill>
        </w:rPr>
        <w:t>九、污染影响类建设项目重大变动清单（试行）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适用于污染影响类建设项目环境影响评价管理，其中我部已发布行业建设项目重大变动清单的，按行业建设项目重大变动清单执行。</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性质:</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1.建设项目开发、使用功能发生变化的。</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规模:</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2.生产、处置或储存能力增大30%及以上的。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3.生产、处置或储存能力增大，导致废水第一类污染物排放量增加的。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臭氧不达标区，相应污染物为氮氧化物、挥发性有机物</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其他大气、水污染物因子不达标区，相应污染物为超标污染因子)</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位于达标区的建设项目生产、处置或储存能力增大，导致污染物排放量增加10%及以上的。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地点:</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5.重新选址</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在原厂址附近调整(包括总平面布置变化)导致环境防护距离范围变化且新增敏感点的。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生产工艺：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6.新增产品品种或生产工艺(含主要生产装置、设备及配套设施)、主要原辅材料、燃料变化，导致以下情形之一:</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1</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新增排放污染物种类的(毒性、挥发性降低的除外)</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2</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位于环境质量不达标区的建设项目相应污染物排放量增加的</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3</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废水第一类污染物排放量增加的</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4</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其他污染物排放量增加10%及以上的。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7.物料运输、装卸、贮存方式变化，导致大气污染物无组织排放量增加10%及以上的。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8.废气、废水污染防治措施变化，导致第6条中所列情形之一(废气无组织排放改为有组织排放、污染防治措施强化或改进的除外)或大气污染物无组织排放量增加10%及以上的。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9.新增废水直接排放口</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废水由间接排放改为直接排放</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废水直接排放口位置变化，导致不利环境影响加重的。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10.新增废气主要排放口(废气无组织排放改为有组织排放的除外)</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主要排放口排气筒高度降低10%及以上的。</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11.噪声、土壤或地下水污染防治措施变化，导致不利环境影响加重的。</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12.固体废物利用处置方式由委托外单位利用处置改为自行利用处置的(自行利用处置设施单独开展环境影响评价的除外)</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固体废物自行处置方式变化，导致不利环境影响加重的。</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13.事故废水暂存能力或拦截设施变化，导致环境风险防范能力弱化或降低的。</w:t>
      </w:r>
    </w:p>
    <w:sectPr>
      <w:pgSz w:w="11907" w:h="8392" w:orient="landscape"/>
      <w:pgMar w:top="1247" w:right="1247" w:bottom="1247"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仿宋S"/>
    <w:panose1 w:val="00000000000000000000"/>
    <w:charset w:val="86"/>
    <w:family w:val="auto"/>
    <w:pitch w:val="default"/>
    <w:sig w:usb0="00000000" w:usb1="00000000" w:usb2="00000016" w:usb3="00000000" w:csb0="0004000F" w:csb1="00000000"/>
  </w:font>
  <w:font w:name="Cambria">
    <w:altName w:val="Noto Sans Syriac Eastern"/>
    <w:panose1 w:val="02040503050406030204"/>
    <w:charset w:val="00"/>
    <w:family w:val="roman"/>
    <w:pitch w:val="default"/>
    <w:sig w:usb0="00000000" w:usb1="00000000" w:usb2="00000000" w:usb3="00000000" w:csb0="2000019F" w:csb1="00000000"/>
  </w:font>
  <w:font w:name="方正黑体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汉仪仿宋S">
    <w:panose1 w:val="00020600040101000101"/>
    <w:charset w:val="86"/>
    <w:family w:val="auto"/>
    <w:pitch w:val="default"/>
    <w:sig w:usb0="A00002BF" w:usb1="38CF7CFA" w:usb2="00000016" w:usb3="00000000" w:csb0="0004009F"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7"/>
      </w:rPr>
    </w:pPr>
    <w:r>
      <w:rPr>
        <w:rStyle w:val="17"/>
      </w:rPr>
      <w:fldChar w:fldCharType="begin"/>
    </w:r>
    <w:r>
      <w:rPr>
        <w:rStyle w:val="17"/>
      </w:rPr>
      <w:instrText xml:space="preserve">PAGE  </w:instrText>
    </w:r>
    <w:r>
      <w:rPr>
        <w:rStyle w:val="17"/>
      </w:rPr>
      <w:fldChar w:fldCharType="end"/>
    </w:r>
  </w:p>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7"/>
        <w:rFonts w:ascii="Times New Roman" w:hAnsi="Times New Roman"/>
        <w:sz w:val="24"/>
        <w:szCs w:val="24"/>
      </w:rPr>
    </w:pPr>
    <w:r>
      <w:rPr>
        <w:rStyle w:val="17"/>
        <w:rFonts w:ascii="Times New Roman" w:hAnsi="Times New Roman"/>
        <w:sz w:val="24"/>
        <w:szCs w:val="24"/>
      </w:rPr>
      <w:t xml:space="preserve">— </w:t>
    </w:r>
    <w:r>
      <w:rPr>
        <w:rStyle w:val="17"/>
        <w:rFonts w:ascii="Times New Roman" w:hAnsi="Times New Roman"/>
        <w:sz w:val="24"/>
        <w:szCs w:val="24"/>
      </w:rPr>
      <w:fldChar w:fldCharType="begin"/>
    </w:r>
    <w:r>
      <w:rPr>
        <w:rStyle w:val="17"/>
        <w:rFonts w:ascii="Times New Roman" w:hAnsi="Times New Roman"/>
        <w:sz w:val="24"/>
        <w:szCs w:val="24"/>
      </w:rPr>
      <w:instrText xml:space="preserve">PAGE  </w:instrText>
    </w:r>
    <w:r>
      <w:rPr>
        <w:rStyle w:val="17"/>
        <w:rFonts w:ascii="Times New Roman" w:hAnsi="Times New Roman"/>
        <w:sz w:val="24"/>
        <w:szCs w:val="24"/>
      </w:rPr>
      <w:fldChar w:fldCharType="separate"/>
    </w:r>
    <w:r>
      <w:rPr>
        <w:rStyle w:val="17"/>
        <w:rFonts w:ascii="Times New Roman" w:hAnsi="Times New Roman"/>
        <w:sz w:val="24"/>
        <w:szCs w:val="24"/>
      </w:rPr>
      <w:t>35</w:t>
    </w:r>
    <w:r>
      <w:rPr>
        <w:rStyle w:val="17"/>
        <w:rFonts w:ascii="Times New Roman" w:hAnsi="Times New Roman"/>
        <w:sz w:val="24"/>
        <w:szCs w:val="24"/>
      </w:rPr>
      <w:fldChar w:fldCharType="end"/>
    </w:r>
    <w:r>
      <w:rPr>
        <w:rStyle w:val="17"/>
        <w:rFonts w:ascii="Times New Roman" w:hAnsi="Times New Roman"/>
        <w:sz w:val="24"/>
        <w:szCs w:val="24"/>
      </w:rPr>
      <w:t xml:space="preserve"> —</w:t>
    </w:r>
  </w:p>
  <w:p>
    <w:pPr>
      <w:pStyle w:val="8"/>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C938E"/>
    <w:multiLevelType w:val="singleLevel"/>
    <w:tmpl w:val="BFFC938E"/>
    <w:lvl w:ilvl="0" w:tentative="0">
      <w:start w:val="8"/>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23A"/>
    <w:rsid w:val="00003776"/>
    <w:rsid w:val="000073BD"/>
    <w:rsid w:val="000210EF"/>
    <w:rsid w:val="000279F9"/>
    <w:rsid w:val="000300FA"/>
    <w:rsid w:val="000C71A5"/>
    <w:rsid w:val="000D1504"/>
    <w:rsid w:val="000D6A6C"/>
    <w:rsid w:val="00155F0A"/>
    <w:rsid w:val="00162858"/>
    <w:rsid w:val="00174FC1"/>
    <w:rsid w:val="00184EE6"/>
    <w:rsid w:val="00186645"/>
    <w:rsid w:val="001A6EEA"/>
    <w:rsid w:val="001C3E40"/>
    <w:rsid w:val="001D4137"/>
    <w:rsid w:val="001D70F5"/>
    <w:rsid w:val="001E2FCA"/>
    <w:rsid w:val="001F006A"/>
    <w:rsid w:val="00294C51"/>
    <w:rsid w:val="002D454D"/>
    <w:rsid w:val="002E4AD7"/>
    <w:rsid w:val="00300454"/>
    <w:rsid w:val="003375E8"/>
    <w:rsid w:val="00347D33"/>
    <w:rsid w:val="00347E8F"/>
    <w:rsid w:val="00367DD8"/>
    <w:rsid w:val="00395828"/>
    <w:rsid w:val="00396456"/>
    <w:rsid w:val="003A51D4"/>
    <w:rsid w:val="0044699A"/>
    <w:rsid w:val="00461524"/>
    <w:rsid w:val="004768D0"/>
    <w:rsid w:val="00492A1C"/>
    <w:rsid w:val="004A3DFD"/>
    <w:rsid w:val="004A4A6D"/>
    <w:rsid w:val="004A4E58"/>
    <w:rsid w:val="004F328A"/>
    <w:rsid w:val="0050150E"/>
    <w:rsid w:val="005B5A58"/>
    <w:rsid w:val="005B7A04"/>
    <w:rsid w:val="005E1AC9"/>
    <w:rsid w:val="005F2364"/>
    <w:rsid w:val="00643073"/>
    <w:rsid w:val="00646A5D"/>
    <w:rsid w:val="00676C3C"/>
    <w:rsid w:val="00677161"/>
    <w:rsid w:val="00685EA2"/>
    <w:rsid w:val="00692E86"/>
    <w:rsid w:val="006F5847"/>
    <w:rsid w:val="00716B8A"/>
    <w:rsid w:val="0076437D"/>
    <w:rsid w:val="00784E35"/>
    <w:rsid w:val="00785363"/>
    <w:rsid w:val="00793FC0"/>
    <w:rsid w:val="007B36FD"/>
    <w:rsid w:val="007C4556"/>
    <w:rsid w:val="007E0F94"/>
    <w:rsid w:val="00817424"/>
    <w:rsid w:val="008237DA"/>
    <w:rsid w:val="008A3759"/>
    <w:rsid w:val="008A7D69"/>
    <w:rsid w:val="008B5511"/>
    <w:rsid w:val="0092462F"/>
    <w:rsid w:val="00966560"/>
    <w:rsid w:val="009A19D3"/>
    <w:rsid w:val="009B4C17"/>
    <w:rsid w:val="009B5304"/>
    <w:rsid w:val="00A030CA"/>
    <w:rsid w:val="00A12601"/>
    <w:rsid w:val="00A55978"/>
    <w:rsid w:val="00A6758D"/>
    <w:rsid w:val="00A97ECF"/>
    <w:rsid w:val="00AD4AAA"/>
    <w:rsid w:val="00AE423A"/>
    <w:rsid w:val="00AF0A9D"/>
    <w:rsid w:val="00B10D65"/>
    <w:rsid w:val="00BE33D7"/>
    <w:rsid w:val="00C1148B"/>
    <w:rsid w:val="00C47618"/>
    <w:rsid w:val="00CD1D9B"/>
    <w:rsid w:val="00CF1DD0"/>
    <w:rsid w:val="00CF3EFE"/>
    <w:rsid w:val="00D07621"/>
    <w:rsid w:val="00D14F83"/>
    <w:rsid w:val="00D62DEC"/>
    <w:rsid w:val="00D851BC"/>
    <w:rsid w:val="00DA5DBE"/>
    <w:rsid w:val="00DD1D70"/>
    <w:rsid w:val="00E11EB6"/>
    <w:rsid w:val="00E54D52"/>
    <w:rsid w:val="00EB0CC8"/>
    <w:rsid w:val="00ED73AC"/>
    <w:rsid w:val="00EE4B8D"/>
    <w:rsid w:val="00EF3F2A"/>
    <w:rsid w:val="00EF65B7"/>
    <w:rsid w:val="00FA1DA9"/>
    <w:rsid w:val="00FB59AE"/>
    <w:rsid w:val="012D10F1"/>
    <w:rsid w:val="013908A0"/>
    <w:rsid w:val="014547FB"/>
    <w:rsid w:val="014F0F5B"/>
    <w:rsid w:val="01502317"/>
    <w:rsid w:val="01A27361"/>
    <w:rsid w:val="01F279A2"/>
    <w:rsid w:val="01F53782"/>
    <w:rsid w:val="020362A3"/>
    <w:rsid w:val="021106C1"/>
    <w:rsid w:val="025A34E0"/>
    <w:rsid w:val="028311AF"/>
    <w:rsid w:val="02974F31"/>
    <w:rsid w:val="029E1F6B"/>
    <w:rsid w:val="02AA08E8"/>
    <w:rsid w:val="02EB6853"/>
    <w:rsid w:val="03111F43"/>
    <w:rsid w:val="032F0612"/>
    <w:rsid w:val="034D79FA"/>
    <w:rsid w:val="035F05D1"/>
    <w:rsid w:val="038345B4"/>
    <w:rsid w:val="03B7600E"/>
    <w:rsid w:val="04012352"/>
    <w:rsid w:val="041302F3"/>
    <w:rsid w:val="043401A4"/>
    <w:rsid w:val="043925D9"/>
    <w:rsid w:val="044B1B79"/>
    <w:rsid w:val="044D6882"/>
    <w:rsid w:val="046155A8"/>
    <w:rsid w:val="049823AA"/>
    <w:rsid w:val="04A0190D"/>
    <w:rsid w:val="04A822CE"/>
    <w:rsid w:val="04BB3B7B"/>
    <w:rsid w:val="04CD4BE6"/>
    <w:rsid w:val="04CE486B"/>
    <w:rsid w:val="052E5BA0"/>
    <w:rsid w:val="056A6A21"/>
    <w:rsid w:val="0591695A"/>
    <w:rsid w:val="05C66466"/>
    <w:rsid w:val="05C927DE"/>
    <w:rsid w:val="05DD118A"/>
    <w:rsid w:val="05DD4D89"/>
    <w:rsid w:val="05F54319"/>
    <w:rsid w:val="060071CB"/>
    <w:rsid w:val="061F7AE9"/>
    <w:rsid w:val="062B000A"/>
    <w:rsid w:val="065047E0"/>
    <w:rsid w:val="06663C42"/>
    <w:rsid w:val="06742A1E"/>
    <w:rsid w:val="068B01B3"/>
    <w:rsid w:val="06905F62"/>
    <w:rsid w:val="069935FA"/>
    <w:rsid w:val="06D059A9"/>
    <w:rsid w:val="06D64A1D"/>
    <w:rsid w:val="06E90AF8"/>
    <w:rsid w:val="070C084A"/>
    <w:rsid w:val="071E1C4E"/>
    <w:rsid w:val="072E1E59"/>
    <w:rsid w:val="07872360"/>
    <w:rsid w:val="08287993"/>
    <w:rsid w:val="085F38AB"/>
    <w:rsid w:val="08605B0D"/>
    <w:rsid w:val="087D1B90"/>
    <w:rsid w:val="08D44426"/>
    <w:rsid w:val="08DF109D"/>
    <w:rsid w:val="08EA5051"/>
    <w:rsid w:val="08FF4AC0"/>
    <w:rsid w:val="09000ACD"/>
    <w:rsid w:val="092F09CB"/>
    <w:rsid w:val="09341A54"/>
    <w:rsid w:val="098732DD"/>
    <w:rsid w:val="099348FB"/>
    <w:rsid w:val="09D53532"/>
    <w:rsid w:val="09FB0869"/>
    <w:rsid w:val="0A12094B"/>
    <w:rsid w:val="0A461544"/>
    <w:rsid w:val="0A7E51FC"/>
    <w:rsid w:val="0A86075E"/>
    <w:rsid w:val="0A93704B"/>
    <w:rsid w:val="0A954A7C"/>
    <w:rsid w:val="0AEF37B8"/>
    <w:rsid w:val="0B197574"/>
    <w:rsid w:val="0B635835"/>
    <w:rsid w:val="0B655070"/>
    <w:rsid w:val="0B8C434A"/>
    <w:rsid w:val="0BA23C55"/>
    <w:rsid w:val="0BAC4FEE"/>
    <w:rsid w:val="0BC9662F"/>
    <w:rsid w:val="0BF77D69"/>
    <w:rsid w:val="0BFD0B73"/>
    <w:rsid w:val="0C016661"/>
    <w:rsid w:val="0C6F57DB"/>
    <w:rsid w:val="0CA77DE8"/>
    <w:rsid w:val="0CAF4231"/>
    <w:rsid w:val="0CE548FB"/>
    <w:rsid w:val="0CF89725"/>
    <w:rsid w:val="0D664392"/>
    <w:rsid w:val="0D8D0E16"/>
    <w:rsid w:val="0D8F30C3"/>
    <w:rsid w:val="0DB27783"/>
    <w:rsid w:val="0DE87A58"/>
    <w:rsid w:val="0DFF836B"/>
    <w:rsid w:val="0E020A57"/>
    <w:rsid w:val="0E0D72AB"/>
    <w:rsid w:val="0E237588"/>
    <w:rsid w:val="0E31009C"/>
    <w:rsid w:val="0E393E8F"/>
    <w:rsid w:val="0E9D046B"/>
    <w:rsid w:val="0EC275D4"/>
    <w:rsid w:val="0EC35ABF"/>
    <w:rsid w:val="0EE01CAC"/>
    <w:rsid w:val="0EED288C"/>
    <w:rsid w:val="0F806672"/>
    <w:rsid w:val="0FA27AF9"/>
    <w:rsid w:val="0FB54560"/>
    <w:rsid w:val="0FBC146B"/>
    <w:rsid w:val="0FBF7E4F"/>
    <w:rsid w:val="0FF9EEEE"/>
    <w:rsid w:val="103B11D7"/>
    <w:rsid w:val="105A7687"/>
    <w:rsid w:val="1099707C"/>
    <w:rsid w:val="10B5101C"/>
    <w:rsid w:val="10C769C3"/>
    <w:rsid w:val="10FC49E3"/>
    <w:rsid w:val="110049F9"/>
    <w:rsid w:val="111350A6"/>
    <w:rsid w:val="11224062"/>
    <w:rsid w:val="112674D1"/>
    <w:rsid w:val="114A0384"/>
    <w:rsid w:val="115E6CA8"/>
    <w:rsid w:val="11980798"/>
    <w:rsid w:val="11E33498"/>
    <w:rsid w:val="11F040DD"/>
    <w:rsid w:val="11FB745D"/>
    <w:rsid w:val="11FC337B"/>
    <w:rsid w:val="12161AEB"/>
    <w:rsid w:val="12255762"/>
    <w:rsid w:val="1236187B"/>
    <w:rsid w:val="1266525D"/>
    <w:rsid w:val="12AB057E"/>
    <w:rsid w:val="12C05E74"/>
    <w:rsid w:val="12D768CE"/>
    <w:rsid w:val="130B7A29"/>
    <w:rsid w:val="13217CFC"/>
    <w:rsid w:val="13311981"/>
    <w:rsid w:val="13601245"/>
    <w:rsid w:val="13D529D4"/>
    <w:rsid w:val="13DC3547"/>
    <w:rsid w:val="140048EF"/>
    <w:rsid w:val="140D2BEC"/>
    <w:rsid w:val="141C267B"/>
    <w:rsid w:val="141C7A97"/>
    <w:rsid w:val="142832D7"/>
    <w:rsid w:val="1452586D"/>
    <w:rsid w:val="147B4653"/>
    <w:rsid w:val="147D6293"/>
    <w:rsid w:val="148362AD"/>
    <w:rsid w:val="148A5123"/>
    <w:rsid w:val="14F06CC9"/>
    <w:rsid w:val="14F223AB"/>
    <w:rsid w:val="15046DBD"/>
    <w:rsid w:val="155665CF"/>
    <w:rsid w:val="156835F6"/>
    <w:rsid w:val="158D31A4"/>
    <w:rsid w:val="15CE5771"/>
    <w:rsid w:val="16080AD5"/>
    <w:rsid w:val="16BB00C4"/>
    <w:rsid w:val="16C2213E"/>
    <w:rsid w:val="16D33B77"/>
    <w:rsid w:val="16F0221B"/>
    <w:rsid w:val="16FB41A9"/>
    <w:rsid w:val="175B6F79"/>
    <w:rsid w:val="1799417E"/>
    <w:rsid w:val="17A17BF5"/>
    <w:rsid w:val="17B21B33"/>
    <w:rsid w:val="17BFB2DE"/>
    <w:rsid w:val="17CE5746"/>
    <w:rsid w:val="17EB0BBA"/>
    <w:rsid w:val="17EEFA76"/>
    <w:rsid w:val="17F94D4D"/>
    <w:rsid w:val="17FB5C5A"/>
    <w:rsid w:val="17FD39A1"/>
    <w:rsid w:val="180329C2"/>
    <w:rsid w:val="18124248"/>
    <w:rsid w:val="18273129"/>
    <w:rsid w:val="183E2432"/>
    <w:rsid w:val="183E7E5C"/>
    <w:rsid w:val="18530852"/>
    <w:rsid w:val="18C01BA6"/>
    <w:rsid w:val="18D90155"/>
    <w:rsid w:val="18DA3BDB"/>
    <w:rsid w:val="18FF4921"/>
    <w:rsid w:val="191207EF"/>
    <w:rsid w:val="19331260"/>
    <w:rsid w:val="19403208"/>
    <w:rsid w:val="19725B89"/>
    <w:rsid w:val="199D1A43"/>
    <w:rsid w:val="19ABE69E"/>
    <w:rsid w:val="19C6688C"/>
    <w:rsid w:val="19EE4DF1"/>
    <w:rsid w:val="19FC6A9A"/>
    <w:rsid w:val="1A0A1DFB"/>
    <w:rsid w:val="1A5621AD"/>
    <w:rsid w:val="1A6425CB"/>
    <w:rsid w:val="1ACD4999"/>
    <w:rsid w:val="1ADE6128"/>
    <w:rsid w:val="1AF3B16E"/>
    <w:rsid w:val="1B22150B"/>
    <w:rsid w:val="1B2B3FA5"/>
    <w:rsid w:val="1B3113EF"/>
    <w:rsid w:val="1B3C41E8"/>
    <w:rsid w:val="1B4270D2"/>
    <w:rsid w:val="1B517759"/>
    <w:rsid w:val="1B834F2B"/>
    <w:rsid w:val="1B907BB5"/>
    <w:rsid w:val="1B915944"/>
    <w:rsid w:val="1BA7A113"/>
    <w:rsid w:val="1BAC4039"/>
    <w:rsid w:val="1BB25322"/>
    <w:rsid w:val="1BC205DC"/>
    <w:rsid w:val="1BDE0160"/>
    <w:rsid w:val="1BE96322"/>
    <w:rsid w:val="1C067D8B"/>
    <w:rsid w:val="1C4B1016"/>
    <w:rsid w:val="1C6E01AF"/>
    <w:rsid w:val="1C7A6B8D"/>
    <w:rsid w:val="1C7C36F8"/>
    <w:rsid w:val="1CBF2A4A"/>
    <w:rsid w:val="1D147395"/>
    <w:rsid w:val="1D4C763B"/>
    <w:rsid w:val="1DB27E70"/>
    <w:rsid w:val="1DBB39EF"/>
    <w:rsid w:val="1DC34FFD"/>
    <w:rsid w:val="1DDF0E11"/>
    <w:rsid w:val="1DF321F9"/>
    <w:rsid w:val="1E383C9A"/>
    <w:rsid w:val="1E660961"/>
    <w:rsid w:val="1E88575D"/>
    <w:rsid w:val="1EA329F9"/>
    <w:rsid w:val="1EA91674"/>
    <w:rsid w:val="1EFC6618"/>
    <w:rsid w:val="1F2D8C55"/>
    <w:rsid w:val="1FA6672E"/>
    <w:rsid w:val="1FD79B17"/>
    <w:rsid w:val="1FFA90DF"/>
    <w:rsid w:val="20320BCD"/>
    <w:rsid w:val="203849CB"/>
    <w:rsid w:val="20666EF9"/>
    <w:rsid w:val="20762551"/>
    <w:rsid w:val="20C869D7"/>
    <w:rsid w:val="20D1543F"/>
    <w:rsid w:val="20E07384"/>
    <w:rsid w:val="21134268"/>
    <w:rsid w:val="21152A6A"/>
    <w:rsid w:val="21216EF3"/>
    <w:rsid w:val="212A548A"/>
    <w:rsid w:val="212F0E2A"/>
    <w:rsid w:val="21341992"/>
    <w:rsid w:val="217A0B58"/>
    <w:rsid w:val="217D4359"/>
    <w:rsid w:val="218C2FAD"/>
    <w:rsid w:val="21921AE8"/>
    <w:rsid w:val="21C42462"/>
    <w:rsid w:val="220418C2"/>
    <w:rsid w:val="22050BBA"/>
    <w:rsid w:val="22322332"/>
    <w:rsid w:val="2266772F"/>
    <w:rsid w:val="22CE6282"/>
    <w:rsid w:val="231C38D6"/>
    <w:rsid w:val="232C330C"/>
    <w:rsid w:val="23552B51"/>
    <w:rsid w:val="238C332B"/>
    <w:rsid w:val="2394647D"/>
    <w:rsid w:val="23AE6175"/>
    <w:rsid w:val="23D539BF"/>
    <w:rsid w:val="23D55424"/>
    <w:rsid w:val="240C096F"/>
    <w:rsid w:val="242A3504"/>
    <w:rsid w:val="2484319B"/>
    <w:rsid w:val="24A17B46"/>
    <w:rsid w:val="24DF7796"/>
    <w:rsid w:val="25087FF3"/>
    <w:rsid w:val="251513BF"/>
    <w:rsid w:val="256169E9"/>
    <w:rsid w:val="25857604"/>
    <w:rsid w:val="259B520C"/>
    <w:rsid w:val="25A10605"/>
    <w:rsid w:val="25FDF986"/>
    <w:rsid w:val="26062DED"/>
    <w:rsid w:val="26320D04"/>
    <w:rsid w:val="26A40D7F"/>
    <w:rsid w:val="26E02B15"/>
    <w:rsid w:val="26EF011F"/>
    <w:rsid w:val="26EF03F4"/>
    <w:rsid w:val="27554BE0"/>
    <w:rsid w:val="276F3965"/>
    <w:rsid w:val="27C068F5"/>
    <w:rsid w:val="27DE540D"/>
    <w:rsid w:val="27F71532"/>
    <w:rsid w:val="27F92851"/>
    <w:rsid w:val="27FF9AE3"/>
    <w:rsid w:val="281419C7"/>
    <w:rsid w:val="28460BC1"/>
    <w:rsid w:val="2847361F"/>
    <w:rsid w:val="28CE1B8D"/>
    <w:rsid w:val="28DC7C01"/>
    <w:rsid w:val="28E25008"/>
    <w:rsid w:val="28F04D52"/>
    <w:rsid w:val="290A0A61"/>
    <w:rsid w:val="291A01DC"/>
    <w:rsid w:val="293E55E9"/>
    <w:rsid w:val="296B442C"/>
    <w:rsid w:val="298F3BC2"/>
    <w:rsid w:val="29945D7A"/>
    <w:rsid w:val="29AA044A"/>
    <w:rsid w:val="29AF600C"/>
    <w:rsid w:val="29F44793"/>
    <w:rsid w:val="2A3438CC"/>
    <w:rsid w:val="2A357309"/>
    <w:rsid w:val="2A4C10C4"/>
    <w:rsid w:val="2A5163A9"/>
    <w:rsid w:val="2ACA16FA"/>
    <w:rsid w:val="2AE50C82"/>
    <w:rsid w:val="2B062B1C"/>
    <w:rsid w:val="2B52358D"/>
    <w:rsid w:val="2B6A548D"/>
    <w:rsid w:val="2B910070"/>
    <w:rsid w:val="2BEB67D4"/>
    <w:rsid w:val="2C0A5391"/>
    <w:rsid w:val="2C226A7A"/>
    <w:rsid w:val="2C280915"/>
    <w:rsid w:val="2C296F86"/>
    <w:rsid w:val="2C3B0065"/>
    <w:rsid w:val="2C5B0892"/>
    <w:rsid w:val="2C674C7E"/>
    <w:rsid w:val="2CB30C46"/>
    <w:rsid w:val="2CDC5F8E"/>
    <w:rsid w:val="2CE70867"/>
    <w:rsid w:val="2CEE1D12"/>
    <w:rsid w:val="2CF34B9B"/>
    <w:rsid w:val="2D416A22"/>
    <w:rsid w:val="2D6F1323"/>
    <w:rsid w:val="2DAE61BC"/>
    <w:rsid w:val="2E5B5A2B"/>
    <w:rsid w:val="2E63539E"/>
    <w:rsid w:val="2E7D0337"/>
    <w:rsid w:val="2E9E2509"/>
    <w:rsid w:val="2EDE19D7"/>
    <w:rsid w:val="2EE43F2B"/>
    <w:rsid w:val="2EE945E7"/>
    <w:rsid w:val="2F291F79"/>
    <w:rsid w:val="2F2E1F06"/>
    <w:rsid w:val="2F414D7A"/>
    <w:rsid w:val="2F457FE5"/>
    <w:rsid w:val="2F533AAC"/>
    <w:rsid w:val="2F717ADD"/>
    <w:rsid w:val="2FA840BD"/>
    <w:rsid w:val="2FC019D8"/>
    <w:rsid w:val="2FF55019"/>
    <w:rsid w:val="2FFC7AD5"/>
    <w:rsid w:val="2FFF3A14"/>
    <w:rsid w:val="300970F3"/>
    <w:rsid w:val="30661104"/>
    <w:rsid w:val="30B632C6"/>
    <w:rsid w:val="31153E4A"/>
    <w:rsid w:val="3137337F"/>
    <w:rsid w:val="313B2E6F"/>
    <w:rsid w:val="315F60FC"/>
    <w:rsid w:val="316F35B1"/>
    <w:rsid w:val="317805A1"/>
    <w:rsid w:val="320025B3"/>
    <w:rsid w:val="320D5930"/>
    <w:rsid w:val="324745D4"/>
    <w:rsid w:val="32601A37"/>
    <w:rsid w:val="32824C1A"/>
    <w:rsid w:val="329B62DC"/>
    <w:rsid w:val="32B85C9C"/>
    <w:rsid w:val="32E38547"/>
    <w:rsid w:val="33046A42"/>
    <w:rsid w:val="33151C89"/>
    <w:rsid w:val="331E7CC5"/>
    <w:rsid w:val="332D7089"/>
    <w:rsid w:val="334F0D6B"/>
    <w:rsid w:val="335673D0"/>
    <w:rsid w:val="335F2FD2"/>
    <w:rsid w:val="337B8218"/>
    <w:rsid w:val="33F3C0AB"/>
    <w:rsid w:val="341B4014"/>
    <w:rsid w:val="341C0987"/>
    <w:rsid w:val="3421579C"/>
    <w:rsid w:val="34361E69"/>
    <w:rsid w:val="344D18F5"/>
    <w:rsid w:val="34565128"/>
    <w:rsid w:val="34584CB7"/>
    <w:rsid w:val="346D1387"/>
    <w:rsid w:val="34A12B1B"/>
    <w:rsid w:val="34A46BEB"/>
    <w:rsid w:val="34BE24B3"/>
    <w:rsid w:val="34C173A1"/>
    <w:rsid w:val="34C77F29"/>
    <w:rsid w:val="34DE00E3"/>
    <w:rsid w:val="34E96869"/>
    <w:rsid w:val="34F7C634"/>
    <w:rsid w:val="34FB7AC0"/>
    <w:rsid w:val="3507246B"/>
    <w:rsid w:val="351B1534"/>
    <w:rsid w:val="352C2CA5"/>
    <w:rsid w:val="357B75E0"/>
    <w:rsid w:val="357E29CE"/>
    <w:rsid w:val="357F40CB"/>
    <w:rsid w:val="359F5AFB"/>
    <w:rsid w:val="35BF16B7"/>
    <w:rsid w:val="35E001C7"/>
    <w:rsid w:val="361B1697"/>
    <w:rsid w:val="362624D9"/>
    <w:rsid w:val="363769B3"/>
    <w:rsid w:val="365E5422"/>
    <w:rsid w:val="36685374"/>
    <w:rsid w:val="36750352"/>
    <w:rsid w:val="36C33143"/>
    <w:rsid w:val="36EB5A34"/>
    <w:rsid w:val="36EE1811"/>
    <w:rsid w:val="36FD6994"/>
    <w:rsid w:val="372F67AF"/>
    <w:rsid w:val="377D4C75"/>
    <w:rsid w:val="378E53A9"/>
    <w:rsid w:val="37AD203E"/>
    <w:rsid w:val="37B818D8"/>
    <w:rsid w:val="37CD5894"/>
    <w:rsid w:val="37D77F62"/>
    <w:rsid w:val="384A2F01"/>
    <w:rsid w:val="386C6194"/>
    <w:rsid w:val="38703D53"/>
    <w:rsid w:val="38D96DB8"/>
    <w:rsid w:val="38DF222D"/>
    <w:rsid w:val="38E177CB"/>
    <w:rsid w:val="38F82B6B"/>
    <w:rsid w:val="38FECB04"/>
    <w:rsid w:val="390304E1"/>
    <w:rsid w:val="39102DE5"/>
    <w:rsid w:val="39791E8A"/>
    <w:rsid w:val="399500CC"/>
    <w:rsid w:val="39B04CE3"/>
    <w:rsid w:val="39B93EA9"/>
    <w:rsid w:val="39BFBB3A"/>
    <w:rsid w:val="39F7703C"/>
    <w:rsid w:val="39F79139"/>
    <w:rsid w:val="3A1C52CF"/>
    <w:rsid w:val="3A6F3836"/>
    <w:rsid w:val="3A7635A8"/>
    <w:rsid w:val="3A7D0540"/>
    <w:rsid w:val="3AA631A3"/>
    <w:rsid w:val="3AE6F8CF"/>
    <w:rsid w:val="3AEF31DA"/>
    <w:rsid w:val="3AFB7522"/>
    <w:rsid w:val="3BA035BA"/>
    <w:rsid w:val="3BEF1236"/>
    <w:rsid w:val="3BF927EF"/>
    <w:rsid w:val="3C3E3CCB"/>
    <w:rsid w:val="3C3F37A5"/>
    <w:rsid w:val="3CBB5161"/>
    <w:rsid w:val="3CC308D6"/>
    <w:rsid w:val="3CE7380A"/>
    <w:rsid w:val="3CEF54E2"/>
    <w:rsid w:val="3D016D36"/>
    <w:rsid w:val="3D325A79"/>
    <w:rsid w:val="3D365D95"/>
    <w:rsid w:val="3D377B0C"/>
    <w:rsid w:val="3D4E2BBF"/>
    <w:rsid w:val="3D6225B8"/>
    <w:rsid w:val="3D89027B"/>
    <w:rsid w:val="3DBA2F15"/>
    <w:rsid w:val="3DC66754"/>
    <w:rsid w:val="3DDD1DFE"/>
    <w:rsid w:val="3DE9782D"/>
    <w:rsid w:val="3DFA7011"/>
    <w:rsid w:val="3DFB2144"/>
    <w:rsid w:val="3E036B91"/>
    <w:rsid w:val="3E0A16F3"/>
    <w:rsid w:val="3E1802D4"/>
    <w:rsid w:val="3E1B1ACA"/>
    <w:rsid w:val="3E1E4AF8"/>
    <w:rsid w:val="3E55751C"/>
    <w:rsid w:val="3E624ABE"/>
    <w:rsid w:val="3E6F5C47"/>
    <w:rsid w:val="3E740256"/>
    <w:rsid w:val="3E7666AC"/>
    <w:rsid w:val="3EBF0322"/>
    <w:rsid w:val="3EC20A8C"/>
    <w:rsid w:val="3ED50DCC"/>
    <w:rsid w:val="3EDF9F55"/>
    <w:rsid w:val="3EE545D5"/>
    <w:rsid w:val="3EFFF05C"/>
    <w:rsid w:val="3F3B2D86"/>
    <w:rsid w:val="3F514185"/>
    <w:rsid w:val="3F8645FA"/>
    <w:rsid w:val="3FA04FD7"/>
    <w:rsid w:val="3FBF9130"/>
    <w:rsid w:val="3FD502D6"/>
    <w:rsid w:val="3FD6497C"/>
    <w:rsid w:val="3FE2E2DB"/>
    <w:rsid w:val="3FEE644C"/>
    <w:rsid w:val="3FF30B8A"/>
    <w:rsid w:val="3FF784D0"/>
    <w:rsid w:val="406854E0"/>
    <w:rsid w:val="407D437F"/>
    <w:rsid w:val="409F3AFD"/>
    <w:rsid w:val="40BC4680"/>
    <w:rsid w:val="40DF6E6F"/>
    <w:rsid w:val="412C3EC6"/>
    <w:rsid w:val="414F26FA"/>
    <w:rsid w:val="41564BF3"/>
    <w:rsid w:val="41895D5E"/>
    <w:rsid w:val="41E66CB5"/>
    <w:rsid w:val="42010DB2"/>
    <w:rsid w:val="42062AE1"/>
    <w:rsid w:val="42320002"/>
    <w:rsid w:val="424B6D9A"/>
    <w:rsid w:val="42832D21"/>
    <w:rsid w:val="429A24ED"/>
    <w:rsid w:val="42B4044C"/>
    <w:rsid w:val="42B654A2"/>
    <w:rsid w:val="42D65FA9"/>
    <w:rsid w:val="42F67E83"/>
    <w:rsid w:val="43127C0D"/>
    <w:rsid w:val="434A6ECC"/>
    <w:rsid w:val="43727993"/>
    <w:rsid w:val="437B2022"/>
    <w:rsid w:val="43D014BD"/>
    <w:rsid w:val="43E470BA"/>
    <w:rsid w:val="43EF3866"/>
    <w:rsid w:val="44065FA5"/>
    <w:rsid w:val="44323062"/>
    <w:rsid w:val="44420E2D"/>
    <w:rsid w:val="44C723B6"/>
    <w:rsid w:val="44EBEF4C"/>
    <w:rsid w:val="45144208"/>
    <w:rsid w:val="453E3C01"/>
    <w:rsid w:val="455E609B"/>
    <w:rsid w:val="457B1397"/>
    <w:rsid w:val="458B48FE"/>
    <w:rsid w:val="45945B0C"/>
    <w:rsid w:val="45C058EB"/>
    <w:rsid w:val="45EF275B"/>
    <w:rsid w:val="45F3013F"/>
    <w:rsid w:val="45FD513E"/>
    <w:rsid w:val="4651224A"/>
    <w:rsid w:val="46A46D86"/>
    <w:rsid w:val="46B71DF4"/>
    <w:rsid w:val="46DA4D50"/>
    <w:rsid w:val="46DB33F6"/>
    <w:rsid w:val="470167B7"/>
    <w:rsid w:val="473C216F"/>
    <w:rsid w:val="474045CF"/>
    <w:rsid w:val="477349A5"/>
    <w:rsid w:val="477E987F"/>
    <w:rsid w:val="47B15FBE"/>
    <w:rsid w:val="47C91B73"/>
    <w:rsid w:val="47E1121E"/>
    <w:rsid w:val="47E24441"/>
    <w:rsid w:val="47FE5E05"/>
    <w:rsid w:val="482D3456"/>
    <w:rsid w:val="485673BD"/>
    <w:rsid w:val="48756C20"/>
    <w:rsid w:val="488D01E0"/>
    <w:rsid w:val="48AC6307"/>
    <w:rsid w:val="48D23747"/>
    <w:rsid w:val="48E638BA"/>
    <w:rsid w:val="48FA219B"/>
    <w:rsid w:val="49073081"/>
    <w:rsid w:val="49293F59"/>
    <w:rsid w:val="49674008"/>
    <w:rsid w:val="49921275"/>
    <w:rsid w:val="4996051B"/>
    <w:rsid w:val="4A351A1B"/>
    <w:rsid w:val="4AAD3A52"/>
    <w:rsid w:val="4AB73A2B"/>
    <w:rsid w:val="4AB777B4"/>
    <w:rsid w:val="4ABDE9D6"/>
    <w:rsid w:val="4AD5310E"/>
    <w:rsid w:val="4AF33BA9"/>
    <w:rsid w:val="4B3F04E6"/>
    <w:rsid w:val="4B4D005E"/>
    <w:rsid w:val="4B5305DE"/>
    <w:rsid w:val="4B55228D"/>
    <w:rsid w:val="4BA30AB3"/>
    <w:rsid w:val="4BC11E14"/>
    <w:rsid w:val="4BD17B1F"/>
    <w:rsid w:val="4BE5653C"/>
    <w:rsid w:val="4BEF73C0"/>
    <w:rsid w:val="4C033B57"/>
    <w:rsid w:val="4C1C373B"/>
    <w:rsid w:val="4C734D26"/>
    <w:rsid w:val="4C817CD7"/>
    <w:rsid w:val="4CAB0B39"/>
    <w:rsid w:val="4CC62BC4"/>
    <w:rsid w:val="4CC8679F"/>
    <w:rsid w:val="4CC93D2D"/>
    <w:rsid w:val="4CCF33C0"/>
    <w:rsid w:val="4CD17D46"/>
    <w:rsid w:val="4CD80053"/>
    <w:rsid w:val="4CF43D86"/>
    <w:rsid w:val="4CFD404A"/>
    <w:rsid w:val="4D003165"/>
    <w:rsid w:val="4D1E5DD2"/>
    <w:rsid w:val="4D3D35E0"/>
    <w:rsid w:val="4D694DE6"/>
    <w:rsid w:val="4DB526C6"/>
    <w:rsid w:val="4DBA45E5"/>
    <w:rsid w:val="4DBF4464"/>
    <w:rsid w:val="4DD795EA"/>
    <w:rsid w:val="4DEA5E7A"/>
    <w:rsid w:val="4DF3498D"/>
    <w:rsid w:val="4E2A5859"/>
    <w:rsid w:val="4E7302F1"/>
    <w:rsid w:val="4E7F6484"/>
    <w:rsid w:val="4E80753C"/>
    <w:rsid w:val="4E9E1E12"/>
    <w:rsid w:val="4EA44A46"/>
    <w:rsid w:val="4EB16A96"/>
    <w:rsid w:val="4EBA5F91"/>
    <w:rsid w:val="4EC62A13"/>
    <w:rsid w:val="4ED41B4D"/>
    <w:rsid w:val="4ED54234"/>
    <w:rsid w:val="4F0240AA"/>
    <w:rsid w:val="4F0A2E01"/>
    <w:rsid w:val="4F0B5B50"/>
    <w:rsid w:val="4F17E6E7"/>
    <w:rsid w:val="4F6F03D9"/>
    <w:rsid w:val="4F7074AA"/>
    <w:rsid w:val="4FBF50D2"/>
    <w:rsid w:val="4FC922AB"/>
    <w:rsid w:val="506353E5"/>
    <w:rsid w:val="50915768"/>
    <w:rsid w:val="50F908BD"/>
    <w:rsid w:val="514018B2"/>
    <w:rsid w:val="51730A21"/>
    <w:rsid w:val="51830B41"/>
    <w:rsid w:val="518924AF"/>
    <w:rsid w:val="51975743"/>
    <w:rsid w:val="51D41041"/>
    <w:rsid w:val="523625F3"/>
    <w:rsid w:val="526E47C4"/>
    <w:rsid w:val="52AD31E1"/>
    <w:rsid w:val="52B00282"/>
    <w:rsid w:val="530F602D"/>
    <w:rsid w:val="532D0E59"/>
    <w:rsid w:val="5336486B"/>
    <w:rsid w:val="53E328D4"/>
    <w:rsid w:val="53FB7F37"/>
    <w:rsid w:val="54086A02"/>
    <w:rsid w:val="545300BB"/>
    <w:rsid w:val="54663F10"/>
    <w:rsid w:val="54781763"/>
    <w:rsid w:val="547FC660"/>
    <w:rsid w:val="54A67E5D"/>
    <w:rsid w:val="54BB62CA"/>
    <w:rsid w:val="54FE1B99"/>
    <w:rsid w:val="55125595"/>
    <w:rsid w:val="552B0DF9"/>
    <w:rsid w:val="55616852"/>
    <w:rsid w:val="556F7391"/>
    <w:rsid w:val="558D6ED0"/>
    <w:rsid w:val="55901C2E"/>
    <w:rsid w:val="55BA70F5"/>
    <w:rsid w:val="55D0372C"/>
    <w:rsid w:val="55F625A8"/>
    <w:rsid w:val="561E6F3D"/>
    <w:rsid w:val="569705BF"/>
    <w:rsid w:val="569900E1"/>
    <w:rsid w:val="56A11D0A"/>
    <w:rsid w:val="56E67D43"/>
    <w:rsid w:val="571157D6"/>
    <w:rsid w:val="575002E5"/>
    <w:rsid w:val="57642AB9"/>
    <w:rsid w:val="5767D215"/>
    <w:rsid w:val="579A6A3D"/>
    <w:rsid w:val="57A43123"/>
    <w:rsid w:val="57BE5F41"/>
    <w:rsid w:val="57CE352E"/>
    <w:rsid w:val="57D2086D"/>
    <w:rsid w:val="57F56031"/>
    <w:rsid w:val="58A64A1A"/>
    <w:rsid w:val="58D34D28"/>
    <w:rsid w:val="58D7252A"/>
    <w:rsid w:val="58DC6011"/>
    <w:rsid w:val="58F61D7E"/>
    <w:rsid w:val="58FA2C2D"/>
    <w:rsid w:val="594500A8"/>
    <w:rsid w:val="594578FA"/>
    <w:rsid w:val="594A748C"/>
    <w:rsid w:val="59677B3F"/>
    <w:rsid w:val="59B54D24"/>
    <w:rsid w:val="59C930D8"/>
    <w:rsid w:val="59CF7120"/>
    <w:rsid w:val="59D177E0"/>
    <w:rsid w:val="59DDD453"/>
    <w:rsid w:val="59E05CAB"/>
    <w:rsid w:val="59E919E6"/>
    <w:rsid w:val="59EC5DF3"/>
    <w:rsid w:val="5A174A87"/>
    <w:rsid w:val="5A314BF3"/>
    <w:rsid w:val="5AB77894"/>
    <w:rsid w:val="5ABE71FB"/>
    <w:rsid w:val="5AC237F3"/>
    <w:rsid w:val="5AC87FD0"/>
    <w:rsid w:val="5ACE1922"/>
    <w:rsid w:val="5ADA3B0F"/>
    <w:rsid w:val="5AF1412E"/>
    <w:rsid w:val="5AF73185"/>
    <w:rsid w:val="5B0423CE"/>
    <w:rsid w:val="5B1D7013"/>
    <w:rsid w:val="5B1F76E1"/>
    <w:rsid w:val="5BBB6735"/>
    <w:rsid w:val="5BDC47E1"/>
    <w:rsid w:val="5BE45EF4"/>
    <w:rsid w:val="5BF5B611"/>
    <w:rsid w:val="5C1754F2"/>
    <w:rsid w:val="5C374E0A"/>
    <w:rsid w:val="5C6627C2"/>
    <w:rsid w:val="5C6C0CEB"/>
    <w:rsid w:val="5CA375F5"/>
    <w:rsid w:val="5CAC394C"/>
    <w:rsid w:val="5CC6785E"/>
    <w:rsid w:val="5CD9A88A"/>
    <w:rsid w:val="5CE75FE6"/>
    <w:rsid w:val="5CEB7561"/>
    <w:rsid w:val="5D1F7629"/>
    <w:rsid w:val="5D531DC2"/>
    <w:rsid w:val="5D642E6C"/>
    <w:rsid w:val="5D896E36"/>
    <w:rsid w:val="5D947BCE"/>
    <w:rsid w:val="5DBEFC54"/>
    <w:rsid w:val="5DD443CB"/>
    <w:rsid w:val="5DDBE81F"/>
    <w:rsid w:val="5DDF3E83"/>
    <w:rsid w:val="5DE97E6F"/>
    <w:rsid w:val="5DF16292"/>
    <w:rsid w:val="5DFB0FD8"/>
    <w:rsid w:val="5E4F5CBE"/>
    <w:rsid w:val="5E7F1303"/>
    <w:rsid w:val="5EB8397B"/>
    <w:rsid w:val="5EBF85BB"/>
    <w:rsid w:val="5EC308E7"/>
    <w:rsid w:val="5F136165"/>
    <w:rsid w:val="5F346049"/>
    <w:rsid w:val="5F739014"/>
    <w:rsid w:val="5F814E66"/>
    <w:rsid w:val="5F9778B9"/>
    <w:rsid w:val="5F9DCBFC"/>
    <w:rsid w:val="5FAF4C1C"/>
    <w:rsid w:val="5FB556B4"/>
    <w:rsid w:val="5FC53A39"/>
    <w:rsid w:val="5FCF7205"/>
    <w:rsid w:val="5FDFDCA4"/>
    <w:rsid w:val="5FEEE85F"/>
    <w:rsid w:val="5FEF2CBC"/>
    <w:rsid w:val="5FF905E6"/>
    <w:rsid w:val="5FFB202D"/>
    <w:rsid w:val="608C63A2"/>
    <w:rsid w:val="60BD09E6"/>
    <w:rsid w:val="60C36A09"/>
    <w:rsid w:val="60C57FA2"/>
    <w:rsid w:val="61026D2C"/>
    <w:rsid w:val="61363936"/>
    <w:rsid w:val="613F8D69"/>
    <w:rsid w:val="61812B53"/>
    <w:rsid w:val="618A3820"/>
    <w:rsid w:val="61BE16D0"/>
    <w:rsid w:val="61BF6D71"/>
    <w:rsid w:val="62014E36"/>
    <w:rsid w:val="622D4B15"/>
    <w:rsid w:val="62666992"/>
    <w:rsid w:val="62790E37"/>
    <w:rsid w:val="62902741"/>
    <w:rsid w:val="62986BC9"/>
    <w:rsid w:val="62C50751"/>
    <w:rsid w:val="62F97D87"/>
    <w:rsid w:val="631E7809"/>
    <w:rsid w:val="633619DE"/>
    <w:rsid w:val="63476A11"/>
    <w:rsid w:val="63687863"/>
    <w:rsid w:val="63E70D35"/>
    <w:rsid w:val="63F172F5"/>
    <w:rsid w:val="63FD77EC"/>
    <w:rsid w:val="644035CD"/>
    <w:rsid w:val="64414EA2"/>
    <w:rsid w:val="64EF7CD5"/>
    <w:rsid w:val="64F0622A"/>
    <w:rsid w:val="652140A0"/>
    <w:rsid w:val="65230A9A"/>
    <w:rsid w:val="653D55D9"/>
    <w:rsid w:val="654E29C2"/>
    <w:rsid w:val="6554E1CE"/>
    <w:rsid w:val="657E5662"/>
    <w:rsid w:val="659801F7"/>
    <w:rsid w:val="659F011C"/>
    <w:rsid w:val="65A10DDF"/>
    <w:rsid w:val="65D409DF"/>
    <w:rsid w:val="65D7EDA0"/>
    <w:rsid w:val="65EE4014"/>
    <w:rsid w:val="65F13B97"/>
    <w:rsid w:val="660A1FB1"/>
    <w:rsid w:val="66144575"/>
    <w:rsid w:val="6615583E"/>
    <w:rsid w:val="661831A1"/>
    <w:rsid w:val="668732B9"/>
    <w:rsid w:val="669A599A"/>
    <w:rsid w:val="66A038D7"/>
    <w:rsid w:val="66B600F2"/>
    <w:rsid w:val="66DF44B5"/>
    <w:rsid w:val="66E64A65"/>
    <w:rsid w:val="66EF2B07"/>
    <w:rsid w:val="670D28B8"/>
    <w:rsid w:val="673E6847"/>
    <w:rsid w:val="676C2179"/>
    <w:rsid w:val="6779B347"/>
    <w:rsid w:val="677B5DAB"/>
    <w:rsid w:val="677E9478"/>
    <w:rsid w:val="67BD8E67"/>
    <w:rsid w:val="67BF20CA"/>
    <w:rsid w:val="67C358D0"/>
    <w:rsid w:val="67D50257"/>
    <w:rsid w:val="684E77EB"/>
    <w:rsid w:val="686948C2"/>
    <w:rsid w:val="687B030C"/>
    <w:rsid w:val="687C0EAB"/>
    <w:rsid w:val="6881263B"/>
    <w:rsid w:val="688D1961"/>
    <w:rsid w:val="68A03EAA"/>
    <w:rsid w:val="68A51B4A"/>
    <w:rsid w:val="68E92FA3"/>
    <w:rsid w:val="68E9467B"/>
    <w:rsid w:val="68E96818"/>
    <w:rsid w:val="69152EEA"/>
    <w:rsid w:val="69442481"/>
    <w:rsid w:val="69660A87"/>
    <w:rsid w:val="69777C37"/>
    <w:rsid w:val="699B448E"/>
    <w:rsid w:val="69A353EB"/>
    <w:rsid w:val="69A64EAF"/>
    <w:rsid w:val="69A7418F"/>
    <w:rsid w:val="6A0C70CA"/>
    <w:rsid w:val="6A1A26D1"/>
    <w:rsid w:val="6A6A7DB3"/>
    <w:rsid w:val="6A7A1DFA"/>
    <w:rsid w:val="6AA02C89"/>
    <w:rsid w:val="6AB9216D"/>
    <w:rsid w:val="6ABD3001"/>
    <w:rsid w:val="6AE23198"/>
    <w:rsid w:val="6AE91E8B"/>
    <w:rsid w:val="6B016695"/>
    <w:rsid w:val="6B3703B5"/>
    <w:rsid w:val="6B39528D"/>
    <w:rsid w:val="6B39FC2F"/>
    <w:rsid w:val="6B5167B9"/>
    <w:rsid w:val="6B571317"/>
    <w:rsid w:val="6B983786"/>
    <w:rsid w:val="6BCEEB6F"/>
    <w:rsid w:val="6BFF8626"/>
    <w:rsid w:val="6C086915"/>
    <w:rsid w:val="6C246A47"/>
    <w:rsid w:val="6C723D32"/>
    <w:rsid w:val="6CAB2166"/>
    <w:rsid w:val="6CBF157E"/>
    <w:rsid w:val="6CF550ED"/>
    <w:rsid w:val="6D284D16"/>
    <w:rsid w:val="6D32121B"/>
    <w:rsid w:val="6D6E234B"/>
    <w:rsid w:val="6DBC7037"/>
    <w:rsid w:val="6DC57C7B"/>
    <w:rsid w:val="6DE25386"/>
    <w:rsid w:val="6DEF61A9"/>
    <w:rsid w:val="6DF13B54"/>
    <w:rsid w:val="6E09134B"/>
    <w:rsid w:val="6E277E25"/>
    <w:rsid w:val="6E546DFE"/>
    <w:rsid w:val="6E7C4805"/>
    <w:rsid w:val="6E842F5D"/>
    <w:rsid w:val="6E8F3E7A"/>
    <w:rsid w:val="6EB34456"/>
    <w:rsid w:val="6EB4010B"/>
    <w:rsid w:val="6EDE05D5"/>
    <w:rsid w:val="6F1A27C3"/>
    <w:rsid w:val="6F4155CB"/>
    <w:rsid w:val="6F515941"/>
    <w:rsid w:val="6F7708E7"/>
    <w:rsid w:val="6F771F9F"/>
    <w:rsid w:val="6F7755F0"/>
    <w:rsid w:val="6F7E9C8E"/>
    <w:rsid w:val="6F9777D1"/>
    <w:rsid w:val="6FAA3329"/>
    <w:rsid w:val="6FB97EE6"/>
    <w:rsid w:val="6FC040DE"/>
    <w:rsid w:val="6FD41182"/>
    <w:rsid w:val="6FDE32CB"/>
    <w:rsid w:val="6FDFAF91"/>
    <w:rsid w:val="6FE2529D"/>
    <w:rsid w:val="6FE43C0D"/>
    <w:rsid w:val="6FE9675E"/>
    <w:rsid w:val="6FE9C589"/>
    <w:rsid w:val="6FFF5490"/>
    <w:rsid w:val="6FFFB88B"/>
    <w:rsid w:val="70170A8A"/>
    <w:rsid w:val="701C5291"/>
    <w:rsid w:val="70287B18"/>
    <w:rsid w:val="704E3B8A"/>
    <w:rsid w:val="705C4EB0"/>
    <w:rsid w:val="707551CE"/>
    <w:rsid w:val="70AA3927"/>
    <w:rsid w:val="70F1165F"/>
    <w:rsid w:val="71041831"/>
    <w:rsid w:val="710B48AD"/>
    <w:rsid w:val="71177583"/>
    <w:rsid w:val="712362A2"/>
    <w:rsid w:val="713749B7"/>
    <w:rsid w:val="718410BC"/>
    <w:rsid w:val="71977F8D"/>
    <w:rsid w:val="71CE34E4"/>
    <w:rsid w:val="721D1C65"/>
    <w:rsid w:val="72D21F1A"/>
    <w:rsid w:val="733F19F4"/>
    <w:rsid w:val="73442D84"/>
    <w:rsid w:val="734D3DB7"/>
    <w:rsid w:val="7388609C"/>
    <w:rsid w:val="739741BE"/>
    <w:rsid w:val="73C8777E"/>
    <w:rsid w:val="73F0243F"/>
    <w:rsid w:val="74223B47"/>
    <w:rsid w:val="74445CC8"/>
    <w:rsid w:val="74573D05"/>
    <w:rsid w:val="749F2F69"/>
    <w:rsid w:val="74B54E01"/>
    <w:rsid w:val="74C642D7"/>
    <w:rsid w:val="751E6CBF"/>
    <w:rsid w:val="75550DDA"/>
    <w:rsid w:val="757B5E69"/>
    <w:rsid w:val="757F369C"/>
    <w:rsid w:val="758F18AC"/>
    <w:rsid w:val="75A244A1"/>
    <w:rsid w:val="75BD3744"/>
    <w:rsid w:val="75BD4BF5"/>
    <w:rsid w:val="75D958E0"/>
    <w:rsid w:val="75DF1433"/>
    <w:rsid w:val="75E053BF"/>
    <w:rsid w:val="75FD24F2"/>
    <w:rsid w:val="765F73E7"/>
    <w:rsid w:val="767F041C"/>
    <w:rsid w:val="76CF7390"/>
    <w:rsid w:val="76E05CA9"/>
    <w:rsid w:val="76F84E00"/>
    <w:rsid w:val="76FFE911"/>
    <w:rsid w:val="770A3AD6"/>
    <w:rsid w:val="772A1B61"/>
    <w:rsid w:val="7738159E"/>
    <w:rsid w:val="77387D31"/>
    <w:rsid w:val="776E2929"/>
    <w:rsid w:val="777FB0EE"/>
    <w:rsid w:val="777FDBE8"/>
    <w:rsid w:val="778F3D13"/>
    <w:rsid w:val="77B9166F"/>
    <w:rsid w:val="77BDF14E"/>
    <w:rsid w:val="77CD7770"/>
    <w:rsid w:val="77D90765"/>
    <w:rsid w:val="77DD7A92"/>
    <w:rsid w:val="77DD9B7A"/>
    <w:rsid w:val="77E700CE"/>
    <w:rsid w:val="77EB1271"/>
    <w:rsid w:val="78402713"/>
    <w:rsid w:val="78576381"/>
    <w:rsid w:val="785D14D8"/>
    <w:rsid w:val="78F53DC8"/>
    <w:rsid w:val="79131B09"/>
    <w:rsid w:val="7914180E"/>
    <w:rsid w:val="793733FE"/>
    <w:rsid w:val="79389AC4"/>
    <w:rsid w:val="79750F7F"/>
    <w:rsid w:val="79777D20"/>
    <w:rsid w:val="79943534"/>
    <w:rsid w:val="79AE63C1"/>
    <w:rsid w:val="79C52F0B"/>
    <w:rsid w:val="79F63567"/>
    <w:rsid w:val="79FADF99"/>
    <w:rsid w:val="7A652976"/>
    <w:rsid w:val="7A754BBC"/>
    <w:rsid w:val="7A7C12EB"/>
    <w:rsid w:val="7AC97ECE"/>
    <w:rsid w:val="7AE86D02"/>
    <w:rsid w:val="7AF76F88"/>
    <w:rsid w:val="7B130896"/>
    <w:rsid w:val="7B301585"/>
    <w:rsid w:val="7B7E03A9"/>
    <w:rsid w:val="7B7FB3BF"/>
    <w:rsid w:val="7B8C2130"/>
    <w:rsid w:val="7BAF538F"/>
    <w:rsid w:val="7BB7FE0E"/>
    <w:rsid w:val="7BB9EE05"/>
    <w:rsid w:val="7BBFF203"/>
    <w:rsid w:val="7BCA69AA"/>
    <w:rsid w:val="7BDF9D5D"/>
    <w:rsid w:val="7BED355A"/>
    <w:rsid w:val="7BF7AD0F"/>
    <w:rsid w:val="7BFC9DA7"/>
    <w:rsid w:val="7BFF5759"/>
    <w:rsid w:val="7BFF6895"/>
    <w:rsid w:val="7C157143"/>
    <w:rsid w:val="7C1E3B8B"/>
    <w:rsid w:val="7C5A0166"/>
    <w:rsid w:val="7C5E39FB"/>
    <w:rsid w:val="7C604F57"/>
    <w:rsid w:val="7CF47450"/>
    <w:rsid w:val="7D141113"/>
    <w:rsid w:val="7D3E7DED"/>
    <w:rsid w:val="7D3F73B9"/>
    <w:rsid w:val="7D490B45"/>
    <w:rsid w:val="7D4F6804"/>
    <w:rsid w:val="7D5AB85E"/>
    <w:rsid w:val="7D6F256B"/>
    <w:rsid w:val="7D85543A"/>
    <w:rsid w:val="7DA3353F"/>
    <w:rsid w:val="7DAB21B9"/>
    <w:rsid w:val="7DAF86BE"/>
    <w:rsid w:val="7DC94EB4"/>
    <w:rsid w:val="7DD3682D"/>
    <w:rsid w:val="7DD7768F"/>
    <w:rsid w:val="7DDB3633"/>
    <w:rsid w:val="7DE57B8E"/>
    <w:rsid w:val="7DE60E7C"/>
    <w:rsid w:val="7DE958F0"/>
    <w:rsid w:val="7DFF15CE"/>
    <w:rsid w:val="7DFF3E6B"/>
    <w:rsid w:val="7DFFEEB0"/>
    <w:rsid w:val="7E13F888"/>
    <w:rsid w:val="7E1E7DB5"/>
    <w:rsid w:val="7E471DFE"/>
    <w:rsid w:val="7E5C10FB"/>
    <w:rsid w:val="7E6645B0"/>
    <w:rsid w:val="7E6CD60C"/>
    <w:rsid w:val="7E6DFCAA"/>
    <w:rsid w:val="7E7A6D21"/>
    <w:rsid w:val="7E7D3265"/>
    <w:rsid w:val="7E998918"/>
    <w:rsid w:val="7EA022E1"/>
    <w:rsid w:val="7EBB2DE9"/>
    <w:rsid w:val="7ECE50CC"/>
    <w:rsid w:val="7ECF541E"/>
    <w:rsid w:val="7EDB9672"/>
    <w:rsid w:val="7EDE6B9B"/>
    <w:rsid w:val="7EDF28E0"/>
    <w:rsid w:val="7EEF327F"/>
    <w:rsid w:val="7EEF57B3"/>
    <w:rsid w:val="7EEF9D2D"/>
    <w:rsid w:val="7EF16EBF"/>
    <w:rsid w:val="7EFAA62C"/>
    <w:rsid w:val="7F2A0412"/>
    <w:rsid w:val="7F2FDFAB"/>
    <w:rsid w:val="7F3C1A84"/>
    <w:rsid w:val="7F3D25A2"/>
    <w:rsid w:val="7F3E2E43"/>
    <w:rsid w:val="7F3E4283"/>
    <w:rsid w:val="7F4007BA"/>
    <w:rsid w:val="7F56F185"/>
    <w:rsid w:val="7F5B9BD8"/>
    <w:rsid w:val="7F6FB0E5"/>
    <w:rsid w:val="7F7F64AC"/>
    <w:rsid w:val="7F930148"/>
    <w:rsid w:val="7FA59352"/>
    <w:rsid w:val="7FBC2D6A"/>
    <w:rsid w:val="7FBF2659"/>
    <w:rsid w:val="7FBFA961"/>
    <w:rsid w:val="7FD721D8"/>
    <w:rsid w:val="7FDAFE21"/>
    <w:rsid w:val="7FDB0A95"/>
    <w:rsid w:val="7FDDC6E6"/>
    <w:rsid w:val="7FDF9339"/>
    <w:rsid w:val="7FE5671C"/>
    <w:rsid w:val="7FE9E387"/>
    <w:rsid w:val="7FED4528"/>
    <w:rsid w:val="7FEDA8FD"/>
    <w:rsid w:val="7FF042E5"/>
    <w:rsid w:val="7FF32F9F"/>
    <w:rsid w:val="7FF6F0E1"/>
    <w:rsid w:val="7FF735A2"/>
    <w:rsid w:val="7FF7E43B"/>
    <w:rsid w:val="7FF7FB42"/>
    <w:rsid w:val="7FF7FD63"/>
    <w:rsid w:val="7FFB4834"/>
    <w:rsid w:val="7FFB9C2F"/>
    <w:rsid w:val="7FFD4B77"/>
    <w:rsid w:val="7FFD86A7"/>
    <w:rsid w:val="7FFF5B45"/>
    <w:rsid w:val="7FFF8D97"/>
    <w:rsid w:val="8DBF809C"/>
    <w:rsid w:val="8F0B3F44"/>
    <w:rsid w:val="8F8B8C41"/>
    <w:rsid w:val="9DDB3B61"/>
    <w:rsid w:val="9FA72C55"/>
    <w:rsid w:val="9FFF32DF"/>
    <w:rsid w:val="A3E7E8A8"/>
    <w:rsid w:val="A7DF8632"/>
    <w:rsid w:val="ABFE576E"/>
    <w:rsid w:val="ADD71B67"/>
    <w:rsid w:val="AFDBA84F"/>
    <w:rsid w:val="AFEF5596"/>
    <w:rsid w:val="B5DA5C38"/>
    <w:rsid w:val="B5EE39E5"/>
    <w:rsid w:val="B67E7318"/>
    <w:rsid w:val="B7C7C3BB"/>
    <w:rsid w:val="B8FFE03B"/>
    <w:rsid w:val="B9F7A149"/>
    <w:rsid w:val="B9FF207E"/>
    <w:rsid w:val="BAF5AC53"/>
    <w:rsid w:val="BBFD0BE6"/>
    <w:rsid w:val="BBFE1A03"/>
    <w:rsid w:val="BCDE2784"/>
    <w:rsid w:val="BCDFFD8D"/>
    <w:rsid w:val="BCE5E66C"/>
    <w:rsid w:val="BDED595E"/>
    <w:rsid w:val="BDEF4909"/>
    <w:rsid w:val="BDFF13ED"/>
    <w:rsid w:val="BDFF2641"/>
    <w:rsid w:val="BF2F0971"/>
    <w:rsid w:val="BF2F6CDF"/>
    <w:rsid w:val="BF3FA08A"/>
    <w:rsid w:val="BF722C81"/>
    <w:rsid w:val="BF740EC0"/>
    <w:rsid w:val="BFBF8AB9"/>
    <w:rsid w:val="BFC74A32"/>
    <w:rsid w:val="BFDD87D8"/>
    <w:rsid w:val="BFE73802"/>
    <w:rsid w:val="BFF11819"/>
    <w:rsid w:val="BFFB5EA7"/>
    <w:rsid w:val="BFFCED1B"/>
    <w:rsid w:val="BFFE209A"/>
    <w:rsid w:val="BFFE87E9"/>
    <w:rsid w:val="BFFF3C31"/>
    <w:rsid w:val="BFFFD7DA"/>
    <w:rsid w:val="C6FD751D"/>
    <w:rsid w:val="C7FEE2C5"/>
    <w:rsid w:val="CB7E7001"/>
    <w:rsid w:val="CBDF4275"/>
    <w:rsid w:val="CBFFEBBD"/>
    <w:rsid w:val="CC9F7E05"/>
    <w:rsid w:val="CD7CB138"/>
    <w:rsid w:val="CDF5DB48"/>
    <w:rsid w:val="CDFF421F"/>
    <w:rsid w:val="CEE0F68C"/>
    <w:rsid w:val="CFBF0DC0"/>
    <w:rsid w:val="D1F77133"/>
    <w:rsid w:val="D3BF1928"/>
    <w:rsid w:val="D3DD0A7B"/>
    <w:rsid w:val="D6B54705"/>
    <w:rsid w:val="D6F76131"/>
    <w:rsid w:val="D77747B5"/>
    <w:rsid w:val="D7FFF05D"/>
    <w:rsid w:val="DABB2A87"/>
    <w:rsid w:val="DBFFAE70"/>
    <w:rsid w:val="DBFFED40"/>
    <w:rsid w:val="DCFFDDD0"/>
    <w:rsid w:val="DD377750"/>
    <w:rsid w:val="DDBBE702"/>
    <w:rsid w:val="DE3D258C"/>
    <w:rsid w:val="DEB7C37E"/>
    <w:rsid w:val="DEFB9F6E"/>
    <w:rsid w:val="DF67894A"/>
    <w:rsid w:val="DFAF140F"/>
    <w:rsid w:val="DFBF258C"/>
    <w:rsid w:val="DFF2F861"/>
    <w:rsid w:val="DFF7BA0B"/>
    <w:rsid w:val="DFFDC250"/>
    <w:rsid w:val="DFFF8081"/>
    <w:rsid w:val="DFFFA4FA"/>
    <w:rsid w:val="E377D4FA"/>
    <w:rsid w:val="E6CF4507"/>
    <w:rsid w:val="E7EB36BF"/>
    <w:rsid w:val="E7FA6C69"/>
    <w:rsid w:val="E7FEE69D"/>
    <w:rsid w:val="E9FD289D"/>
    <w:rsid w:val="EABFEF6B"/>
    <w:rsid w:val="EB0E99E2"/>
    <w:rsid w:val="EBF7438D"/>
    <w:rsid w:val="EBFF7A5D"/>
    <w:rsid w:val="ECEEA038"/>
    <w:rsid w:val="EDEF5197"/>
    <w:rsid w:val="EDF6A346"/>
    <w:rsid w:val="EF7FC2DE"/>
    <w:rsid w:val="EFD4CB5B"/>
    <w:rsid w:val="EFF72E07"/>
    <w:rsid w:val="EFF7B213"/>
    <w:rsid w:val="EFFF14B8"/>
    <w:rsid w:val="EFFF6863"/>
    <w:rsid w:val="F2FF4646"/>
    <w:rsid w:val="F3FBA209"/>
    <w:rsid w:val="F55FA1F5"/>
    <w:rsid w:val="F6F54698"/>
    <w:rsid w:val="F6FF943B"/>
    <w:rsid w:val="F75F095C"/>
    <w:rsid w:val="F7A3AA50"/>
    <w:rsid w:val="F7F7D405"/>
    <w:rsid w:val="F8FDA183"/>
    <w:rsid w:val="F8FE534F"/>
    <w:rsid w:val="FAB942F8"/>
    <w:rsid w:val="FAEB6843"/>
    <w:rsid w:val="FAFBD243"/>
    <w:rsid w:val="FAFF7EB3"/>
    <w:rsid w:val="FB7B92DC"/>
    <w:rsid w:val="FB7EF165"/>
    <w:rsid w:val="FBBC7DE7"/>
    <w:rsid w:val="FBDD9719"/>
    <w:rsid w:val="FBDF68DC"/>
    <w:rsid w:val="FBF3DBD9"/>
    <w:rsid w:val="FCEF0699"/>
    <w:rsid w:val="FD172173"/>
    <w:rsid w:val="FD6E422F"/>
    <w:rsid w:val="FD6F7EC9"/>
    <w:rsid w:val="FD8F4760"/>
    <w:rsid w:val="FDAE3227"/>
    <w:rsid w:val="FDBD89CC"/>
    <w:rsid w:val="FDBFE176"/>
    <w:rsid w:val="FDDD2E43"/>
    <w:rsid w:val="FDE69C57"/>
    <w:rsid w:val="FDEFE43E"/>
    <w:rsid w:val="FDF79F86"/>
    <w:rsid w:val="FDFD9F3B"/>
    <w:rsid w:val="FDFF70DA"/>
    <w:rsid w:val="FEEEC4FE"/>
    <w:rsid w:val="FEF356BD"/>
    <w:rsid w:val="FEFB2C7B"/>
    <w:rsid w:val="FEFDED5B"/>
    <w:rsid w:val="FEFE438E"/>
    <w:rsid w:val="FEFF6855"/>
    <w:rsid w:val="FF5DA4D1"/>
    <w:rsid w:val="FF7883EF"/>
    <w:rsid w:val="FF7A8B59"/>
    <w:rsid w:val="FF7B6C91"/>
    <w:rsid w:val="FF7F0875"/>
    <w:rsid w:val="FF7F43C9"/>
    <w:rsid w:val="FF7F97F6"/>
    <w:rsid w:val="FF876848"/>
    <w:rsid w:val="FFACB881"/>
    <w:rsid w:val="FFBA76E2"/>
    <w:rsid w:val="FFBD4283"/>
    <w:rsid w:val="FFBF1672"/>
    <w:rsid w:val="FFD7BB03"/>
    <w:rsid w:val="FFDBD636"/>
    <w:rsid w:val="FFDBEAA7"/>
    <w:rsid w:val="FFDBF34E"/>
    <w:rsid w:val="FFFA19C4"/>
    <w:rsid w:val="FFFAEA2E"/>
    <w:rsid w:val="FFFDC701"/>
    <w:rsid w:val="FFFE0A9F"/>
    <w:rsid w:val="FFFF2A57"/>
    <w:rsid w:val="FFFF667D"/>
    <w:rsid w:val="FFFFBD92"/>
    <w:rsid w:val="FFFFCF2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9"/>
    <w:qFormat/>
    <w:uiPriority w:val="99"/>
    <w:pPr>
      <w:spacing w:before="100" w:beforeAutospacing="1" w:after="100" w:afterAutospacing="1"/>
      <w:jc w:val="left"/>
      <w:outlineLvl w:val="0"/>
    </w:pPr>
    <w:rPr>
      <w:rFonts w:ascii="宋体" w:hAnsi="宋体"/>
      <w:b/>
      <w:kern w:val="44"/>
      <w:sz w:val="48"/>
      <w:szCs w:val="48"/>
    </w:rPr>
  </w:style>
  <w:style w:type="paragraph" w:styleId="4">
    <w:name w:val="heading 2"/>
    <w:basedOn w:val="1"/>
    <w:next w:val="1"/>
    <w:link w:val="20"/>
    <w:qFormat/>
    <w:uiPriority w:val="99"/>
    <w:pPr>
      <w:spacing w:before="100" w:beforeAutospacing="1" w:after="100" w:afterAutospacing="1"/>
      <w:jc w:val="left"/>
      <w:outlineLvl w:val="1"/>
    </w:pPr>
    <w:rPr>
      <w:rFonts w:ascii="宋体" w:hAnsi="宋体"/>
      <w:b/>
      <w:kern w:val="0"/>
      <w:sz w:val="36"/>
      <w:szCs w:val="36"/>
    </w:rPr>
  </w:style>
  <w:style w:type="paragraph" w:styleId="5">
    <w:name w:val="heading 3"/>
    <w:basedOn w:val="1"/>
    <w:next w:val="1"/>
    <w:link w:val="21"/>
    <w:qFormat/>
    <w:uiPriority w:val="99"/>
    <w:pPr>
      <w:spacing w:before="100" w:beforeAutospacing="1" w:after="100" w:afterAutospacing="1"/>
      <w:jc w:val="left"/>
      <w:outlineLvl w:val="2"/>
    </w:pPr>
    <w:rPr>
      <w:rFonts w:ascii="宋体" w:hAnsi="宋体"/>
      <w:b/>
      <w:kern w:val="0"/>
      <w:sz w:val="27"/>
      <w:szCs w:val="27"/>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99"/>
    <w:pPr>
      <w:ind w:left="420" w:leftChars="200"/>
    </w:pPr>
  </w:style>
  <w:style w:type="paragraph" w:styleId="6">
    <w:name w:val="Body Text Indent"/>
    <w:basedOn w:val="1"/>
    <w:semiHidden/>
    <w:unhideWhenUsed/>
    <w:qFormat/>
    <w:uiPriority w:val="99"/>
    <w:pPr>
      <w:spacing w:after="120"/>
      <w:ind w:left="420" w:leftChars="200"/>
    </w:pPr>
  </w:style>
  <w:style w:type="paragraph" w:styleId="7">
    <w:name w:val="Balloon Text"/>
    <w:basedOn w:val="1"/>
    <w:link w:val="31"/>
    <w:qFormat/>
    <w:uiPriority w:val="0"/>
    <w:rPr>
      <w:rFonts w:ascii="Times New Roman" w:hAnsi="Times New Roman"/>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style>
  <w:style w:type="paragraph" w:styleId="11">
    <w:name w:val="Normal (Web)"/>
    <w:basedOn w:val="1"/>
    <w:qFormat/>
    <w:uiPriority w:val="99"/>
    <w:pPr>
      <w:spacing w:before="100" w:beforeAutospacing="1" w:after="100" w:afterAutospacing="1"/>
      <w:jc w:val="left"/>
    </w:pPr>
    <w:rPr>
      <w:kern w:val="0"/>
      <w:sz w:val="24"/>
    </w:rPr>
  </w:style>
  <w:style w:type="paragraph" w:styleId="12">
    <w:name w:val="Body Text First Indent 2"/>
    <w:basedOn w:val="6"/>
    <w:next w:val="1"/>
    <w:unhideWhenUsed/>
    <w:qFormat/>
    <w:uiPriority w:val="99"/>
    <w:pPr>
      <w:ind w:firstLine="420" w:firstLineChars="200"/>
    </w:pPr>
    <w:rPr>
      <w:rFonts w:ascii="等线" w:hAnsi="等线" w:eastAsia="等线" w:cs="Times New Roman"/>
    </w:rPr>
  </w:style>
  <w:style w:type="table" w:styleId="14">
    <w:name w:val="Table Grid"/>
    <w:basedOn w:val="1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99"/>
    <w:rPr>
      <w:rFonts w:cs="Times New Roman"/>
      <w:b/>
    </w:rPr>
  </w:style>
  <w:style w:type="character" w:styleId="17">
    <w:name w:val="page number"/>
    <w:basedOn w:val="15"/>
    <w:qFormat/>
    <w:uiPriority w:val="99"/>
    <w:rPr>
      <w:rFonts w:cs="Times New Roman"/>
    </w:rPr>
  </w:style>
  <w:style w:type="character" w:styleId="18">
    <w:name w:val="Hyperlink"/>
    <w:basedOn w:val="15"/>
    <w:qFormat/>
    <w:uiPriority w:val="99"/>
    <w:rPr>
      <w:rFonts w:cs="Times New Roman"/>
      <w:color w:val="0000FF"/>
      <w:u w:val="single"/>
    </w:rPr>
  </w:style>
  <w:style w:type="character" w:customStyle="1" w:styleId="19">
    <w:name w:val="标题 1 Char"/>
    <w:basedOn w:val="15"/>
    <w:link w:val="3"/>
    <w:qFormat/>
    <w:locked/>
    <w:uiPriority w:val="99"/>
    <w:rPr>
      <w:rFonts w:ascii="Calibri" w:hAnsi="Calibri"/>
      <w:b/>
      <w:kern w:val="44"/>
      <w:sz w:val="44"/>
    </w:rPr>
  </w:style>
  <w:style w:type="character" w:customStyle="1" w:styleId="20">
    <w:name w:val="标题 2 Char"/>
    <w:basedOn w:val="15"/>
    <w:link w:val="4"/>
    <w:semiHidden/>
    <w:qFormat/>
    <w:locked/>
    <w:uiPriority w:val="99"/>
    <w:rPr>
      <w:rFonts w:ascii="Cambria" w:hAnsi="Cambria" w:eastAsia="宋体"/>
      <w:b/>
      <w:sz w:val="32"/>
    </w:rPr>
  </w:style>
  <w:style w:type="character" w:customStyle="1" w:styleId="21">
    <w:name w:val="标题 3 Char"/>
    <w:basedOn w:val="15"/>
    <w:link w:val="5"/>
    <w:semiHidden/>
    <w:qFormat/>
    <w:locked/>
    <w:uiPriority w:val="99"/>
    <w:rPr>
      <w:rFonts w:ascii="Calibri" w:hAnsi="Calibri"/>
      <w:b/>
      <w:sz w:val="32"/>
    </w:rPr>
  </w:style>
  <w:style w:type="character" w:customStyle="1" w:styleId="22">
    <w:name w:val="页眉 Char"/>
    <w:basedOn w:val="15"/>
    <w:link w:val="9"/>
    <w:qFormat/>
    <w:locked/>
    <w:uiPriority w:val="99"/>
    <w:rPr>
      <w:rFonts w:ascii="Calibri" w:hAnsi="Calibri"/>
      <w:kern w:val="2"/>
      <w:sz w:val="18"/>
    </w:rPr>
  </w:style>
  <w:style w:type="character" w:customStyle="1" w:styleId="23">
    <w:name w:val="页脚 Char"/>
    <w:basedOn w:val="15"/>
    <w:link w:val="8"/>
    <w:qFormat/>
    <w:locked/>
    <w:uiPriority w:val="99"/>
    <w:rPr>
      <w:rFonts w:ascii="Calibri" w:hAnsi="Calibri"/>
      <w:kern w:val="2"/>
      <w:sz w:val="18"/>
    </w:rPr>
  </w:style>
  <w:style w:type="paragraph" w:customStyle="1" w:styleId="24">
    <w:name w:val="默认段落字体 Para Char Char Char Char"/>
    <w:basedOn w:val="1"/>
    <w:qFormat/>
    <w:uiPriority w:val="99"/>
    <w:rPr>
      <w:rFonts w:ascii="Times New Roman" w:hAnsi="Times New Roman"/>
    </w:rPr>
  </w:style>
  <w:style w:type="paragraph" w:customStyle="1" w:styleId="25">
    <w:name w:val="一级标题11"/>
    <w:basedOn w:val="1"/>
    <w:qFormat/>
    <w:uiPriority w:val="99"/>
    <w:pPr>
      <w:widowControl/>
      <w:ind w:firstLine="600" w:firstLineChars="200"/>
      <w:outlineLvl w:val="0"/>
    </w:pPr>
    <w:rPr>
      <w:rFonts w:ascii="方正黑体_GBK" w:hAnsi="Times New Roman" w:eastAsia="方正黑体_GBK"/>
      <w:sz w:val="30"/>
      <w:szCs w:val="30"/>
    </w:rPr>
  </w:style>
  <w:style w:type="paragraph" w:customStyle="1" w:styleId="26">
    <w:name w:val="二级标题11"/>
    <w:basedOn w:val="1"/>
    <w:qFormat/>
    <w:uiPriority w:val="99"/>
    <w:pPr>
      <w:ind w:firstLine="200" w:firstLineChars="200"/>
      <w:outlineLvl w:val="1"/>
    </w:pPr>
    <w:rPr>
      <w:rFonts w:ascii="楷体" w:hAnsi="楷体" w:eastAsia="楷体"/>
      <w:b/>
      <w:sz w:val="28"/>
      <w:szCs w:val="28"/>
    </w:rPr>
  </w:style>
  <w:style w:type="paragraph" w:customStyle="1" w:styleId="27">
    <w:name w:val="正文11"/>
    <w:basedOn w:val="1"/>
    <w:qFormat/>
    <w:uiPriority w:val="99"/>
    <w:pPr>
      <w:spacing w:line="440" w:lineRule="exact"/>
      <w:ind w:firstLine="600" w:firstLineChars="200"/>
    </w:pPr>
    <w:rPr>
      <w:rFonts w:ascii="宋体" w:hAnsi="宋体" w:eastAsia="仿宋_GB2312"/>
      <w:sz w:val="24"/>
      <w:szCs w:val="28"/>
    </w:rPr>
  </w:style>
  <w:style w:type="paragraph" w:customStyle="1" w:styleId="28">
    <w:name w:val="表格内容11"/>
    <w:basedOn w:val="11"/>
    <w:qFormat/>
    <w:uiPriority w:val="99"/>
    <w:pPr>
      <w:widowControl/>
      <w:spacing w:before="0" w:beforeAutospacing="0" w:after="0" w:afterAutospacing="0" w:line="280" w:lineRule="exact"/>
      <w:jc w:val="both"/>
    </w:pPr>
    <w:rPr>
      <w:rFonts w:ascii="仿宋_GB2312" w:hAnsi="仿宋_GB2312" w:eastAsia="仿宋_GB2312" w:cs="仿宋_GB2312"/>
      <w:sz w:val="21"/>
    </w:rPr>
  </w:style>
  <w:style w:type="paragraph" w:customStyle="1" w:styleId="29">
    <w:name w:val="表格标题11"/>
    <w:basedOn w:val="1"/>
    <w:qFormat/>
    <w:uiPriority w:val="99"/>
    <w:pPr>
      <w:jc w:val="center"/>
    </w:pPr>
    <w:rPr>
      <w:rFonts w:ascii="仿宋_GB2312" w:eastAsia="仿宋_GB2312"/>
      <w:b/>
      <w:sz w:val="24"/>
    </w:rPr>
  </w:style>
  <w:style w:type="paragraph" w:customStyle="1" w:styleId="30">
    <w:name w:val="表头11"/>
    <w:basedOn w:val="11"/>
    <w:qFormat/>
    <w:uiPriority w:val="99"/>
    <w:pPr>
      <w:widowControl/>
      <w:spacing w:before="0" w:beforeAutospacing="0" w:after="0" w:afterAutospacing="0" w:line="280" w:lineRule="exact"/>
      <w:jc w:val="center"/>
    </w:pPr>
    <w:rPr>
      <w:rFonts w:ascii="仿宋_GB2312" w:hAnsi="仿宋_GB2312" w:eastAsia="仿宋_GB2312" w:cs="仿宋_GB2312"/>
      <w:b/>
      <w:bCs/>
      <w:sz w:val="21"/>
    </w:rPr>
  </w:style>
  <w:style w:type="character" w:customStyle="1" w:styleId="31">
    <w:name w:val="批注框文本 Char"/>
    <w:basedOn w:val="15"/>
    <w:link w:val="7"/>
    <w:qFormat/>
    <w:uiPriority w:val="0"/>
    <w:rPr>
      <w:kern w:val="2"/>
      <w:sz w:val="18"/>
      <w:szCs w:val="18"/>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72</Pages>
  <Words>3560</Words>
  <Characters>20295</Characters>
  <Lines>169</Lines>
  <Paragraphs>47</Paragraphs>
  <TotalTime>3</TotalTime>
  <ScaleCrop>false</ScaleCrop>
  <LinksUpToDate>false</LinksUpToDate>
  <CharactersWithSpaces>23808</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2018-11-08T18:52:00Z</dcterms:created>
  <dc:creator>DELL</dc:creator>
  <cp:lastModifiedBy>我是一只胖胖胖㍿</cp:lastModifiedBy>
  <cp:lastPrinted>2022-08-26T13:16:00Z</cp:lastPrinted>
  <dcterms:modified xsi:type="dcterms:W3CDTF">2024-04-17T17:14:31Z</dcterms:modified>
  <dc:title>建设项目环境影响评价审批手续办理宣传手册</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3D68465FA5DB4F34910408AF7FC108B2</vt:lpwstr>
  </property>
</Properties>
</file>