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after="0" w:line="360" w:lineRule="auto"/>
        <w:jc w:val="center"/>
        <w:rPr>
          <w:rFonts w:ascii="黑体" w:eastAsia="黑体" w:hAnsiTheme="minorEastAsia"/>
          <w:b/>
          <w:sz w:val="36"/>
          <w:szCs w:val="36"/>
        </w:rPr>
      </w:pPr>
      <w:r>
        <w:rPr>
          <w:rFonts w:hint="eastAsia" w:ascii="黑体" w:eastAsia="黑体" w:hAnsiTheme="minorEastAsia"/>
          <w:b/>
          <w:sz w:val="36"/>
          <w:szCs w:val="36"/>
        </w:rPr>
        <w:t>攀枝花市生态环境局</w:t>
      </w:r>
    </w:p>
    <w:p>
      <w:pPr>
        <w:pStyle w:val="6"/>
        <w:widowControl/>
        <w:shd w:val="clear" w:color="auto" w:fill="FFFFFF"/>
        <w:spacing w:after="0" w:line="360" w:lineRule="auto"/>
        <w:jc w:val="center"/>
        <w:rPr>
          <w:rFonts w:ascii="黑体" w:eastAsia="黑体" w:hAnsiTheme="minorEastAsia"/>
          <w:b/>
          <w:sz w:val="36"/>
          <w:szCs w:val="36"/>
        </w:rPr>
      </w:pPr>
      <w:r>
        <w:rPr>
          <w:rFonts w:ascii="黑体" w:eastAsia="黑体" w:hAnsiTheme="minorEastAsia"/>
          <w:b/>
          <w:sz w:val="36"/>
          <w:szCs w:val="36"/>
        </w:rPr>
        <w:t>《攀枝花市</w:t>
      </w:r>
      <w:r>
        <w:rPr>
          <w:rFonts w:hint="eastAsia" w:ascii="黑体" w:eastAsia="黑体" w:hAnsiTheme="minorEastAsia"/>
          <w:b/>
          <w:sz w:val="36"/>
          <w:szCs w:val="36"/>
        </w:rPr>
        <w:t>二滩垃圾填埋场及周边地下水环境状况调查评估技术方案</w:t>
      </w:r>
      <w:r>
        <w:rPr>
          <w:rFonts w:ascii="黑体" w:eastAsia="黑体" w:hAnsiTheme="minorEastAsia"/>
          <w:b/>
          <w:sz w:val="36"/>
          <w:szCs w:val="36"/>
        </w:rPr>
        <w:t>》</w:t>
      </w:r>
      <w:r>
        <w:rPr>
          <w:rFonts w:hint="eastAsia" w:ascii="黑体" w:eastAsia="黑体" w:hAnsiTheme="minorEastAsia"/>
          <w:b/>
          <w:sz w:val="36"/>
          <w:szCs w:val="36"/>
        </w:rPr>
        <w:t>编制询价公告</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hAnsi="Times New Roman" w:eastAsia="仿宋_GB2312"/>
          <w:sz w:val="32"/>
          <w:szCs w:val="32"/>
        </w:rPr>
        <w:t>《四川省财政厅 四川省生态环境厅关于下达2023年第一批中央和省级生态环保资金支出预算的通知》（川财资环〔2023〕18号）</w:t>
      </w:r>
      <w:r>
        <w:rPr>
          <w:rFonts w:hint="eastAsia" w:ascii="仿宋_GB2312" w:eastAsia="仿宋_GB2312"/>
          <w:sz w:val="32"/>
          <w:szCs w:val="32"/>
        </w:rPr>
        <w:t>和《攀枝花</w:t>
      </w:r>
      <w:bookmarkStart w:id="0" w:name="_GoBack"/>
      <w:bookmarkEnd w:id="0"/>
      <w:r>
        <w:rPr>
          <w:rFonts w:hint="eastAsia" w:ascii="仿宋_GB2312" w:eastAsia="仿宋_GB2312"/>
          <w:sz w:val="32"/>
          <w:szCs w:val="32"/>
        </w:rPr>
        <w:t>市生态环境局 攀枝花市财政局关于尾矿库和二滩垃圾填埋场及周边地下水环境状况调查评估项目资金分配事宜的请示》（</w:t>
      </w:r>
      <w:r>
        <w:rPr>
          <w:rFonts w:hint="eastAsia" w:ascii="仿宋_GB2312" w:hAnsi="Times New Roman" w:eastAsia="仿宋_GB2312"/>
          <w:kern w:val="0"/>
          <w:sz w:val="32"/>
          <w:szCs w:val="32"/>
        </w:rPr>
        <w:t>攀环〔2023〕125号</w:t>
      </w:r>
      <w:r>
        <w:rPr>
          <w:rFonts w:hint="eastAsia" w:ascii="仿宋_GB2312" w:eastAsia="仿宋_GB2312"/>
          <w:sz w:val="32"/>
          <w:szCs w:val="32"/>
        </w:rPr>
        <w:t>）等文件要求，我局拟组织开展</w:t>
      </w:r>
      <w:r>
        <w:rPr>
          <w:rFonts w:ascii="仿宋_GB2312" w:eastAsia="仿宋_GB2312"/>
          <w:sz w:val="32"/>
          <w:szCs w:val="32"/>
        </w:rPr>
        <w:t>《攀枝花市</w:t>
      </w:r>
      <w:r>
        <w:rPr>
          <w:rFonts w:hint="eastAsia" w:ascii="仿宋_GB2312" w:eastAsia="仿宋_GB2312"/>
          <w:sz w:val="32"/>
          <w:szCs w:val="32"/>
        </w:rPr>
        <w:t>二滩垃圾填埋场及周边地下水环境状况调查评估技术方案</w:t>
      </w:r>
      <w:r>
        <w:rPr>
          <w:rFonts w:ascii="仿宋_GB2312" w:eastAsia="仿宋_GB2312"/>
          <w:sz w:val="32"/>
          <w:szCs w:val="32"/>
        </w:rPr>
        <w:t>》</w:t>
      </w:r>
      <w:r>
        <w:rPr>
          <w:rFonts w:hint="eastAsia" w:ascii="仿宋_GB2312" w:eastAsia="仿宋_GB2312"/>
          <w:sz w:val="32"/>
          <w:szCs w:val="32"/>
        </w:rPr>
        <w:t>编制项目。该项目拟采用询价采购方式进行招标，特邀请有资质和能力的公司、单位参与报价。具体事项公告如下：</w:t>
      </w:r>
    </w:p>
    <w:p>
      <w:pPr>
        <w:pStyle w:val="6"/>
        <w:widowControl/>
        <w:shd w:val="clear" w:color="auto" w:fill="FFFFFF"/>
        <w:spacing w:after="0" w:line="360" w:lineRule="auto"/>
        <w:ind w:firstLine="642" w:firstLineChars="200"/>
        <w:rPr>
          <w:rFonts w:ascii="仿宋_GB2312" w:eastAsia="仿宋_GB2312"/>
          <w:b/>
          <w:bCs w:val="0"/>
          <w:sz w:val="32"/>
          <w:szCs w:val="32"/>
        </w:rPr>
      </w:pPr>
      <w:r>
        <w:rPr>
          <w:rFonts w:hint="eastAsia" w:ascii="仿宋_GB2312" w:eastAsia="仿宋_GB2312"/>
          <w:b/>
          <w:bCs w:val="0"/>
          <w:sz w:val="32"/>
          <w:szCs w:val="32"/>
        </w:rPr>
        <w:t>一、项目名称</w:t>
      </w:r>
    </w:p>
    <w:p>
      <w:pPr>
        <w:pStyle w:val="6"/>
        <w:widowControl/>
        <w:shd w:val="clear" w:color="auto" w:fill="FFFFFF"/>
        <w:spacing w:after="0" w:line="360" w:lineRule="auto"/>
        <w:ind w:firstLine="640" w:firstLineChars="200"/>
        <w:rPr>
          <w:rFonts w:hint="eastAsia" w:ascii="仿宋_GB2312" w:eastAsia="仿宋_GB2312"/>
          <w:sz w:val="32"/>
          <w:szCs w:val="32"/>
          <w:lang w:eastAsia="zh-CN"/>
        </w:rPr>
      </w:pPr>
      <w:r>
        <w:rPr>
          <w:rFonts w:ascii="仿宋_GB2312" w:eastAsia="仿宋_GB2312"/>
          <w:sz w:val="32"/>
          <w:szCs w:val="32"/>
        </w:rPr>
        <w:t>《攀枝花市</w:t>
      </w:r>
      <w:r>
        <w:rPr>
          <w:rFonts w:hint="eastAsia" w:ascii="仿宋_GB2312" w:eastAsia="仿宋_GB2312"/>
          <w:sz w:val="32"/>
          <w:szCs w:val="32"/>
        </w:rPr>
        <w:t>二滩垃圾填埋场及周边地下水环境状况调查评估技术方案</w:t>
      </w:r>
      <w:r>
        <w:rPr>
          <w:rFonts w:ascii="仿宋_GB2312" w:eastAsia="仿宋_GB2312"/>
          <w:sz w:val="32"/>
          <w:szCs w:val="32"/>
        </w:rPr>
        <w:t>》</w:t>
      </w:r>
      <w:r>
        <w:rPr>
          <w:rFonts w:hint="eastAsia" w:ascii="仿宋_GB2312" w:eastAsia="仿宋_GB2312"/>
          <w:sz w:val="32"/>
          <w:szCs w:val="32"/>
        </w:rPr>
        <w:t>编制项目</w:t>
      </w:r>
      <w:r>
        <w:rPr>
          <w:rFonts w:hint="eastAsia" w:ascii="仿宋_GB2312" w:eastAsia="仿宋_GB2312"/>
          <w:sz w:val="32"/>
          <w:szCs w:val="32"/>
          <w:lang w:eastAsia="zh-CN"/>
        </w:rPr>
        <w:t>。</w:t>
      </w:r>
    </w:p>
    <w:p>
      <w:pPr>
        <w:pStyle w:val="6"/>
        <w:widowControl/>
        <w:shd w:val="clear" w:color="auto" w:fill="FFFFFF"/>
        <w:spacing w:after="0" w:line="360" w:lineRule="auto"/>
        <w:ind w:firstLine="642" w:firstLineChars="200"/>
        <w:rPr>
          <w:rFonts w:ascii="仿宋_GB2312" w:eastAsia="仿宋_GB2312"/>
          <w:b/>
          <w:bCs w:val="0"/>
          <w:sz w:val="32"/>
          <w:szCs w:val="32"/>
        </w:rPr>
      </w:pPr>
      <w:r>
        <w:rPr>
          <w:rFonts w:hint="eastAsia" w:ascii="仿宋_GB2312" w:eastAsia="仿宋_GB2312"/>
          <w:b/>
          <w:bCs w:val="0"/>
          <w:sz w:val="32"/>
          <w:szCs w:val="32"/>
        </w:rPr>
        <w:t>二、项目概况</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根据《危险废物处置场和垃圾填埋场地下水环境状况调查评估技术指南》（环办便函〔2022〕382号）等相关技术文件要求，结合项目现场实际情况，编制</w:t>
      </w:r>
      <w:r>
        <w:rPr>
          <w:rFonts w:ascii="仿宋_GB2312" w:eastAsia="仿宋_GB2312"/>
          <w:sz w:val="32"/>
          <w:szCs w:val="32"/>
        </w:rPr>
        <w:t>《攀枝花市</w:t>
      </w:r>
      <w:r>
        <w:rPr>
          <w:rFonts w:hint="eastAsia" w:ascii="仿宋_GB2312" w:eastAsia="仿宋_GB2312"/>
          <w:sz w:val="32"/>
          <w:szCs w:val="32"/>
        </w:rPr>
        <w:t>二滩垃圾填埋场及周边地下水环境状况调查评估技术方案</w:t>
      </w:r>
      <w:r>
        <w:rPr>
          <w:rFonts w:ascii="仿宋_GB2312" w:eastAsia="仿宋_GB2312"/>
          <w:sz w:val="32"/>
          <w:szCs w:val="32"/>
        </w:rPr>
        <w:t>》</w:t>
      </w:r>
      <w:r>
        <w:rPr>
          <w:rFonts w:hint="eastAsia" w:ascii="仿宋_GB2312" w:eastAsia="仿宋_GB2312"/>
          <w:sz w:val="32"/>
          <w:szCs w:val="32"/>
        </w:rPr>
        <w:t>，便于科学开展二滩垃圾填埋场地下水调查评价工作。该项目总控</w:t>
      </w:r>
      <w:r>
        <w:rPr>
          <w:rFonts w:hint="eastAsia" w:ascii="仿宋_GB2312" w:hAnsi="宋体" w:eastAsia="仿宋_GB2312"/>
          <w:sz w:val="32"/>
          <w:szCs w:val="32"/>
        </w:rPr>
        <w:t>标价</w:t>
      </w:r>
      <w:r>
        <w:rPr>
          <w:rFonts w:ascii="仿宋_GB2312" w:hAnsi="宋体" w:eastAsia="仿宋_GB2312"/>
          <w:sz w:val="32"/>
          <w:szCs w:val="32"/>
        </w:rPr>
        <w:t>3</w:t>
      </w:r>
      <w:r>
        <w:rPr>
          <w:rFonts w:hint="eastAsia" w:ascii="仿宋_GB2312" w:hAnsi="宋体" w:eastAsia="仿宋_GB2312"/>
          <w:sz w:val="32"/>
          <w:szCs w:val="32"/>
        </w:rPr>
        <w:t>万元以</w:t>
      </w:r>
      <w:r>
        <w:rPr>
          <w:rFonts w:hint="eastAsia" w:ascii="仿宋_GB2312" w:eastAsia="仿宋_GB2312"/>
          <w:sz w:val="32"/>
          <w:szCs w:val="32"/>
        </w:rPr>
        <w:t>内。</w:t>
      </w:r>
    </w:p>
    <w:p>
      <w:pPr>
        <w:pStyle w:val="6"/>
        <w:widowControl/>
        <w:shd w:val="clear" w:color="auto" w:fill="FFFFFF"/>
        <w:spacing w:after="0" w:line="360" w:lineRule="auto"/>
        <w:ind w:firstLine="642" w:firstLineChars="200"/>
        <w:rPr>
          <w:rFonts w:ascii="仿宋_GB2312" w:eastAsia="仿宋_GB2312"/>
          <w:b/>
          <w:bCs w:val="0"/>
          <w:sz w:val="32"/>
          <w:szCs w:val="32"/>
        </w:rPr>
      </w:pPr>
      <w:r>
        <w:rPr>
          <w:rFonts w:hint="eastAsia" w:ascii="仿宋_GB2312" w:eastAsia="仿宋_GB2312"/>
          <w:b/>
          <w:bCs w:val="0"/>
          <w:sz w:val="32"/>
          <w:szCs w:val="32"/>
        </w:rPr>
        <w:t>三、申请人的资质要求</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1.符合《中华人民共和国政府采购法》第二十二条之规定，在中华人民共和国境内注册，具有独立法人资格和完全履行合同的能力；</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2.符合未被“信用中国”（www.creditchina.gov.cn）、中国政府采购网（www.ccgp.gov.cn）列入失信被执行人、重大税收违法案件当事人名单、政府采购严重违法失信行为记录名单的投标人规定；</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3.本项目不接受联合体投标，不得分包、转包。</w:t>
      </w:r>
    </w:p>
    <w:p>
      <w:pPr>
        <w:pStyle w:val="6"/>
        <w:widowControl/>
        <w:shd w:val="clear" w:color="auto" w:fill="FFFFFF"/>
        <w:spacing w:after="0" w:line="360" w:lineRule="auto"/>
        <w:ind w:firstLine="642" w:firstLineChars="200"/>
        <w:rPr>
          <w:rFonts w:ascii="仿宋_GB2312" w:eastAsia="仿宋_GB2312"/>
          <w:b/>
          <w:bCs w:val="0"/>
          <w:sz w:val="32"/>
          <w:szCs w:val="32"/>
        </w:rPr>
      </w:pPr>
      <w:r>
        <w:rPr>
          <w:rFonts w:hint="eastAsia" w:ascii="仿宋_GB2312" w:eastAsia="仿宋_GB2312"/>
          <w:b/>
          <w:bCs w:val="0"/>
          <w:sz w:val="32"/>
          <w:szCs w:val="32"/>
        </w:rPr>
        <w:t>四、报价文件要求</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报价文件为正本一本，包括下列内容：</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1.供应商法人或工商营业执照证书复印件。</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2.项目报价单（</w:t>
      </w:r>
      <w:r>
        <w:rPr>
          <w:rFonts w:hint="eastAsia" w:ascii="仿宋_GB2312" w:eastAsia="仿宋_GB2312"/>
          <w:sz w:val="32"/>
          <w:szCs w:val="32"/>
          <w:lang w:eastAsia="zh-CN"/>
        </w:rPr>
        <w:t>见</w:t>
      </w:r>
      <w:r>
        <w:rPr>
          <w:rFonts w:hint="eastAsia" w:ascii="仿宋_GB2312" w:eastAsia="仿宋_GB2312"/>
          <w:sz w:val="32"/>
          <w:szCs w:val="32"/>
        </w:rPr>
        <w:t>附件，含具体单价和总价等）。报价文件一次发出，不得修改，报价应全部用人民币（元）报出。报价应视为已包括：食宿费用、交通工具及使用费、劳务等与本项目有关的一切费用，具体报价单如附件所示。报价单位请预留联系人及联系方式。</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3.以上文件每页须要盖单位公章；报价文件纸质版需装订成册（一份）。</w:t>
      </w:r>
    </w:p>
    <w:p>
      <w:pPr>
        <w:pStyle w:val="6"/>
        <w:widowControl/>
        <w:shd w:val="clear" w:color="auto" w:fill="FFFFFF"/>
        <w:spacing w:after="0" w:line="360" w:lineRule="auto"/>
        <w:ind w:firstLine="642" w:firstLineChars="200"/>
        <w:rPr>
          <w:rFonts w:ascii="仿宋_GB2312" w:eastAsia="仿宋_GB2312"/>
          <w:b/>
          <w:bCs w:val="0"/>
          <w:sz w:val="32"/>
          <w:szCs w:val="32"/>
        </w:rPr>
      </w:pPr>
      <w:r>
        <w:rPr>
          <w:rFonts w:hint="eastAsia" w:ascii="仿宋_GB2312" w:eastAsia="仿宋_GB2312"/>
          <w:b/>
          <w:bCs w:val="0"/>
          <w:sz w:val="32"/>
          <w:szCs w:val="32"/>
        </w:rPr>
        <w:t>五、报价文件的递交时间、地点</w:t>
      </w:r>
    </w:p>
    <w:p>
      <w:pPr>
        <w:pStyle w:val="6"/>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2024年</w:t>
      </w:r>
      <w:r>
        <w:rPr>
          <w:rFonts w:hint="eastAsia" w:ascii="仿宋_GB2312" w:eastAsia="仿宋_GB2312"/>
          <w:sz w:val="32"/>
          <w:szCs w:val="32"/>
          <w:lang w:val="en-US" w:eastAsia="zh-CN"/>
        </w:rPr>
        <w:t>4</w:t>
      </w:r>
      <w:r>
        <w:rPr>
          <w:rFonts w:hint="eastAsia" w:ascii="仿宋_GB2312" w:eastAsia="仿宋_GB2312"/>
          <w:sz w:val="32"/>
          <w:szCs w:val="32"/>
        </w:rPr>
        <w:t>月2</w:t>
      </w:r>
      <w:r>
        <w:rPr>
          <w:rFonts w:hint="eastAsia" w:ascii="仿宋_GB2312" w:eastAsia="仿宋_GB2312"/>
          <w:sz w:val="32"/>
          <w:szCs w:val="32"/>
          <w:lang w:val="en-US" w:eastAsia="zh-CN"/>
        </w:rPr>
        <w:t>6</w:t>
      </w:r>
      <w:r>
        <w:rPr>
          <w:rFonts w:hint="eastAsia" w:ascii="仿宋_GB2312" w:eastAsia="仿宋_GB2312"/>
          <w:sz w:val="32"/>
          <w:szCs w:val="32"/>
        </w:rPr>
        <w:t>日</w:t>
      </w:r>
      <w:r>
        <w:rPr>
          <w:rFonts w:hint="eastAsia" w:ascii="仿宋_GB2312" w:eastAsia="仿宋_GB2312"/>
          <w:sz w:val="32"/>
          <w:szCs w:val="32"/>
        </w:rPr>
        <w:t>上午9</w:t>
      </w:r>
      <w:r>
        <w:rPr>
          <w:rFonts w:hint="eastAsia" w:ascii="仿宋_GB2312" w:eastAsia="仿宋_GB2312"/>
          <w:sz w:val="32"/>
          <w:szCs w:val="32"/>
        </w:rPr>
        <w:t>：00将报价文件纸质版送至或邮寄攀枝花市生态环境局（东区泰隆大厦东楼816），或将报价文件扫描为PDF格式电子文件以电子邮件形式发送至电子邮箱</w:t>
      </w:r>
      <w:r>
        <w:fldChar w:fldCharType="begin"/>
      </w:r>
      <w:r>
        <w:instrText xml:space="preserve"> HYPERLINK "mailto:349935802@qq.com" </w:instrText>
      </w:r>
      <w:r>
        <w:fldChar w:fldCharType="separate"/>
      </w:r>
      <w:r>
        <w:rPr>
          <w:rFonts w:hint="eastAsia" w:ascii="仿宋_GB2312" w:eastAsia="仿宋_GB2312"/>
          <w:sz w:val="32"/>
          <w:szCs w:val="32"/>
        </w:rPr>
        <w:t>349935802@qq.com</w:t>
      </w:r>
      <w:r>
        <w:rPr>
          <w:rFonts w:hint="eastAsia" w:ascii="仿宋_GB2312" w:eastAsia="仿宋_GB2312"/>
          <w:sz w:val="32"/>
          <w:szCs w:val="32"/>
        </w:rPr>
        <w:fldChar w:fldCharType="end"/>
      </w:r>
      <w:r>
        <w:rPr>
          <w:rFonts w:hint="eastAsia" w:ascii="仿宋_GB2312" w:eastAsia="仿宋_GB2312"/>
          <w:sz w:val="32"/>
          <w:szCs w:val="32"/>
        </w:rPr>
        <w:t>（需要备注单位名称、联系人及联系电话）。</w:t>
      </w:r>
    </w:p>
    <w:p>
      <w:pPr>
        <w:pStyle w:val="6"/>
        <w:widowControl/>
        <w:shd w:val="clear" w:color="auto" w:fill="FFFFFF"/>
        <w:spacing w:after="0" w:line="360" w:lineRule="auto"/>
        <w:ind w:firstLine="642" w:firstLineChars="200"/>
        <w:rPr>
          <w:rFonts w:hint="eastAsia" w:ascii="仿宋_GB2312" w:eastAsia="仿宋_GB2312"/>
          <w:b/>
          <w:bCs w:val="0"/>
          <w:sz w:val="32"/>
          <w:szCs w:val="32"/>
        </w:rPr>
      </w:pPr>
      <w:r>
        <w:rPr>
          <w:rFonts w:hint="eastAsia" w:ascii="仿宋_GB2312" w:eastAsia="仿宋_GB2312"/>
          <w:b/>
          <w:bCs w:val="0"/>
          <w:sz w:val="32"/>
          <w:szCs w:val="32"/>
        </w:rPr>
        <w:t>六、选定委托单位的办法</w:t>
      </w:r>
    </w:p>
    <w:p>
      <w:pPr>
        <w:pStyle w:val="6"/>
        <w:shd w:val="clear" w:color="auto" w:fill="FFFFFF"/>
        <w:spacing w:after="0" w:line="360" w:lineRule="auto"/>
        <w:ind w:firstLine="640" w:firstLineChars="200"/>
        <w:rPr>
          <w:rFonts w:hint="eastAsia" w:ascii="仿宋_GB2312" w:eastAsia="仿宋_GB2312"/>
          <w:sz w:val="32"/>
          <w:szCs w:val="32"/>
        </w:rPr>
      </w:pPr>
      <w:r>
        <w:rPr>
          <w:rFonts w:hint="eastAsia" w:ascii="仿宋_GB2312" w:eastAsia="仿宋_GB2312"/>
          <w:sz w:val="32"/>
          <w:szCs w:val="32"/>
        </w:rPr>
        <w:t>本项目不设现场报名，询价人按报价由低到高的顺序进行排序，通过资格审查的合理最低价者为第一中标候选人。</w:t>
      </w:r>
    </w:p>
    <w:p>
      <w:pPr>
        <w:pStyle w:val="6"/>
        <w:widowControl/>
        <w:shd w:val="clear" w:color="auto" w:fill="FFFFFF"/>
        <w:spacing w:after="0" w:line="360" w:lineRule="auto"/>
        <w:ind w:firstLine="642" w:firstLineChars="200"/>
        <w:rPr>
          <w:rFonts w:ascii="仿宋_GB2312" w:eastAsia="仿宋_GB2312"/>
          <w:b/>
          <w:bCs w:val="0"/>
          <w:sz w:val="32"/>
          <w:szCs w:val="32"/>
        </w:rPr>
      </w:pPr>
      <w:r>
        <w:rPr>
          <w:rFonts w:hint="eastAsia" w:ascii="仿宋_GB2312" w:eastAsia="仿宋_GB2312"/>
          <w:b/>
          <w:bCs w:val="0"/>
          <w:sz w:val="32"/>
          <w:szCs w:val="32"/>
        </w:rPr>
        <w:t>七、发包人联系人及联系方式</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联 系 人：攀枝花市生态环境局 陈柳</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联系方式：0812-3355251</w:t>
      </w:r>
    </w:p>
    <w:p>
      <w:pPr>
        <w:pStyle w:val="6"/>
        <w:widowControl/>
        <w:shd w:val="clear" w:color="auto" w:fill="FFFFFF"/>
        <w:spacing w:after="0" w:line="360" w:lineRule="auto"/>
        <w:ind w:firstLine="640" w:firstLineChars="200"/>
        <w:rPr>
          <w:rFonts w:ascii="仿宋_GB2312" w:eastAsia="仿宋_GB2312"/>
          <w:sz w:val="32"/>
          <w:szCs w:val="32"/>
        </w:rPr>
      </w:pPr>
      <w:r>
        <w:rPr>
          <w:rFonts w:hint="eastAsia" w:ascii="仿宋_GB2312" w:eastAsia="仿宋_GB2312"/>
          <w:sz w:val="32"/>
          <w:szCs w:val="32"/>
        </w:rPr>
        <w:t xml:space="preserve">邮 </w:t>
      </w:r>
      <w:r>
        <w:rPr>
          <w:rFonts w:ascii="仿宋_GB2312" w:eastAsia="仿宋_GB2312"/>
          <w:sz w:val="32"/>
          <w:szCs w:val="32"/>
        </w:rPr>
        <w:t xml:space="preserve">   </w:t>
      </w:r>
      <w:r>
        <w:rPr>
          <w:rFonts w:hint="eastAsia" w:ascii="仿宋_GB2312" w:eastAsia="仿宋_GB2312"/>
          <w:sz w:val="32"/>
          <w:szCs w:val="32"/>
        </w:rPr>
        <w:t>箱：</w:t>
      </w:r>
      <w:r>
        <w:fldChar w:fldCharType="begin"/>
      </w:r>
      <w:r>
        <w:instrText xml:space="preserve"> HYPERLINK "mailto:349935802@qq.com" </w:instrText>
      </w:r>
      <w:r>
        <w:fldChar w:fldCharType="separate"/>
      </w:r>
      <w:r>
        <w:rPr>
          <w:rFonts w:hint="eastAsia" w:ascii="仿宋_GB2312" w:eastAsia="仿宋_GB2312"/>
          <w:sz w:val="32"/>
          <w:szCs w:val="32"/>
        </w:rPr>
        <w:t>349935802@qq.com</w:t>
      </w:r>
      <w:r>
        <w:rPr>
          <w:rFonts w:hint="eastAsia" w:ascii="仿宋_GB2312" w:eastAsia="仿宋_GB2312"/>
          <w:sz w:val="32"/>
          <w:szCs w:val="32"/>
        </w:rPr>
        <w:fldChar w:fldCharType="end"/>
      </w:r>
    </w:p>
    <w:p>
      <w:pPr>
        <w:pStyle w:val="6"/>
        <w:widowControl/>
        <w:shd w:val="clear" w:color="auto" w:fill="FFFFFF"/>
        <w:spacing w:after="0" w:line="360" w:lineRule="auto"/>
        <w:ind w:firstLine="640" w:firstLineChars="200"/>
        <w:rPr>
          <w:rFonts w:ascii="仿宋_GB2312" w:eastAsia="仿宋_GB2312"/>
          <w:sz w:val="32"/>
          <w:szCs w:val="32"/>
        </w:rPr>
      </w:pPr>
    </w:p>
    <w:p>
      <w:pPr>
        <w:pStyle w:val="6"/>
        <w:widowControl/>
        <w:shd w:val="clear" w:color="auto" w:fill="FFFFFF"/>
        <w:spacing w:after="0" w:line="360" w:lineRule="auto"/>
        <w:jc w:val="right"/>
        <w:rPr>
          <w:rFonts w:ascii="仿宋_GB2312" w:eastAsia="仿宋_GB2312"/>
          <w:sz w:val="32"/>
          <w:szCs w:val="32"/>
        </w:rPr>
      </w:pPr>
      <w:r>
        <w:rPr>
          <w:rFonts w:hint="eastAsia" w:ascii="仿宋_GB2312" w:eastAsia="仿宋_GB2312"/>
          <w:sz w:val="32"/>
          <w:szCs w:val="32"/>
        </w:rPr>
        <w:t>攀枝花市生态环境局</w:t>
      </w:r>
    </w:p>
    <w:p>
      <w:pPr>
        <w:pStyle w:val="6"/>
        <w:widowControl/>
        <w:shd w:val="clear" w:color="auto" w:fill="FFFFFF"/>
        <w:spacing w:after="0" w:line="360" w:lineRule="auto"/>
        <w:jc w:val="right"/>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lang w:val="en-US" w:eastAsia="zh-CN"/>
        </w:rPr>
        <w:t>8</w:t>
      </w:r>
      <w:r>
        <w:rPr>
          <w:rFonts w:hint="eastAsia" w:ascii="仿宋_GB2312" w:eastAsia="仿宋_GB2312"/>
          <w:sz w:val="32"/>
          <w:szCs w:val="32"/>
        </w:rPr>
        <w:t>日</w:t>
      </w:r>
    </w:p>
    <w:p>
      <w:pPr>
        <w:pStyle w:val="6"/>
        <w:widowControl/>
        <w:shd w:val="clear" w:color="auto" w:fill="FFFFFF"/>
        <w:spacing w:after="0" w:line="360" w:lineRule="auto"/>
        <w:jc w:val="left"/>
        <w:rPr>
          <w:rFonts w:ascii="仿宋_GB2312" w:eastAsia="仿宋_GB2312"/>
          <w:sz w:val="32"/>
          <w:szCs w:val="32"/>
        </w:rPr>
      </w:pPr>
    </w:p>
    <w:p>
      <w:pPr>
        <w:pStyle w:val="6"/>
        <w:widowControl/>
        <w:shd w:val="clear" w:color="auto" w:fill="FFFFFF"/>
        <w:spacing w:after="0" w:line="360" w:lineRule="auto"/>
        <w:jc w:val="right"/>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pStyle w:val="6"/>
        <w:widowControl/>
        <w:shd w:val="clear" w:color="auto" w:fill="FFFFFF"/>
        <w:spacing w:after="0" w:line="360" w:lineRule="auto"/>
        <w:rPr>
          <w:rFonts w:ascii="仿宋_GB2312" w:eastAsia="仿宋_GB2312"/>
          <w:sz w:val="32"/>
          <w:szCs w:val="32"/>
        </w:rPr>
      </w:pPr>
      <w:r>
        <w:rPr>
          <w:rFonts w:hint="eastAsia" w:ascii="仿宋_GB2312" w:eastAsia="仿宋_GB2312"/>
          <w:sz w:val="32"/>
          <w:szCs w:val="32"/>
        </w:rPr>
        <w:t>附件1</w:t>
      </w:r>
    </w:p>
    <w:p>
      <w:pPr>
        <w:pStyle w:val="6"/>
        <w:widowControl/>
        <w:shd w:val="clear" w:color="auto" w:fill="FFFFFF"/>
        <w:spacing w:after="0" w:line="360" w:lineRule="auto"/>
        <w:jc w:val="center"/>
        <w:rPr>
          <w:rFonts w:ascii="仿宋_GB2312" w:eastAsia="仿宋_GB2312"/>
          <w:sz w:val="32"/>
          <w:szCs w:val="32"/>
        </w:rPr>
      </w:pPr>
      <w:r>
        <w:rPr>
          <w:rFonts w:hint="eastAsia" w:ascii="仿宋_GB2312" w:eastAsia="仿宋_GB2312"/>
          <w:sz w:val="32"/>
          <w:szCs w:val="32"/>
        </w:rPr>
        <w:t>项目报价单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2694"/>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Align w:val="center"/>
          </w:tcPr>
          <w:p>
            <w:pPr>
              <w:snapToGrid w:val="0"/>
              <w:spacing w:after="0" w:line="240" w:lineRule="auto"/>
              <w:jc w:val="center"/>
              <w:rPr>
                <w:rFonts w:ascii="仿宋" w:hAnsi="仿宋" w:eastAsia="仿宋" w:cs="仿宋"/>
                <w:kern w:val="0"/>
                <w:sz w:val="30"/>
                <w:szCs w:val="30"/>
              </w:rPr>
            </w:pPr>
            <w:r>
              <w:rPr>
                <w:rFonts w:hint="eastAsia" w:ascii="仿宋" w:hAnsi="仿宋" w:eastAsia="仿宋" w:cs="仿宋"/>
                <w:kern w:val="0"/>
                <w:sz w:val="30"/>
                <w:szCs w:val="30"/>
              </w:rPr>
              <w:t>具体事项</w:t>
            </w:r>
          </w:p>
          <w:p>
            <w:pPr>
              <w:snapToGrid w:val="0"/>
              <w:spacing w:after="0" w:line="240" w:lineRule="auto"/>
              <w:jc w:val="center"/>
              <w:rPr>
                <w:rFonts w:ascii="仿宋" w:hAnsi="仿宋" w:eastAsia="仿宋" w:cs="仿宋"/>
                <w:kern w:val="0"/>
                <w:sz w:val="30"/>
                <w:szCs w:val="30"/>
              </w:rPr>
            </w:pPr>
            <w:r>
              <w:rPr>
                <w:rFonts w:hint="eastAsia" w:ascii="仿宋" w:hAnsi="仿宋" w:eastAsia="仿宋" w:cs="仿宋"/>
                <w:kern w:val="0"/>
                <w:sz w:val="30"/>
                <w:szCs w:val="30"/>
              </w:rPr>
              <w:t>（列支与项目有关事项明细，如</w:t>
            </w:r>
            <w:r>
              <w:rPr>
                <w:rFonts w:hint="eastAsia" w:ascii="仿宋" w:hAnsi="仿宋" w:eastAsia="仿宋" w:cs="仿宋"/>
                <w:sz w:val="30"/>
                <w:szCs w:val="30"/>
              </w:rPr>
              <w:t>食宿费用、交通工具及使用费、劳务等</w:t>
            </w:r>
            <w:r>
              <w:rPr>
                <w:rFonts w:hint="eastAsia" w:ascii="仿宋" w:hAnsi="仿宋" w:eastAsia="仿宋" w:cs="仿宋"/>
                <w:kern w:val="0"/>
                <w:sz w:val="30"/>
                <w:szCs w:val="30"/>
              </w:rPr>
              <w:t>）</w:t>
            </w:r>
          </w:p>
        </w:tc>
        <w:tc>
          <w:tcPr>
            <w:tcW w:w="2694" w:type="dxa"/>
            <w:vAlign w:val="center"/>
          </w:tcPr>
          <w:p>
            <w:pPr>
              <w:snapToGrid w:val="0"/>
              <w:spacing w:after="0" w:line="240" w:lineRule="auto"/>
              <w:jc w:val="center"/>
              <w:rPr>
                <w:rFonts w:ascii="仿宋" w:hAnsi="仿宋" w:eastAsia="仿宋" w:cs="仿宋"/>
                <w:kern w:val="0"/>
                <w:sz w:val="30"/>
                <w:szCs w:val="30"/>
              </w:rPr>
            </w:pPr>
            <w:r>
              <w:rPr>
                <w:rFonts w:hint="eastAsia" w:ascii="仿宋" w:hAnsi="仿宋" w:eastAsia="仿宋" w:cs="仿宋"/>
                <w:kern w:val="0"/>
                <w:sz w:val="30"/>
                <w:szCs w:val="30"/>
              </w:rPr>
              <w:t>预算（万元）</w:t>
            </w:r>
          </w:p>
        </w:tc>
        <w:tc>
          <w:tcPr>
            <w:tcW w:w="1638" w:type="dxa"/>
            <w:vAlign w:val="center"/>
          </w:tcPr>
          <w:p>
            <w:pPr>
              <w:snapToGrid w:val="0"/>
              <w:spacing w:after="0" w:line="240" w:lineRule="auto"/>
              <w:jc w:val="center"/>
              <w:rPr>
                <w:rFonts w:ascii="仿宋" w:hAnsi="仿宋" w:eastAsia="仿宋" w:cs="仿宋"/>
                <w:kern w:val="0"/>
                <w:sz w:val="30"/>
                <w:szCs w:val="30"/>
              </w:rPr>
            </w:pPr>
            <w:r>
              <w:rPr>
                <w:rFonts w:hint="eastAsia" w:ascii="仿宋" w:hAnsi="仿宋" w:eastAsia="仿宋" w:cs="仿宋"/>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Align w:val="center"/>
          </w:tcPr>
          <w:p>
            <w:pPr>
              <w:spacing w:after="0" w:line="360" w:lineRule="auto"/>
              <w:jc w:val="center"/>
              <w:rPr>
                <w:rFonts w:eastAsia="宋体"/>
                <w:b/>
                <w:sz w:val="30"/>
                <w:szCs w:val="30"/>
              </w:rPr>
            </w:pPr>
          </w:p>
        </w:tc>
        <w:tc>
          <w:tcPr>
            <w:tcW w:w="2694" w:type="dxa"/>
            <w:vAlign w:val="center"/>
          </w:tcPr>
          <w:p>
            <w:pPr>
              <w:spacing w:after="0" w:line="360" w:lineRule="auto"/>
              <w:jc w:val="center"/>
              <w:rPr>
                <w:b/>
                <w:sz w:val="30"/>
                <w:szCs w:val="30"/>
              </w:rPr>
            </w:pPr>
          </w:p>
        </w:tc>
        <w:tc>
          <w:tcPr>
            <w:tcW w:w="1638" w:type="dxa"/>
            <w:vAlign w:val="center"/>
          </w:tcPr>
          <w:p>
            <w:pPr>
              <w:spacing w:after="0" w:line="360" w:lineRule="auto"/>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Align w:val="center"/>
          </w:tcPr>
          <w:p>
            <w:pPr>
              <w:spacing w:after="0" w:line="360" w:lineRule="auto"/>
              <w:jc w:val="center"/>
              <w:rPr>
                <w:b/>
                <w:sz w:val="30"/>
                <w:szCs w:val="30"/>
              </w:rPr>
            </w:pPr>
          </w:p>
        </w:tc>
        <w:tc>
          <w:tcPr>
            <w:tcW w:w="2694" w:type="dxa"/>
            <w:vAlign w:val="center"/>
          </w:tcPr>
          <w:p>
            <w:pPr>
              <w:spacing w:after="0" w:line="360" w:lineRule="auto"/>
              <w:jc w:val="center"/>
              <w:rPr>
                <w:b/>
                <w:sz w:val="30"/>
                <w:szCs w:val="30"/>
              </w:rPr>
            </w:pPr>
          </w:p>
        </w:tc>
        <w:tc>
          <w:tcPr>
            <w:tcW w:w="1638" w:type="dxa"/>
            <w:vAlign w:val="center"/>
          </w:tcPr>
          <w:p>
            <w:pPr>
              <w:spacing w:after="0" w:line="360" w:lineRule="auto"/>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4" w:type="dxa"/>
            <w:vAlign w:val="center"/>
          </w:tcPr>
          <w:p>
            <w:pPr>
              <w:spacing w:after="0" w:line="360" w:lineRule="auto"/>
              <w:jc w:val="center"/>
              <w:rPr>
                <w:b/>
                <w:sz w:val="30"/>
                <w:szCs w:val="30"/>
              </w:rPr>
            </w:pPr>
          </w:p>
        </w:tc>
        <w:tc>
          <w:tcPr>
            <w:tcW w:w="2694" w:type="dxa"/>
            <w:vAlign w:val="center"/>
          </w:tcPr>
          <w:p>
            <w:pPr>
              <w:spacing w:after="0" w:line="360" w:lineRule="auto"/>
              <w:jc w:val="center"/>
              <w:rPr>
                <w:b/>
                <w:sz w:val="30"/>
                <w:szCs w:val="30"/>
              </w:rPr>
            </w:pPr>
          </w:p>
        </w:tc>
        <w:tc>
          <w:tcPr>
            <w:tcW w:w="1638" w:type="dxa"/>
            <w:vAlign w:val="center"/>
          </w:tcPr>
          <w:p>
            <w:pPr>
              <w:spacing w:after="0" w:line="360" w:lineRule="auto"/>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Align w:val="center"/>
          </w:tcPr>
          <w:p>
            <w:pPr>
              <w:spacing w:after="0" w:line="360" w:lineRule="auto"/>
              <w:jc w:val="center"/>
              <w:rPr>
                <w:b/>
                <w:sz w:val="30"/>
                <w:szCs w:val="30"/>
              </w:rPr>
            </w:pPr>
            <w:r>
              <w:rPr>
                <w:rFonts w:hint="eastAsia" w:ascii="仿宋" w:hAnsi="仿宋" w:eastAsia="仿宋" w:cs="仿宋"/>
                <w:kern w:val="0"/>
                <w:sz w:val="30"/>
                <w:szCs w:val="30"/>
              </w:rPr>
              <w:t>合计</w:t>
            </w:r>
          </w:p>
        </w:tc>
        <w:tc>
          <w:tcPr>
            <w:tcW w:w="2694" w:type="dxa"/>
            <w:vAlign w:val="center"/>
          </w:tcPr>
          <w:p>
            <w:pPr>
              <w:spacing w:after="0" w:line="360" w:lineRule="auto"/>
              <w:jc w:val="center"/>
              <w:rPr>
                <w:b/>
                <w:sz w:val="30"/>
                <w:szCs w:val="30"/>
              </w:rPr>
            </w:pPr>
          </w:p>
        </w:tc>
        <w:tc>
          <w:tcPr>
            <w:tcW w:w="1638" w:type="dxa"/>
            <w:vAlign w:val="center"/>
          </w:tcPr>
          <w:p>
            <w:pPr>
              <w:spacing w:after="0" w:line="360" w:lineRule="auto"/>
              <w:jc w:val="center"/>
              <w:rPr>
                <w:b/>
                <w:sz w:val="30"/>
                <w:szCs w:val="30"/>
              </w:rPr>
            </w:pPr>
          </w:p>
        </w:tc>
      </w:tr>
    </w:tbl>
    <w:p>
      <w:pPr>
        <w:pStyle w:val="6"/>
        <w:widowControl/>
        <w:shd w:val="clear" w:color="auto" w:fill="FFFFFF"/>
        <w:spacing w:after="0" w:line="360" w:lineRule="auto"/>
        <w:rPr>
          <w:rFonts w:ascii="仿宋_GB2312" w:eastAsia="仿宋_GB2312"/>
          <w:sz w:val="32"/>
          <w:szCs w:val="32"/>
        </w:rPr>
      </w:pPr>
    </w:p>
    <w:p>
      <w:pPr>
        <w:pStyle w:val="6"/>
        <w:widowControl/>
        <w:shd w:val="clear" w:color="auto" w:fill="FFFFFF"/>
        <w:spacing w:after="0" w:line="360" w:lineRule="auto"/>
        <w:ind w:firstLine="1984" w:firstLineChars="620"/>
        <w:rPr>
          <w:rFonts w:ascii="仿宋_GB2312" w:eastAsia="仿宋_GB2312"/>
          <w:sz w:val="32"/>
          <w:szCs w:val="32"/>
        </w:rPr>
      </w:pPr>
      <w:r>
        <w:rPr>
          <w:rFonts w:hint="eastAsia" w:ascii="仿宋_GB2312" w:eastAsia="仿宋_GB2312"/>
          <w:sz w:val="32"/>
          <w:szCs w:val="32"/>
        </w:rPr>
        <w:t>联系人:</w:t>
      </w:r>
    </w:p>
    <w:p>
      <w:pPr>
        <w:pStyle w:val="6"/>
        <w:widowControl/>
        <w:shd w:val="clear" w:color="auto" w:fill="FFFFFF"/>
        <w:spacing w:after="0" w:line="360" w:lineRule="auto"/>
        <w:ind w:firstLine="1984" w:firstLineChars="620"/>
        <w:rPr>
          <w:rFonts w:ascii="仿宋_GB2312" w:eastAsia="仿宋_GB2312"/>
          <w:sz w:val="32"/>
          <w:szCs w:val="32"/>
        </w:rPr>
      </w:pPr>
      <w:r>
        <w:rPr>
          <w:rFonts w:hint="eastAsia" w:ascii="仿宋_GB2312" w:eastAsia="仿宋_GB2312"/>
          <w:sz w:val="32"/>
          <w:szCs w:val="32"/>
        </w:rPr>
        <w:t>联系电话:</w:t>
      </w:r>
    </w:p>
    <w:p>
      <w:pPr>
        <w:pStyle w:val="6"/>
        <w:widowControl/>
        <w:shd w:val="clear" w:color="auto" w:fill="FFFFFF"/>
        <w:spacing w:after="0" w:line="360" w:lineRule="auto"/>
        <w:ind w:firstLine="1984" w:firstLineChars="620"/>
        <w:rPr>
          <w:rFonts w:ascii="仿宋_GB2312" w:eastAsia="仿宋_GB2312"/>
          <w:sz w:val="32"/>
          <w:szCs w:val="32"/>
        </w:rPr>
      </w:pPr>
      <w:r>
        <w:rPr>
          <w:rFonts w:hint="eastAsia" w:ascii="仿宋_GB2312" w:eastAsia="仿宋_GB2312"/>
          <w:sz w:val="32"/>
          <w:szCs w:val="32"/>
        </w:rPr>
        <w:t>单位名称(盖章):</w:t>
      </w:r>
    </w:p>
    <w:p>
      <w:pPr>
        <w:pStyle w:val="6"/>
        <w:widowControl/>
        <w:shd w:val="clear" w:color="auto" w:fill="FFFFFF"/>
        <w:spacing w:after="0" w:line="360" w:lineRule="auto"/>
        <w:ind w:firstLine="3260" w:firstLineChars="1019"/>
        <w:jc w:val="right"/>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4</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01334A"/>
    <w:rsid w:val="0003597A"/>
    <w:rsid w:val="00036000"/>
    <w:rsid w:val="00067C1E"/>
    <w:rsid w:val="000757C1"/>
    <w:rsid w:val="00076CCF"/>
    <w:rsid w:val="000A1CDB"/>
    <w:rsid w:val="000B158A"/>
    <w:rsid w:val="000B72A8"/>
    <w:rsid w:val="000D6963"/>
    <w:rsid w:val="00103EAB"/>
    <w:rsid w:val="001447DA"/>
    <w:rsid w:val="00173B66"/>
    <w:rsid w:val="001A22AB"/>
    <w:rsid w:val="001A4E8C"/>
    <w:rsid w:val="001F6ACD"/>
    <w:rsid w:val="0020067A"/>
    <w:rsid w:val="0020420E"/>
    <w:rsid w:val="002059D0"/>
    <w:rsid w:val="00253E56"/>
    <w:rsid w:val="00282B82"/>
    <w:rsid w:val="00285EE6"/>
    <w:rsid w:val="002B1559"/>
    <w:rsid w:val="002C1F83"/>
    <w:rsid w:val="002C50B6"/>
    <w:rsid w:val="002C7CD8"/>
    <w:rsid w:val="0030220C"/>
    <w:rsid w:val="00322925"/>
    <w:rsid w:val="00330D78"/>
    <w:rsid w:val="00344412"/>
    <w:rsid w:val="0038394B"/>
    <w:rsid w:val="003B123C"/>
    <w:rsid w:val="003E1CD3"/>
    <w:rsid w:val="00424F72"/>
    <w:rsid w:val="00442B9A"/>
    <w:rsid w:val="00475627"/>
    <w:rsid w:val="004A6C46"/>
    <w:rsid w:val="004B7A15"/>
    <w:rsid w:val="004D0EBD"/>
    <w:rsid w:val="00524B48"/>
    <w:rsid w:val="005469B3"/>
    <w:rsid w:val="005A0500"/>
    <w:rsid w:val="005F54B7"/>
    <w:rsid w:val="00605C16"/>
    <w:rsid w:val="0064243D"/>
    <w:rsid w:val="006D3EF5"/>
    <w:rsid w:val="006F183C"/>
    <w:rsid w:val="00725B1C"/>
    <w:rsid w:val="0077209F"/>
    <w:rsid w:val="007D19DD"/>
    <w:rsid w:val="00816851"/>
    <w:rsid w:val="008616A5"/>
    <w:rsid w:val="00861BE1"/>
    <w:rsid w:val="00891FBB"/>
    <w:rsid w:val="008B5C52"/>
    <w:rsid w:val="008C433C"/>
    <w:rsid w:val="008C532F"/>
    <w:rsid w:val="00923BC8"/>
    <w:rsid w:val="009260CB"/>
    <w:rsid w:val="00940352"/>
    <w:rsid w:val="009602C1"/>
    <w:rsid w:val="0099215B"/>
    <w:rsid w:val="009C7820"/>
    <w:rsid w:val="00A030ED"/>
    <w:rsid w:val="00A27D9D"/>
    <w:rsid w:val="00A54489"/>
    <w:rsid w:val="00A91262"/>
    <w:rsid w:val="00AA2125"/>
    <w:rsid w:val="00B52EA2"/>
    <w:rsid w:val="00BB364B"/>
    <w:rsid w:val="00C452F8"/>
    <w:rsid w:val="00C549EF"/>
    <w:rsid w:val="00C66F0D"/>
    <w:rsid w:val="00C859EE"/>
    <w:rsid w:val="00D01FB0"/>
    <w:rsid w:val="00D0505F"/>
    <w:rsid w:val="00D41DC4"/>
    <w:rsid w:val="00D50B5F"/>
    <w:rsid w:val="00DD27D3"/>
    <w:rsid w:val="00E14DD7"/>
    <w:rsid w:val="00E22FAE"/>
    <w:rsid w:val="00E32DED"/>
    <w:rsid w:val="00E5095D"/>
    <w:rsid w:val="00E56C23"/>
    <w:rsid w:val="00E777D4"/>
    <w:rsid w:val="00E92273"/>
    <w:rsid w:val="00EE104C"/>
    <w:rsid w:val="00F905A7"/>
    <w:rsid w:val="00FC5421"/>
    <w:rsid w:val="DBAE3581"/>
    <w:rsid w:val="DFFA6C5C"/>
    <w:rsid w:val="FBB3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Theme="minorHAnsi" w:hAnsiTheme="minorHAnsi" w:eastAsiaTheme="minorEastAsia" w:cstheme="minorBidi"/>
      <w:bCs/>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Date"/>
    <w:basedOn w:val="1"/>
    <w:next w:val="1"/>
    <w:link w:val="17"/>
    <w:semiHidden/>
    <w:unhideWhenUsed/>
    <w:qFormat/>
    <w:uiPriority w:val="99"/>
    <w:pPr>
      <w:ind w:left="100" w:leftChars="2500"/>
    </w:pPr>
  </w:style>
  <w:style w:type="paragraph" w:styleId="4">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4"/>
    <w:unhideWhenUsed/>
    <w:qFormat/>
    <w:uiPriority w:val="99"/>
    <w:pPr>
      <w:tabs>
        <w:tab w:val="center" w:pos="4153"/>
        <w:tab w:val="right" w:pos="8306"/>
      </w:tabs>
      <w:snapToGrid w:val="0"/>
      <w:spacing w:line="240" w:lineRule="auto"/>
      <w:jc w:val="center"/>
    </w:pPr>
    <w:rPr>
      <w:sz w:val="18"/>
      <w:szCs w:val="18"/>
    </w:rPr>
  </w:style>
  <w:style w:type="paragraph" w:styleId="6">
    <w:name w:val="Normal (Web)"/>
    <w:basedOn w:val="1"/>
    <w:unhideWhenUsed/>
    <w:qFormat/>
    <w:uiPriority w:val="99"/>
    <w:rPr>
      <w:sz w:val="24"/>
    </w:rPr>
  </w:style>
  <w:style w:type="paragraph" w:styleId="7">
    <w:name w:val="Body Text First Indent 2"/>
    <w:basedOn w:val="2"/>
    <w:qFormat/>
    <w:uiPriority w:val="99"/>
    <w:pPr>
      <w:spacing w:line="276" w:lineRule="auto"/>
      <w:ind w:firstLine="420" w:firstLineChars="200"/>
      <w:jc w:val="left"/>
    </w:pPr>
    <w:rPr>
      <w:rFonts w:ascii="Calibri" w:hAnsi="Calibri" w:eastAsia="宋体" w:cs="Times New Roman"/>
      <w:kern w:val="0"/>
      <w:sz w:val="22"/>
      <w:lang w:eastAsia="en-U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样式1"/>
    <w:basedOn w:val="1"/>
    <w:link w:val="13"/>
    <w:qFormat/>
    <w:uiPriority w:val="0"/>
    <w:rPr>
      <w:b/>
      <w:color w:val="548235" w:themeColor="accent6" w:themeShade="BF"/>
      <w:sz w:val="28"/>
    </w:rPr>
  </w:style>
  <w:style w:type="character" w:customStyle="1" w:styleId="13">
    <w:name w:val="样式1 Char"/>
    <w:basedOn w:val="10"/>
    <w:link w:val="12"/>
    <w:qFormat/>
    <w:uiPriority w:val="0"/>
    <w:rPr>
      <w:b/>
      <w:color w:val="548235" w:themeColor="accent6" w:themeShade="BF"/>
      <w:sz w:val="28"/>
    </w:rPr>
  </w:style>
  <w:style w:type="character" w:customStyle="1" w:styleId="14">
    <w:name w:val="页眉 字符"/>
    <w:basedOn w:val="10"/>
    <w:link w:val="5"/>
    <w:qFormat/>
    <w:uiPriority w:val="99"/>
    <w:rPr>
      <w:rFonts w:asciiTheme="minorHAnsi" w:hAnsiTheme="minorHAnsi" w:eastAsiaTheme="minorEastAsia" w:cstheme="minorBidi"/>
      <w:bCs/>
      <w:kern w:val="2"/>
      <w:sz w:val="18"/>
      <w:szCs w:val="18"/>
    </w:rPr>
  </w:style>
  <w:style w:type="character" w:customStyle="1" w:styleId="15">
    <w:name w:val="页脚 字符"/>
    <w:basedOn w:val="10"/>
    <w:link w:val="4"/>
    <w:qFormat/>
    <w:uiPriority w:val="99"/>
    <w:rPr>
      <w:rFonts w:asciiTheme="minorHAnsi" w:hAnsiTheme="minorHAnsi" w:eastAsiaTheme="minorEastAsia" w:cstheme="minorBidi"/>
      <w:bCs/>
      <w:kern w:val="2"/>
      <w:sz w:val="18"/>
      <w:szCs w:val="18"/>
    </w:rPr>
  </w:style>
  <w:style w:type="character" w:customStyle="1" w:styleId="16">
    <w:name w:val="Unresolved Mention"/>
    <w:basedOn w:val="10"/>
    <w:semiHidden/>
    <w:unhideWhenUsed/>
    <w:qFormat/>
    <w:uiPriority w:val="99"/>
    <w:rPr>
      <w:color w:val="605E5C"/>
      <w:shd w:val="clear" w:color="auto" w:fill="E1DFDD"/>
    </w:rPr>
  </w:style>
  <w:style w:type="character" w:customStyle="1" w:styleId="17">
    <w:name w:val="日期 字符"/>
    <w:basedOn w:val="10"/>
    <w:link w:val="3"/>
    <w:semiHidden/>
    <w:qFormat/>
    <w:uiPriority w:val="99"/>
    <w:rPr>
      <w:rFonts w:asciiTheme="minorHAnsi" w:hAnsiTheme="minorHAnsi" w:eastAsiaTheme="minorEastAsia" w:cstheme="minorBidi"/>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4</Pages>
  <Words>206</Words>
  <Characters>1180</Characters>
  <Lines>9</Lines>
  <Paragraphs>2</Paragraphs>
  <TotalTime>0</TotalTime>
  <ScaleCrop>false</ScaleCrop>
  <LinksUpToDate>false</LinksUpToDate>
  <CharactersWithSpaces>1384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2020-05-09T06:11:00Z</dcterms:created>
  <dc:creator>User274</dc:creator>
  <cp:lastModifiedBy>user</cp:lastModifiedBy>
  <dcterms:modified xsi:type="dcterms:W3CDTF">2024-04-18T16:05:29Z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