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8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320" w:firstLine="640" w:firstLineChars="200"/>
        <w:jc w:val="righ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80" w:lineRule="exact"/>
        <w:jc w:val="center"/>
        <w:textAlignment w:val="auto"/>
        <w:rPr>
          <w:rFonts w:hint="default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攀枝花市生态环境局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80" w:lineRule="exact"/>
        <w:jc w:val="center"/>
        <w:textAlignment w:val="auto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 xml:space="preserve">关于桂森工贸新建30万吨超细粒级钛精矿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80" w:lineRule="exact"/>
        <w:jc w:val="center"/>
        <w:textAlignment w:val="auto"/>
        <w:rPr>
          <w:rFonts w:hint="default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深加工项目环境影响报告表的批复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80" w:lineRule="exact"/>
        <w:ind w:right="28"/>
        <w:jc w:val="center"/>
        <w:textAlignment w:val="auto"/>
        <w:rPr>
          <w:rFonts w:hint="default" w:eastAsia="仿宋_GB2312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right="26"/>
        <w:textAlignment w:val="auto"/>
        <w:rPr>
          <w:rFonts w:hint="default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攀枝花桂森工贸有限公司:</w:t>
      </w:r>
    </w:p>
    <w:p>
      <w:pPr>
        <w:keepNext w:val="0"/>
        <w:keepLines w:val="0"/>
        <w:pageBreakBefore w:val="0"/>
        <w:widowControl w:val="0"/>
        <w:tabs>
          <w:tab w:val="left" w:pos="546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80" w:lineRule="exact"/>
        <w:ind w:right="26"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你公司《桂森工贸新建30万吨超细粒级钛精矿深加工项目环境影响报告表》（以下简称“报告表”）收悉，经研究</w:t>
      </w:r>
      <w:r>
        <w:rPr>
          <w:rFonts w:hint="eastAsia" w:eastAsia="仿宋_GB2312"/>
          <w:sz w:val="32"/>
          <w:szCs w:val="32"/>
        </w:rPr>
        <w:t>，批复如下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Lines="0" w:afterLines="0" w:line="580" w:lineRule="exact"/>
        <w:textAlignment w:val="auto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lang w:eastAsia="zh-CN"/>
        </w:rPr>
        <w:t>一、</w:t>
      </w:r>
      <w:r>
        <w:rPr>
          <w:rFonts w:hint="eastAsia" w:eastAsia="仿宋_GB2312"/>
          <w:sz w:val="32"/>
          <w:szCs w:val="32"/>
        </w:rPr>
        <w:t>项目位于</w:t>
      </w:r>
      <w:r>
        <w:rPr>
          <w:rFonts w:hint="eastAsia" w:eastAsia="仿宋_GB2312"/>
          <w:sz w:val="32"/>
          <w:szCs w:val="32"/>
          <w:lang w:eastAsia="zh-CN"/>
        </w:rPr>
        <w:t>攀枝花东区高新技术产业园区</w:t>
      </w:r>
      <w:r>
        <w:rPr>
          <w:rFonts w:hint="eastAsia" w:eastAsia="仿宋_GB2312"/>
          <w:sz w:val="32"/>
          <w:szCs w:val="32"/>
        </w:rPr>
        <w:t>高</w:t>
      </w:r>
      <w:r>
        <w:rPr>
          <w:rFonts w:hint="eastAsia" w:eastAsia="仿宋_GB2312"/>
          <w:sz w:val="32"/>
          <w:szCs w:val="32"/>
          <w:lang w:eastAsia="zh-CN"/>
        </w:rPr>
        <w:t>梁</w:t>
      </w:r>
      <w:r>
        <w:rPr>
          <w:rFonts w:hint="eastAsia" w:eastAsia="仿宋_GB2312"/>
          <w:sz w:val="32"/>
          <w:szCs w:val="32"/>
        </w:rPr>
        <w:t>坪</w:t>
      </w:r>
      <w:r>
        <w:rPr>
          <w:rFonts w:hint="eastAsia" w:eastAsia="仿宋_GB2312"/>
          <w:sz w:val="32"/>
          <w:szCs w:val="32"/>
          <w:lang w:eastAsia="zh-CN"/>
        </w:rPr>
        <w:t>园区</w:t>
      </w:r>
      <w:r>
        <w:rPr>
          <w:rFonts w:hint="eastAsia" w:eastAsia="仿宋_GB2312"/>
          <w:sz w:val="32"/>
          <w:szCs w:val="32"/>
        </w:rPr>
        <w:t>原环达</w:t>
      </w:r>
      <w:r>
        <w:rPr>
          <w:rFonts w:hint="eastAsia" w:eastAsia="仿宋_GB2312"/>
          <w:sz w:val="32"/>
          <w:szCs w:val="32"/>
          <w:lang w:eastAsia="zh-CN"/>
        </w:rPr>
        <w:t>工贸有限公司范围内</w:t>
      </w:r>
      <w:r>
        <w:rPr>
          <w:rFonts w:hint="eastAsia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以</w:t>
      </w:r>
      <w:r>
        <w:rPr>
          <w:rFonts w:hint="eastAsia" w:eastAsia="仿宋_GB2312"/>
          <w:sz w:val="32"/>
          <w:szCs w:val="32"/>
        </w:rPr>
        <w:t>攀钢集团矿业有限公司选钛厂</w:t>
      </w:r>
      <w:r>
        <w:rPr>
          <w:rFonts w:hint="eastAsia" w:eastAsia="仿宋_GB2312"/>
          <w:sz w:val="32"/>
          <w:szCs w:val="32"/>
          <w:lang w:eastAsia="zh-CN"/>
        </w:rPr>
        <w:t>浮选钛精矿为原料，</w:t>
      </w:r>
      <w:r>
        <w:rPr>
          <w:rFonts w:hint="default" w:eastAsia="仿宋_GB2312"/>
          <w:sz w:val="32"/>
          <w:szCs w:val="32"/>
          <w:lang w:eastAsia="zh-CN"/>
        </w:rPr>
        <w:t>以</w:t>
      </w:r>
      <w:r>
        <w:rPr>
          <w:rFonts w:hint="eastAsia" w:eastAsia="仿宋_GB2312"/>
          <w:sz w:val="32"/>
          <w:szCs w:val="32"/>
        </w:rPr>
        <w:t>成型生物质颗粒为燃料，使用烘干炉对钛精矿进行直接加热干燥，</w:t>
      </w:r>
      <w:r>
        <w:rPr>
          <w:rFonts w:hint="eastAsia" w:eastAsia="仿宋_GB2312"/>
          <w:sz w:val="32"/>
          <w:szCs w:val="32"/>
          <w:lang w:eastAsia="zh-CN"/>
        </w:rPr>
        <w:t>使其含水率由</w:t>
      </w:r>
      <w:r>
        <w:rPr>
          <w:rFonts w:hint="eastAsia" w:eastAsia="仿宋_GB2312"/>
          <w:sz w:val="32"/>
          <w:szCs w:val="32"/>
          <w:lang w:val="en-US" w:eastAsia="zh-CN"/>
        </w:rPr>
        <w:t>8%降至0.5%。主要建设内容包括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：</w:t>
      </w:r>
      <w:r>
        <w:rPr>
          <w:rFonts w:hint="default" w:eastAsia="仿宋_GB2312"/>
          <w:sz w:val="32"/>
          <w:szCs w:val="32"/>
          <w:u w:val="none"/>
          <w:lang w:eastAsia="zh-CN"/>
        </w:rPr>
        <w:t>建设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生产厂房</w:t>
      </w:r>
      <w:r>
        <w:rPr>
          <w:rFonts w:hint="default" w:eastAsia="仿宋_GB2312"/>
          <w:sz w:val="32"/>
          <w:szCs w:val="32"/>
          <w:u w:val="none"/>
          <w:lang w:eastAsia="zh-CN"/>
        </w:rPr>
        <w:t>1座，内设</w:t>
      </w:r>
      <w:r>
        <w:rPr>
          <w:rFonts w:hint="eastAsia" w:eastAsia="仿宋_GB2312"/>
          <w:sz w:val="32"/>
          <w:szCs w:val="32"/>
          <w:u w:val="none"/>
        </w:rPr>
        <w:t>1套成型生物质颗粒燃烧机、1套烘干炉、1台旋风除尘器、1台高温布袋除尘器、1台碱液喷淋塔</w:t>
      </w:r>
      <w:r>
        <w:rPr>
          <w:rFonts w:hint="default" w:eastAsia="仿宋_GB2312"/>
          <w:sz w:val="32"/>
          <w:szCs w:val="32"/>
          <w:u w:val="none"/>
        </w:rPr>
        <w:t>，</w:t>
      </w:r>
      <w:r>
        <w:rPr>
          <w:rFonts w:hint="default" w:eastAsia="仿宋_GB2312"/>
          <w:sz w:val="32"/>
          <w:szCs w:val="32"/>
          <w:highlight w:val="none"/>
          <w:u w:val="none"/>
        </w:rPr>
        <w:t>以及</w:t>
      </w:r>
      <w:r>
        <w:rPr>
          <w:rFonts w:hint="eastAsia" w:eastAsia="仿宋_GB2312"/>
          <w:sz w:val="32"/>
          <w:szCs w:val="32"/>
          <w:highlight w:val="none"/>
          <w:u w:val="none"/>
        </w:rPr>
        <w:t>运输皮带</w:t>
      </w:r>
      <w:r>
        <w:rPr>
          <w:rFonts w:hint="eastAsia" w:eastAsia="仿宋_GB2312"/>
          <w:sz w:val="32"/>
          <w:szCs w:val="32"/>
          <w:u w:val="none"/>
        </w:rPr>
        <w:t>、密闭螺杆输送机</w:t>
      </w:r>
      <w:r>
        <w:rPr>
          <w:rFonts w:hint="eastAsia" w:eastAsia="仿宋_GB2312"/>
          <w:sz w:val="32"/>
          <w:szCs w:val="32"/>
          <w:u w:val="none"/>
          <w:lang w:eastAsia="zh-CN"/>
        </w:rPr>
        <w:t>等设备</w:t>
      </w:r>
      <w:r>
        <w:rPr>
          <w:rFonts w:hint="default" w:eastAsia="仿宋_GB2312"/>
          <w:sz w:val="32"/>
          <w:szCs w:val="32"/>
          <w:u w:val="none"/>
          <w:lang w:eastAsia="zh-CN"/>
        </w:rPr>
        <w:t>；设置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原料仓1个（</w:t>
      </w:r>
      <w:r>
        <w:rPr>
          <w:rFonts w:hint="eastAsia" w:eastAsia="仿宋_GB2312"/>
          <w:sz w:val="32"/>
          <w:szCs w:val="32"/>
          <w:u w:val="none"/>
        </w:rPr>
        <w:t>1500m</w:t>
      </w:r>
      <w:r>
        <w:rPr>
          <w:rFonts w:hint="eastAsia" w:eastAsia="仿宋_GB2312"/>
          <w:sz w:val="32"/>
          <w:szCs w:val="32"/>
          <w:u w:val="none"/>
          <w:vertAlign w:val="superscript"/>
        </w:rPr>
        <w:t>3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），成品筒仓1个（</w:t>
      </w:r>
      <w:r>
        <w:rPr>
          <w:rFonts w:hint="eastAsia" w:eastAsia="仿宋_GB2312"/>
          <w:sz w:val="32"/>
          <w:szCs w:val="32"/>
          <w:u w:val="none"/>
        </w:rPr>
        <w:t>500m</w:t>
      </w:r>
      <w:r>
        <w:rPr>
          <w:rFonts w:hint="eastAsia" w:eastAsia="仿宋_GB2312"/>
          <w:sz w:val="32"/>
          <w:szCs w:val="32"/>
          <w:u w:val="none"/>
          <w:vertAlign w:val="superscript"/>
        </w:rPr>
        <w:t>3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），</w:t>
      </w:r>
      <w:r>
        <w:rPr>
          <w:rFonts w:hint="eastAsia" w:eastAsia="仿宋_GB2312"/>
          <w:sz w:val="32"/>
          <w:szCs w:val="32"/>
          <w:u w:val="none"/>
        </w:rPr>
        <w:t>配套</w:t>
      </w:r>
      <w:r>
        <w:rPr>
          <w:rFonts w:hint="default" w:eastAsia="仿宋_GB2312"/>
          <w:sz w:val="32"/>
          <w:szCs w:val="32"/>
          <w:u w:val="none"/>
        </w:rPr>
        <w:t>建设公辅工程、环保工程、办公及生活设施等</w:t>
      </w:r>
      <w:r>
        <w:rPr>
          <w:rFonts w:hint="default" w:eastAsia="仿宋_GB2312"/>
          <w:sz w:val="32"/>
          <w:szCs w:val="32"/>
          <w:u w:val="none"/>
          <w:lang w:eastAsia="zh-CN"/>
        </w:rPr>
        <w:t>。</w:t>
      </w:r>
      <w:r>
        <w:rPr>
          <w:rFonts w:hint="eastAsia" w:eastAsia="仿宋_GB2312"/>
          <w:sz w:val="32"/>
          <w:szCs w:val="32"/>
          <w:u w:val="none"/>
        </w:rPr>
        <w:t>项目建成后，</w:t>
      </w:r>
      <w:r>
        <w:rPr>
          <w:rFonts w:hint="eastAsia" w:eastAsia="仿宋_GB2312"/>
          <w:sz w:val="32"/>
          <w:szCs w:val="32"/>
          <w:u w:val="none"/>
          <w:lang w:eastAsia="zh-CN"/>
        </w:rPr>
        <w:t>年加工超细粒级钛精矿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30万吨，年产含水率0.5%的钛精矿27.71万吨。</w:t>
      </w:r>
      <w:r>
        <w:rPr>
          <w:rFonts w:hint="eastAsia" w:eastAsia="仿宋_GB2312"/>
          <w:sz w:val="32"/>
          <w:szCs w:val="32"/>
          <w:lang w:val="en-US" w:eastAsia="zh-CN"/>
        </w:rPr>
        <w:t>项</w:t>
      </w:r>
      <w:r>
        <w:rPr>
          <w:rFonts w:hint="eastAsia" w:eastAsia="仿宋_GB2312"/>
          <w:sz w:val="32"/>
          <w:szCs w:val="32"/>
        </w:rPr>
        <w:t>目总投资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50</w:t>
      </w:r>
      <w:r>
        <w:rPr>
          <w:rFonts w:hint="default"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万元，其中环保投资</w:t>
      </w:r>
      <w:r>
        <w:rPr>
          <w:rFonts w:hint="eastAsia" w:eastAsia="仿宋_GB2312"/>
          <w:sz w:val="32"/>
          <w:szCs w:val="32"/>
          <w:lang w:val="en-US" w:eastAsia="zh-CN"/>
        </w:rPr>
        <w:t>73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</w:t>
      </w:r>
      <w:r>
        <w:rPr>
          <w:rFonts w:hint="eastAsia" w:eastAsia="仿宋_GB2312"/>
          <w:kern w:val="0"/>
          <w:sz w:val="32"/>
          <w:szCs w:val="32"/>
          <w:lang w:eastAsia="zh-CN"/>
        </w:rPr>
        <w:t>成都星晟智信生态环境咨询服务有限公司</w:t>
      </w:r>
      <w:r>
        <w:rPr>
          <w:rStyle w:val="18"/>
          <w:rFonts w:hint="eastAsia" w:eastAsia="仿宋_GB2312"/>
          <w:kern w:val="0"/>
          <w:sz w:val="32"/>
          <w:szCs w:val="24"/>
        </w:rPr>
        <w:t>受你公司委托对该项目开展环境影响评价，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编制项目环境影响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eastAsia="zh-CN" w:bidi="ar-SA"/>
        </w:rPr>
        <w:t>报告</w:t>
      </w:r>
      <w:r>
        <w:rPr>
          <w:rFonts w:hint="default" w:eastAsia="仿宋_GB2312" w:cs="Times New Roman"/>
          <w:snapToGrid w:val="0"/>
          <w:kern w:val="0"/>
          <w:sz w:val="32"/>
          <w:szCs w:val="32"/>
          <w:lang w:eastAsia="zh-CN" w:bidi="ar-SA"/>
        </w:rPr>
        <w:t>表</w:t>
      </w: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eastAsia="仿宋_GB2312"/>
          <w:sz w:val="32"/>
          <w:szCs w:val="32"/>
        </w:rPr>
        <w:t>“报告表”认为项目符合国家产业政策，选址符合园区规划及规划环评要求。在严格落实“报告表”提出的环保对策及措施，严格执行“三同时”制度，确保项目污染物达标排放，认真落实环境风险防范措施的前提下，该项目的建设从环保角度可行，我局原则同意“报告表”的环境影响评价总体结论和拟采取的各项生态环境保护措施。你公司应严格按照“报告表”中所列项目性质、规模、工艺、地点和拟采取的环境保护措施进行建设和运行，以确保对环境的不利影响能够得到缓解和控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三、项目建设应做好以下工作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firstLine="640" w:firstLineChars="200"/>
        <w:textAlignment w:val="auto"/>
        <w:rPr>
          <w:rFonts w:hint="default" w:eastAsia="仿宋_GB2312"/>
          <w:color w:val="auto"/>
          <w:spacing w:val="2"/>
          <w:kern w:val="0"/>
          <w:sz w:val="32"/>
          <w:szCs w:val="32"/>
          <w:u w:val="none"/>
        </w:rPr>
      </w:pPr>
      <w:r>
        <w:rPr>
          <w:rFonts w:hint="eastAsia" w:eastAsia="仿宋_GB2312"/>
          <w:color w:val="auto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加强施工期环境管理，</w:t>
      </w:r>
      <w:r>
        <w:rPr>
          <w:rFonts w:hint="default" w:ascii="Times New Roman" w:hAnsi="Times New Roman" w:eastAsia="仿宋_GB2312"/>
          <w:sz w:val="32"/>
          <w:szCs w:val="32"/>
          <w:u w:val="none"/>
        </w:rPr>
        <w:t>严格落实施工期各项污染控制措施</w:t>
      </w:r>
      <w:r>
        <w:rPr>
          <w:rFonts w:eastAsia="仿宋_GB2312" w:cs="Times New Roman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u w:val="none"/>
          <w:lang w:eastAsia="zh-CN"/>
        </w:rPr>
        <w:t>减轻或消除施工期废水、废渣、噪声、扬尘等对周围环境的影响。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eastAsia="仿宋_GB2312"/>
          <w:kern w:val="2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（二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严格</w:t>
      </w:r>
      <w:r>
        <w:rPr>
          <w:rFonts w:eastAsia="仿宋_GB2312"/>
          <w:kern w:val="0"/>
          <w:sz w:val="32"/>
          <w:szCs w:val="32"/>
        </w:rPr>
        <w:t>落实</w:t>
      </w:r>
      <w:r>
        <w:rPr>
          <w:rFonts w:hint="default" w:eastAsia="仿宋_GB2312"/>
          <w:kern w:val="0"/>
          <w:sz w:val="32"/>
          <w:szCs w:val="32"/>
          <w:lang w:eastAsia="zh-CN"/>
        </w:rPr>
        <w:t>运营期</w:t>
      </w:r>
      <w:r>
        <w:rPr>
          <w:rFonts w:eastAsia="仿宋_GB2312"/>
          <w:kern w:val="0"/>
          <w:sz w:val="32"/>
          <w:szCs w:val="32"/>
        </w:rPr>
        <w:t>各项大气污染防</w:t>
      </w:r>
      <w:r>
        <w:rPr>
          <w:rFonts w:eastAsia="仿宋_GB2312"/>
          <w:kern w:val="0"/>
          <w:sz w:val="32"/>
          <w:szCs w:val="32"/>
          <w:u w:val="none"/>
        </w:rPr>
        <w:t>治措施。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烘干</w:t>
      </w:r>
      <w:r>
        <w:rPr>
          <w:rFonts w:hint="default" w:eastAsia="仿宋_GB2312"/>
          <w:kern w:val="0"/>
          <w:sz w:val="32"/>
          <w:szCs w:val="32"/>
          <w:u w:val="none"/>
          <w:lang w:eastAsia="zh-CN"/>
        </w:rPr>
        <w:t>废气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经</w:t>
      </w:r>
      <w:r>
        <w:rPr>
          <w:rFonts w:hint="eastAsia" w:eastAsia="仿宋_GB2312"/>
          <w:kern w:val="0"/>
          <w:sz w:val="32"/>
          <w:szCs w:val="32"/>
          <w:u w:val="none"/>
        </w:rPr>
        <w:t>“旋风除尘器+高温布袋除尘器+碱液喷淋塔+两级活性炭吸附装置”处理后，</w:t>
      </w:r>
      <w:r>
        <w:rPr>
          <w:rFonts w:hint="default" w:eastAsia="仿宋_GB2312"/>
          <w:kern w:val="0"/>
          <w:sz w:val="32"/>
          <w:szCs w:val="32"/>
          <w:u w:val="none"/>
        </w:rPr>
        <w:t>通过</w:t>
      </w:r>
      <w:r>
        <w:rPr>
          <w:rFonts w:hint="eastAsia" w:eastAsia="仿宋_GB2312"/>
          <w:kern w:val="0"/>
          <w:sz w:val="32"/>
          <w:szCs w:val="32"/>
          <w:u w:val="none"/>
        </w:rPr>
        <w:t>15m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高</w:t>
      </w:r>
      <w:r>
        <w:rPr>
          <w:rFonts w:hint="eastAsia" w:eastAsia="仿宋_GB2312"/>
          <w:kern w:val="0"/>
          <w:sz w:val="32"/>
          <w:szCs w:val="32"/>
          <w:u w:val="none"/>
        </w:rPr>
        <w:t>排气筒（DA001）排放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；</w:t>
      </w:r>
      <w:r>
        <w:rPr>
          <w:rFonts w:hint="eastAsia" w:eastAsia="仿宋_GB2312"/>
          <w:kern w:val="0"/>
          <w:sz w:val="32"/>
          <w:szCs w:val="32"/>
          <w:u w:val="none"/>
        </w:rPr>
        <w:t>烘干炉进料、打包粉尘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经</w:t>
      </w:r>
      <w:r>
        <w:rPr>
          <w:rFonts w:hint="default" w:eastAsia="仿宋_GB2312"/>
          <w:kern w:val="0"/>
          <w:sz w:val="32"/>
          <w:szCs w:val="32"/>
          <w:u w:val="none"/>
          <w:lang w:eastAsia="zh-CN"/>
        </w:rPr>
        <w:t>“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收集</w:t>
      </w:r>
      <w:r>
        <w:rPr>
          <w:rFonts w:hint="default" w:eastAsia="仿宋_GB2312"/>
          <w:kern w:val="0"/>
          <w:sz w:val="32"/>
          <w:szCs w:val="32"/>
          <w:u w:val="none"/>
          <w:lang w:eastAsia="zh-CN"/>
        </w:rPr>
        <w:t>+</w:t>
      </w:r>
      <w:r>
        <w:rPr>
          <w:rFonts w:hint="eastAsia" w:eastAsia="仿宋_GB2312"/>
          <w:kern w:val="0"/>
          <w:sz w:val="32"/>
          <w:szCs w:val="32"/>
          <w:u w:val="none"/>
        </w:rPr>
        <w:t>布袋除尘器</w:t>
      </w:r>
      <w:r>
        <w:rPr>
          <w:rFonts w:hint="default" w:eastAsia="仿宋_GB2312"/>
          <w:kern w:val="0"/>
          <w:sz w:val="32"/>
          <w:szCs w:val="32"/>
          <w:u w:val="none"/>
          <w:lang w:eastAsia="zh-CN"/>
        </w:rPr>
        <w:t>”处理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后，通过</w:t>
      </w:r>
      <w:r>
        <w:rPr>
          <w:rFonts w:hint="eastAsia" w:eastAsia="仿宋_GB2312"/>
          <w:kern w:val="0"/>
          <w:sz w:val="32"/>
          <w:szCs w:val="32"/>
          <w:u w:val="none"/>
        </w:rPr>
        <w:t>15m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高</w:t>
      </w:r>
      <w:r>
        <w:rPr>
          <w:rFonts w:hint="eastAsia" w:eastAsia="仿宋_GB2312"/>
          <w:kern w:val="0"/>
          <w:sz w:val="32"/>
          <w:szCs w:val="32"/>
          <w:u w:val="none"/>
        </w:rPr>
        <w:t>排气筒（DA00</w:t>
      </w:r>
      <w:r>
        <w:rPr>
          <w:rFonts w:hint="default" w:eastAsia="仿宋_GB2312"/>
          <w:kern w:val="0"/>
          <w:sz w:val="32"/>
          <w:szCs w:val="32"/>
          <w:u w:val="none"/>
        </w:rPr>
        <w:t>2</w:t>
      </w:r>
      <w:r>
        <w:rPr>
          <w:rFonts w:hint="eastAsia" w:eastAsia="仿宋_GB2312"/>
          <w:kern w:val="0"/>
          <w:sz w:val="32"/>
          <w:szCs w:val="32"/>
          <w:u w:val="none"/>
        </w:rPr>
        <w:t>）排放</w:t>
      </w:r>
      <w:r>
        <w:rPr>
          <w:rFonts w:hint="default" w:eastAsia="仿宋_GB2312"/>
          <w:kern w:val="0"/>
          <w:sz w:val="32"/>
          <w:szCs w:val="32"/>
          <w:u w:val="none"/>
        </w:rPr>
        <w:t>；成品筒仓粉尘</w:t>
      </w:r>
      <w:r>
        <w:rPr>
          <w:rFonts w:hint="eastAsia" w:eastAsia="仿宋_GB2312"/>
          <w:kern w:val="0"/>
          <w:sz w:val="32"/>
          <w:szCs w:val="32"/>
          <w:u w:val="none"/>
        </w:rPr>
        <w:t>经仓顶袋式除尘器处理后</w:t>
      </w:r>
      <w:r>
        <w:rPr>
          <w:rFonts w:hint="default" w:eastAsia="仿宋_GB2312"/>
          <w:kern w:val="0"/>
          <w:sz w:val="32"/>
          <w:szCs w:val="32"/>
          <w:u w:val="none"/>
        </w:rPr>
        <w:t>，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通过</w:t>
      </w:r>
      <w:r>
        <w:rPr>
          <w:rFonts w:hint="eastAsia" w:eastAsia="仿宋_GB2312"/>
          <w:kern w:val="0"/>
          <w:sz w:val="32"/>
          <w:szCs w:val="32"/>
          <w:u w:val="none"/>
        </w:rPr>
        <w:t>15m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高</w:t>
      </w:r>
      <w:r>
        <w:rPr>
          <w:rFonts w:hint="eastAsia" w:eastAsia="仿宋_GB2312"/>
          <w:kern w:val="0"/>
          <w:sz w:val="32"/>
          <w:szCs w:val="32"/>
          <w:u w:val="none"/>
        </w:rPr>
        <w:t>排气筒（DA00</w:t>
      </w:r>
      <w:r>
        <w:rPr>
          <w:rFonts w:hint="default" w:eastAsia="仿宋_GB2312"/>
          <w:kern w:val="0"/>
          <w:sz w:val="32"/>
          <w:szCs w:val="32"/>
          <w:u w:val="none"/>
        </w:rPr>
        <w:t>2</w:t>
      </w:r>
      <w:r>
        <w:rPr>
          <w:rFonts w:hint="eastAsia" w:eastAsia="仿宋_GB2312"/>
          <w:kern w:val="0"/>
          <w:sz w:val="32"/>
          <w:szCs w:val="32"/>
          <w:u w:val="none"/>
        </w:rPr>
        <w:t>）排放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。通过封闭厂房、设置喷雾降尘、密闭运输皮带等方式控制无组织废气排放</w:t>
      </w:r>
      <w:r>
        <w:rPr>
          <w:rFonts w:hint="default" w:eastAsia="仿宋_GB2312"/>
          <w:kern w:val="0"/>
          <w:sz w:val="32"/>
          <w:szCs w:val="32"/>
          <w:u w:val="none"/>
          <w:lang w:eastAsia="zh-CN"/>
        </w:rPr>
        <w:t>；采取厂区道路硬化、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定期清扫洒水等措施控制道路扬尘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。</w:t>
      </w:r>
      <w:r>
        <w:rPr>
          <w:rFonts w:hint="eastAsia" w:eastAsia="仿宋_GB2312"/>
          <w:kern w:val="2"/>
          <w:sz w:val="32"/>
          <w:szCs w:val="32"/>
          <w:u w:val="none"/>
        </w:rPr>
        <w:t>严</w:t>
      </w:r>
      <w:r>
        <w:rPr>
          <w:rFonts w:hint="eastAsia" w:eastAsia="仿宋_GB2312"/>
          <w:kern w:val="2"/>
          <w:sz w:val="32"/>
          <w:szCs w:val="32"/>
        </w:rPr>
        <w:t>格落实全市货运脏车整治要求，密闭运输物料、设置车辆冲洗区，建立车辆清洗台账、安装厂区出入口监控设施，做到脏车不出厂。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eastAsia="仿宋_GB2312"/>
          <w:spacing w:val="2"/>
          <w:kern w:val="0"/>
          <w:sz w:val="32"/>
          <w:szCs w:val="32"/>
        </w:rPr>
        <w:t>严格</w:t>
      </w:r>
      <w:r>
        <w:rPr>
          <w:rFonts w:hint="eastAsia" w:eastAsia="仿宋_GB2312"/>
          <w:sz w:val="32"/>
          <w:szCs w:val="32"/>
        </w:rPr>
        <w:t>落实运营期各项水污染防治措施。项目区域实行“雨污分流</w:t>
      </w:r>
      <w:r>
        <w:rPr>
          <w:rFonts w:hint="default" w:eastAsia="仿宋_GB2312"/>
          <w:sz w:val="32"/>
          <w:szCs w:val="32"/>
          <w:u w:val="none"/>
        </w:rPr>
        <w:t>、清污分流</w:t>
      </w:r>
      <w:r>
        <w:rPr>
          <w:rFonts w:hint="eastAsia" w:eastAsia="仿宋_GB2312"/>
          <w:sz w:val="32"/>
          <w:szCs w:val="32"/>
          <w:u w:val="none"/>
        </w:rPr>
        <w:t>”，初期雨水</w:t>
      </w:r>
      <w:r>
        <w:rPr>
          <w:rFonts w:hint="eastAsia" w:eastAsia="仿宋_GB2312"/>
          <w:sz w:val="32"/>
          <w:szCs w:val="32"/>
          <w:u w:val="none"/>
          <w:lang w:eastAsia="zh-CN"/>
        </w:rPr>
        <w:t>经</w:t>
      </w:r>
      <w:r>
        <w:rPr>
          <w:rFonts w:hint="default" w:eastAsia="仿宋_GB2312"/>
          <w:sz w:val="32"/>
          <w:szCs w:val="32"/>
          <w:u w:val="none"/>
          <w:lang w:eastAsia="zh-CN"/>
        </w:rPr>
        <w:t>初期雨水池</w:t>
      </w:r>
      <w:r>
        <w:rPr>
          <w:rFonts w:hint="eastAsia" w:eastAsia="仿宋_GB2312"/>
          <w:sz w:val="32"/>
          <w:szCs w:val="32"/>
          <w:u w:val="none"/>
          <w:lang w:eastAsia="zh-CN"/>
        </w:rPr>
        <w:t>收集</w:t>
      </w:r>
      <w:r>
        <w:rPr>
          <w:rFonts w:hint="default" w:eastAsia="仿宋_GB2312"/>
          <w:sz w:val="32"/>
          <w:szCs w:val="32"/>
          <w:u w:val="none"/>
          <w:lang w:eastAsia="zh-CN"/>
        </w:rPr>
        <w:t>、</w:t>
      </w:r>
      <w:r>
        <w:rPr>
          <w:rFonts w:hint="eastAsia" w:eastAsia="仿宋_GB2312"/>
          <w:sz w:val="32"/>
          <w:szCs w:val="32"/>
          <w:highlight w:val="none"/>
          <w:u w:val="none"/>
          <w:lang w:eastAsia="zh-CN"/>
        </w:rPr>
        <w:t>沉淀</w:t>
      </w:r>
      <w:r>
        <w:rPr>
          <w:rFonts w:hint="default" w:eastAsia="仿宋_GB2312"/>
          <w:sz w:val="32"/>
          <w:szCs w:val="32"/>
          <w:highlight w:val="none"/>
          <w:u w:val="none"/>
          <w:lang w:eastAsia="zh-CN"/>
        </w:rPr>
        <w:t>处理</w:t>
      </w:r>
      <w:r>
        <w:rPr>
          <w:rFonts w:hint="eastAsia" w:eastAsia="仿宋_GB2312"/>
          <w:sz w:val="32"/>
          <w:szCs w:val="32"/>
          <w:u w:val="none"/>
          <w:lang w:eastAsia="zh-CN"/>
        </w:rPr>
        <w:t>后用于厂区控尘</w:t>
      </w:r>
      <w:r>
        <w:rPr>
          <w:rFonts w:hint="eastAsia" w:eastAsia="仿宋_GB2312"/>
          <w:sz w:val="32"/>
          <w:szCs w:val="32"/>
          <w:u w:val="none"/>
        </w:rPr>
        <w:t>；碱液喷淋塔废水</w:t>
      </w:r>
      <w:r>
        <w:rPr>
          <w:rFonts w:hint="default" w:eastAsia="仿宋_GB2312"/>
          <w:sz w:val="32"/>
          <w:szCs w:val="32"/>
          <w:u w:val="none"/>
        </w:rPr>
        <w:t>经</w:t>
      </w:r>
      <w:r>
        <w:rPr>
          <w:rFonts w:hint="eastAsia" w:eastAsia="仿宋_GB2312"/>
          <w:sz w:val="32"/>
          <w:szCs w:val="32"/>
          <w:u w:val="none"/>
          <w:lang w:eastAsia="zh-CN"/>
        </w:rPr>
        <w:t>收集沉淀</w:t>
      </w:r>
      <w:r>
        <w:rPr>
          <w:rFonts w:hint="default" w:eastAsia="仿宋_GB2312"/>
          <w:sz w:val="32"/>
          <w:szCs w:val="32"/>
          <w:u w:val="none"/>
          <w:lang w:eastAsia="zh-CN"/>
        </w:rPr>
        <w:t>处理</w:t>
      </w:r>
      <w:r>
        <w:rPr>
          <w:rFonts w:hint="eastAsia" w:eastAsia="仿宋_GB2312"/>
          <w:sz w:val="32"/>
          <w:szCs w:val="32"/>
          <w:u w:val="none"/>
          <w:lang w:eastAsia="zh-CN"/>
        </w:rPr>
        <w:t>后</w:t>
      </w:r>
      <w:r>
        <w:rPr>
          <w:rFonts w:hint="eastAsia" w:eastAsia="仿宋_GB2312"/>
          <w:sz w:val="32"/>
          <w:szCs w:val="32"/>
          <w:lang w:eastAsia="zh-CN"/>
        </w:rPr>
        <w:t>循环利用；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</w:rPr>
        <w:t>车辆冲洗废水</w:t>
      </w:r>
      <w:r>
        <w:rPr>
          <w:rFonts w:hint="eastAsia" w:eastAsia="仿宋_GB2312"/>
          <w:sz w:val="32"/>
          <w:szCs w:val="32"/>
          <w:lang w:eastAsia="zh-CN"/>
        </w:rPr>
        <w:t>经</w:t>
      </w:r>
      <w:r>
        <w:rPr>
          <w:rFonts w:hint="eastAsia" w:eastAsia="仿宋_GB2312"/>
          <w:sz w:val="32"/>
          <w:szCs w:val="32"/>
        </w:rPr>
        <w:t>车辆冲洗废水池</w:t>
      </w:r>
      <w:r>
        <w:rPr>
          <w:rFonts w:hint="eastAsia" w:eastAsia="仿宋_GB2312"/>
          <w:sz w:val="32"/>
          <w:szCs w:val="32"/>
          <w:lang w:eastAsia="zh-CN"/>
        </w:rPr>
        <w:t>收集沉淀后循环利用；</w:t>
      </w:r>
      <w:r>
        <w:rPr>
          <w:rFonts w:hint="eastAsia" w:eastAsia="仿宋_GB2312"/>
          <w:sz w:val="32"/>
          <w:szCs w:val="32"/>
        </w:rPr>
        <w:t>生活污</w:t>
      </w:r>
      <w:r>
        <w:rPr>
          <w:rFonts w:hint="eastAsia" w:eastAsia="仿宋_GB2312"/>
          <w:color w:val="auto"/>
          <w:sz w:val="32"/>
          <w:szCs w:val="32"/>
        </w:rPr>
        <w:t>水</w:t>
      </w:r>
      <w:r>
        <w:rPr>
          <w:rFonts w:hint="eastAsia" w:eastAsia="仿宋_GB2312"/>
          <w:color w:val="auto"/>
          <w:sz w:val="32"/>
          <w:szCs w:val="32"/>
          <w:lang w:eastAsia="zh-CN"/>
        </w:rPr>
        <w:t>经“</w:t>
      </w:r>
      <w:r>
        <w:rPr>
          <w:rFonts w:hint="eastAsia" w:eastAsia="仿宋_GB2312"/>
          <w:color w:val="auto"/>
          <w:sz w:val="32"/>
          <w:szCs w:val="32"/>
        </w:rPr>
        <w:t>化粪池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+</w:t>
      </w:r>
      <w:r>
        <w:rPr>
          <w:rFonts w:hint="eastAsia" w:eastAsia="仿宋_GB2312"/>
          <w:color w:val="auto"/>
          <w:sz w:val="32"/>
          <w:szCs w:val="32"/>
        </w:rPr>
        <w:t>一体化生化处理装置</w:t>
      </w:r>
      <w:r>
        <w:rPr>
          <w:rFonts w:hint="eastAsia" w:eastAsia="仿宋_GB2312"/>
          <w:color w:val="auto"/>
          <w:sz w:val="32"/>
          <w:szCs w:val="32"/>
          <w:lang w:eastAsia="zh-CN"/>
        </w:rPr>
        <w:t>”处理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后，用于厂区绿化。严格落实危废暂存间的重点防渗措施，防止</w:t>
      </w:r>
      <w:r>
        <w:rPr>
          <w:rFonts w:hint="eastAsia" w:eastAsia="仿宋_GB2312"/>
          <w:color w:val="auto"/>
          <w:sz w:val="32"/>
          <w:szCs w:val="32"/>
          <w:lang w:eastAsia="zh-CN"/>
        </w:rPr>
        <w:t>污染地下水和土壤环境。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eastAsia" w:eastAsia="仿宋_GB2312"/>
          <w:lang w:eastAsia="zh-CN"/>
        </w:rPr>
      </w:pPr>
      <w:r>
        <w:rPr>
          <w:rFonts w:eastAsia="仿宋_GB2312"/>
          <w:kern w:val="0"/>
          <w:sz w:val="32"/>
          <w:szCs w:val="32"/>
        </w:rPr>
        <w:t>（四）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严格落实</w:t>
      </w:r>
      <w:r>
        <w:rPr>
          <w:rFonts w:hint="default" w:eastAsia="仿宋_GB2312"/>
          <w:kern w:val="0"/>
          <w:sz w:val="32"/>
          <w:szCs w:val="32"/>
          <w:lang w:eastAsia="zh-CN"/>
        </w:rPr>
        <w:t>运营期各项</w:t>
      </w:r>
      <w:r>
        <w:rPr>
          <w:rFonts w:eastAsia="仿宋_GB2312"/>
          <w:kern w:val="0"/>
          <w:sz w:val="32"/>
          <w:szCs w:val="32"/>
        </w:rPr>
        <w:t>固废处置措施。</w:t>
      </w:r>
      <w:r>
        <w:rPr>
          <w:rFonts w:hint="eastAsia" w:eastAsia="仿宋_GB2312"/>
          <w:kern w:val="0"/>
          <w:sz w:val="32"/>
          <w:szCs w:val="32"/>
          <w:lang w:eastAsia="zh-CN"/>
        </w:rPr>
        <w:t>项目烘干工序、成品筒仓收尘灰经收集后作为成品出售；原料进料、成品打包收尘灰经收集后作为原料使用；废包装材料收集后外售废品回收站；灰渣、辆冲洗废水收集池、喷淋水收集池、初期雨水池池底污泥经收集后，交砖厂综合利用；餐厨垃圾、隔油池油脂经收集后，交专门处理餐厨垃圾的单位处置。废</w:t>
      </w:r>
      <w:r>
        <w:rPr>
          <w:rFonts w:hint="default" w:eastAsia="仿宋_GB2312"/>
          <w:sz w:val="32"/>
          <w:szCs w:val="32"/>
        </w:rPr>
        <w:t>润滑</w:t>
      </w:r>
      <w:r>
        <w:rPr>
          <w:rFonts w:hint="eastAsia" w:eastAsia="仿宋_GB2312"/>
          <w:sz w:val="32"/>
          <w:szCs w:val="32"/>
        </w:rPr>
        <w:t>油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废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油桶、</w:t>
      </w:r>
      <w:r>
        <w:rPr>
          <w:rFonts w:hint="eastAsia" w:eastAsia="仿宋_GB2312"/>
          <w:kern w:val="0"/>
          <w:sz w:val="32"/>
          <w:szCs w:val="32"/>
          <w:lang w:eastAsia="zh-CN"/>
        </w:rPr>
        <w:t>废活性炭、含油抹布及手套经</w:t>
      </w:r>
      <w:r>
        <w:rPr>
          <w:rFonts w:hint="default" w:eastAsia="仿宋_GB2312"/>
          <w:kern w:val="0"/>
          <w:sz w:val="32"/>
          <w:szCs w:val="32"/>
          <w:lang w:eastAsia="zh-CN"/>
        </w:rPr>
        <w:t>收集后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分</w:t>
      </w:r>
      <w:r>
        <w:rPr>
          <w:rFonts w:hint="default" w:eastAsia="仿宋_GB2312"/>
          <w:kern w:val="0"/>
          <w:sz w:val="32"/>
          <w:szCs w:val="32"/>
          <w:lang w:eastAsia="zh-CN"/>
        </w:rPr>
        <w:t>类</w:t>
      </w:r>
      <w:r>
        <w:rPr>
          <w:rFonts w:hint="default" w:eastAsia="仿宋_GB2312"/>
          <w:sz w:val="32"/>
          <w:szCs w:val="32"/>
          <w:lang w:eastAsia="zh-CN"/>
        </w:rPr>
        <w:t>暂存于</w:t>
      </w:r>
      <w:r>
        <w:rPr>
          <w:rFonts w:hint="eastAsia" w:eastAsia="仿宋_GB2312"/>
          <w:sz w:val="32"/>
          <w:szCs w:val="32"/>
        </w:rPr>
        <w:t>危废暂存间，定期交</w:t>
      </w:r>
      <w:r>
        <w:rPr>
          <w:rFonts w:hint="default" w:eastAsia="仿宋_GB2312"/>
          <w:sz w:val="32"/>
          <w:szCs w:val="32"/>
        </w:rPr>
        <w:t>有相应</w:t>
      </w:r>
      <w:r>
        <w:rPr>
          <w:rFonts w:hint="eastAsia" w:eastAsia="仿宋_GB2312"/>
          <w:sz w:val="32"/>
          <w:szCs w:val="32"/>
        </w:rPr>
        <w:t>资质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单位处置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6"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  <w:u w:val="none"/>
        </w:rPr>
      </w:pPr>
      <w:r>
        <w:rPr>
          <w:rFonts w:eastAsia="仿宋_GB2312"/>
          <w:sz w:val="32"/>
          <w:szCs w:val="32"/>
        </w:rPr>
        <w:t>（五）</w:t>
      </w:r>
      <w:r>
        <w:rPr>
          <w:rFonts w:hint="eastAsia" w:eastAsia="仿宋_GB2312"/>
          <w:sz w:val="32"/>
          <w:szCs w:val="32"/>
          <w:lang w:eastAsia="zh-CN"/>
        </w:rPr>
        <w:t>严格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落实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运营期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各项噪声污染防治措施。</w:t>
      </w:r>
      <w:r>
        <w:rPr>
          <w:rFonts w:ascii="Times New Roman" w:hAnsi="Times New Roman" w:eastAsia="仿宋_GB2312"/>
          <w:kern w:val="0"/>
          <w:sz w:val="32"/>
          <w:szCs w:val="32"/>
        </w:rPr>
        <w:t>通过选用低噪声设备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、</w:t>
      </w:r>
      <w:r>
        <w:rPr>
          <w:rFonts w:hint="default" w:eastAsia="仿宋_GB2312"/>
          <w:kern w:val="0"/>
          <w:sz w:val="32"/>
          <w:szCs w:val="32"/>
          <w:lang w:eastAsia="zh-CN"/>
        </w:rPr>
        <w:t>墙体隔</w:t>
      </w:r>
      <w:r>
        <w:rPr>
          <w:rFonts w:hint="default" w:eastAsia="仿宋_GB2312"/>
          <w:kern w:val="0"/>
          <w:sz w:val="32"/>
          <w:szCs w:val="32"/>
          <w:u w:val="none"/>
          <w:lang w:eastAsia="zh-CN"/>
        </w:rPr>
        <w:t>声、</w:t>
      </w:r>
      <w:r>
        <w:rPr>
          <w:rFonts w:hint="default" w:eastAsia="仿宋_GB2312"/>
          <w:kern w:val="0"/>
          <w:sz w:val="32"/>
          <w:szCs w:val="32"/>
          <w:u w:val="none"/>
        </w:rPr>
        <w:t>基础减振、柔性减振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等措施</w:t>
      </w:r>
      <w:r>
        <w:rPr>
          <w:rFonts w:hint="eastAsia" w:ascii="Times New Roman" w:hAnsi="Times New Roman" w:eastAsia="仿宋_GB2312"/>
          <w:kern w:val="0"/>
          <w:sz w:val="32"/>
          <w:szCs w:val="32"/>
          <w:u w:val="none"/>
        </w:rPr>
        <w:t>降低噪声对周围环境的影响</w:t>
      </w:r>
      <w:r>
        <w:rPr>
          <w:rFonts w:ascii="Times New Roman" w:hAnsi="Times New Roman" w:eastAsia="仿宋_GB2312"/>
          <w:kern w:val="0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right="26" w:firstLine="640" w:firstLineChars="200"/>
        <w:textAlignment w:val="auto"/>
        <w:rPr>
          <w:rFonts w:hint="default" w:eastAsia="仿宋_GB2312"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eastAsia="zh-CN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hint="eastAsia" w:eastAsia="仿宋_GB2312"/>
          <w:kern w:val="0"/>
          <w:sz w:val="32"/>
          <w:szCs w:val="32"/>
        </w:rPr>
        <w:t>高度重视环境风险防范工作。严格落实“报告表”提出的各项风险防范措施，保证出现事故能得到及时、有效处理，强化环境风险管理工作，确保环境安全。</w:t>
      </w:r>
      <w:r>
        <w:rPr>
          <w:rFonts w:hint="eastAsia" w:eastAsia="仿宋_GB2312"/>
          <w:kern w:val="0"/>
          <w:sz w:val="32"/>
          <w:szCs w:val="32"/>
          <w:lang w:eastAsia="zh-CN"/>
        </w:rPr>
        <w:t>严格规范排污口建设，</w:t>
      </w:r>
      <w:r>
        <w:rPr>
          <w:rFonts w:hint="eastAsia" w:eastAsia="仿宋_GB2312"/>
          <w:kern w:val="0"/>
          <w:sz w:val="32"/>
          <w:szCs w:val="32"/>
        </w:rPr>
        <w:t>落实环境监测计划，建立健全环境管理机制和环保规章制度，落实岗位环保责任制，加强污染治理设施的日常运行及维护管理，提升环境保护管理水平，确保污染物稳定达标排放。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right="26"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eastAsia="zh-CN"/>
        </w:rPr>
        <w:t>七</w:t>
      </w:r>
      <w:r>
        <w:rPr>
          <w:rFonts w:hint="eastAsia" w:eastAsia="仿宋_GB2312"/>
          <w:kern w:val="0"/>
          <w:sz w:val="32"/>
          <w:szCs w:val="32"/>
        </w:rPr>
        <w:t>）加强公众参与。项目在建设及运行管理中，应根据公众的反映，进一步加强与公众沟通，以适当、稳妥、有效的方式，切实做好宣传、解释、维稳工作，及时解决公众提出的合理环境诉求，避免因公众参与工作落实不到位、相关环保措施不落实，导致环境纠纷和社会稳定问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right="26" w:firstLine="640" w:firstLineChars="200"/>
        <w:textAlignment w:val="auto"/>
        <w:rPr>
          <w:rFonts w:hint="default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eastAsia="zh-CN"/>
        </w:rPr>
        <w:t>八</w:t>
      </w:r>
      <w:r>
        <w:rPr>
          <w:rFonts w:hint="eastAsia" w:eastAsia="仿宋_GB2312"/>
          <w:kern w:val="0"/>
          <w:sz w:val="32"/>
          <w:szCs w:val="32"/>
        </w:rPr>
        <w:t>）其他应注意的事项按国家相关法律法规和“报告表”</w:t>
      </w:r>
      <w:r>
        <w:rPr>
          <w:rFonts w:hint="eastAsia" w:eastAsia="仿宋_GB2312"/>
          <w:kern w:val="0"/>
          <w:sz w:val="32"/>
          <w:szCs w:val="32"/>
          <w:lang w:eastAsia="zh-CN"/>
        </w:rPr>
        <w:t>提出的相关要求</w:t>
      </w:r>
      <w:r>
        <w:rPr>
          <w:rFonts w:hint="eastAsia" w:eastAsia="仿宋_GB2312"/>
          <w:kern w:val="0"/>
          <w:sz w:val="32"/>
          <w:szCs w:val="32"/>
        </w:rPr>
        <w:t>落实。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eastAsia="zh-CN"/>
        </w:rPr>
        <w:t>四、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报告表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预测本</w:t>
      </w:r>
      <w:r>
        <w:rPr>
          <w:rFonts w:hint="eastAsia" w:eastAsia="仿宋_GB2312"/>
          <w:kern w:val="0"/>
          <w:sz w:val="32"/>
          <w:szCs w:val="32"/>
        </w:rPr>
        <w:t>项目实施后</w:t>
      </w:r>
      <w:r>
        <w:rPr>
          <w:rFonts w:hint="eastAsia" w:eastAsia="仿宋_GB2312"/>
          <w:kern w:val="0"/>
          <w:sz w:val="32"/>
          <w:szCs w:val="32"/>
          <w:lang w:eastAsia="zh-CN"/>
        </w:rPr>
        <w:t>，</w:t>
      </w:r>
      <w:r>
        <w:rPr>
          <w:rFonts w:eastAsia="仿宋_GB2312"/>
          <w:color w:val="auto"/>
          <w:kern w:val="0"/>
          <w:sz w:val="32"/>
          <w:szCs w:val="32"/>
        </w:rPr>
        <w:t>污染物排放量为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SO</w:t>
      </w:r>
      <w:r>
        <w:rPr>
          <w:rFonts w:hint="eastAsia" w:eastAsia="仿宋_GB2312"/>
          <w:kern w:val="0"/>
          <w:sz w:val="32"/>
          <w:szCs w:val="32"/>
          <w:vertAlign w:val="subscript"/>
          <w:lang w:val="en-US" w:eastAsia="zh-CN"/>
        </w:rPr>
        <w:t xml:space="preserve">2 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0.143</w:t>
      </w:r>
      <w:r>
        <w:rPr>
          <w:rFonts w:hint="default" w:eastAsia="仿宋_GB2312"/>
          <w:kern w:val="0"/>
          <w:sz w:val="32"/>
          <w:szCs w:val="32"/>
          <w:u w:val="none"/>
        </w:rPr>
        <w:t>t/a</w:t>
      </w:r>
      <w:r>
        <w:rPr>
          <w:rFonts w:hint="eastAsia" w:eastAsia="仿宋_GB2312"/>
          <w:kern w:val="0"/>
          <w:sz w:val="32"/>
          <w:szCs w:val="32"/>
          <w:u w:val="none"/>
        </w:rPr>
        <w:t>，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NO</w:t>
      </w:r>
      <w:r>
        <w:rPr>
          <w:rFonts w:hint="eastAsia" w:eastAsia="仿宋_GB2312"/>
          <w:kern w:val="0"/>
          <w:sz w:val="32"/>
          <w:szCs w:val="32"/>
          <w:u w:val="none"/>
          <w:vertAlign w:val="subscript"/>
          <w:lang w:val="en-US" w:eastAsia="zh-CN"/>
        </w:rPr>
        <w:t>X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3.06</w:t>
      </w:r>
      <w:r>
        <w:rPr>
          <w:rFonts w:hint="default" w:eastAsia="仿宋_GB2312"/>
          <w:kern w:val="0"/>
          <w:sz w:val="32"/>
          <w:szCs w:val="32"/>
          <w:u w:val="none"/>
        </w:rPr>
        <w:t>t/a</w:t>
      </w:r>
      <w:r>
        <w:rPr>
          <w:rFonts w:hint="eastAsia" w:eastAsia="仿宋_GB2312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VOCs0.638</w:t>
      </w:r>
      <w:r>
        <w:rPr>
          <w:rFonts w:hint="default" w:eastAsia="仿宋_GB2312"/>
          <w:kern w:val="0"/>
          <w:sz w:val="32"/>
          <w:szCs w:val="32"/>
          <w:u w:val="none"/>
        </w:rPr>
        <w:t>t/a</w:t>
      </w:r>
      <w:r>
        <w:rPr>
          <w:rFonts w:hint="eastAsia" w:eastAsia="仿宋_GB2312"/>
          <w:kern w:val="0"/>
          <w:sz w:val="32"/>
          <w:szCs w:val="32"/>
        </w:rPr>
        <w:t>。</w:t>
      </w:r>
      <w:r>
        <w:rPr>
          <w:rFonts w:hint="eastAsia" w:eastAsia="仿宋_GB2312"/>
          <w:color w:val="auto"/>
          <w:kern w:val="0"/>
          <w:sz w:val="32"/>
          <w:szCs w:val="32"/>
          <w:lang w:eastAsia="zh-CN"/>
        </w:rPr>
        <w:t>你公司</w:t>
      </w:r>
      <w:r>
        <w:rPr>
          <w:rFonts w:eastAsia="仿宋_GB2312"/>
          <w:snapToGrid w:val="0"/>
          <w:color w:val="auto"/>
          <w:sz w:val="32"/>
          <w:szCs w:val="32"/>
        </w:rPr>
        <w:t>在生产运营过程中必须</w:t>
      </w:r>
      <w:r>
        <w:rPr>
          <w:rFonts w:eastAsia="仿宋_GB2312"/>
          <w:color w:val="auto"/>
          <w:sz w:val="32"/>
          <w:szCs w:val="32"/>
        </w:rPr>
        <w:t>严格落实总量</w:t>
      </w:r>
      <w:r>
        <w:rPr>
          <w:rFonts w:hint="eastAsia" w:eastAsia="仿宋_GB2312"/>
          <w:color w:val="auto"/>
          <w:sz w:val="32"/>
          <w:szCs w:val="32"/>
          <w:lang w:eastAsia="zh-CN"/>
        </w:rPr>
        <w:t>控制</w:t>
      </w:r>
      <w:r>
        <w:rPr>
          <w:rFonts w:eastAsia="仿宋_GB2312"/>
          <w:color w:val="auto"/>
          <w:sz w:val="32"/>
          <w:szCs w:val="32"/>
        </w:rPr>
        <w:t>要求。</w:t>
      </w:r>
    </w:p>
    <w:p>
      <w:pPr>
        <w:spacing w:line="560" w:lineRule="exact"/>
        <w:ind w:firstLine="640" w:firstLineChars="200"/>
        <w:rPr>
          <w:rFonts w:hint="default" w:eastAsia="仿宋_GB2312"/>
          <w:snapToGrid w:val="0"/>
          <w:kern w:val="0"/>
          <w:sz w:val="32"/>
          <w:szCs w:val="32"/>
        </w:rPr>
      </w:pPr>
      <w:r>
        <w:rPr>
          <w:rFonts w:hint="eastAsia" w:hAnsi="Calibri" w:eastAsia="仿宋_GB2312"/>
          <w:sz w:val="32"/>
          <w:szCs w:val="32"/>
        </w:rPr>
        <w:t>五、项目必须严格执行环保“三同时”制度和排污许可制度，竣工后必须按规定程序开展竣工环境保护验收，并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在调试排污前</w:t>
      </w:r>
      <w:r>
        <w:rPr>
          <w:rFonts w:hint="eastAsia" w:eastAsia="仿宋_GB2312"/>
          <w:snapToGrid w:val="0"/>
          <w:kern w:val="0"/>
          <w:sz w:val="32"/>
          <w:szCs w:val="32"/>
        </w:rPr>
        <w:t>申领排污许可证</w:t>
      </w:r>
      <w:r>
        <w:rPr>
          <w:rFonts w:eastAsia="仿宋_GB2312"/>
          <w:sz w:val="32"/>
          <w:szCs w:val="32"/>
        </w:rPr>
        <w:t>，不得无证排污和不按证排污。项目竣工后，必须按规定程序开展竣工环境保护验收，验收合格后方可投入使用。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六、项目环境影响评价文件经批准后，</w:t>
      </w:r>
      <w:r>
        <w:rPr>
          <w:rFonts w:hint="eastAsia" w:eastAsia="仿宋_GB2312"/>
          <w:snapToGrid w:val="0"/>
          <w:kern w:val="0"/>
          <w:sz w:val="32"/>
          <w:szCs w:val="32"/>
        </w:rPr>
        <w:t>如项目的性质、规模、地点、采用的生产工艺或者防治污染、防止生态破坏的措施发生重大变动的，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snapToGrid w:val="0"/>
          <w:kern w:val="0"/>
          <w:sz w:val="32"/>
          <w:szCs w:val="32"/>
        </w:rPr>
        <w:t>建设单位应当重新报批环境影响评价文件，否则不得实施。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 w:bidi="ar-SA"/>
        </w:rPr>
        <w:t>自环评批复文件批准之日起，如项目超过5年方决定建设的，其环境影响评价文件应当报我局重新审核。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right="26" w:firstLine="640" w:firstLineChars="200"/>
        <w:textAlignment w:val="auto"/>
        <w:rPr>
          <w:rFonts w:hint="default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七、请市生态环境保护综合行政执法支队</w:t>
      </w:r>
      <w:r>
        <w:rPr>
          <w:rFonts w:hint="eastAsia" w:eastAsia="仿宋_GB2312"/>
          <w:i w:val="0"/>
          <w:iCs w:val="0"/>
          <w:kern w:val="0"/>
          <w:sz w:val="32"/>
          <w:szCs w:val="32"/>
          <w:u w:val="none"/>
        </w:rPr>
        <w:t>和</w:t>
      </w:r>
      <w:r>
        <w:rPr>
          <w:rFonts w:hint="default" w:eastAsia="仿宋_GB2312"/>
          <w:i w:val="0"/>
          <w:iCs w:val="0"/>
          <w:kern w:val="0"/>
          <w:sz w:val="32"/>
          <w:szCs w:val="32"/>
          <w:u w:val="none"/>
        </w:rPr>
        <w:t>攀枝花市</w:t>
      </w:r>
      <w:r>
        <w:rPr>
          <w:rFonts w:hint="eastAsia" w:eastAsia="仿宋_GB2312"/>
          <w:i w:val="0"/>
          <w:iCs w:val="0"/>
          <w:kern w:val="0"/>
          <w:sz w:val="32"/>
          <w:szCs w:val="32"/>
          <w:u w:val="none"/>
          <w:lang w:eastAsia="zh-CN"/>
        </w:rPr>
        <w:t>东区</w:t>
      </w:r>
      <w:r>
        <w:rPr>
          <w:rFonts w:hint="eastAsia" w:eastAsia="仿宋_GB2312"/>
          <w:i w:val="0"/>
          <w:iCs w:val="0"/>
          <w:kern w:val="0"/>
          <w:sz w:val="32"/>
          <w:szCs w:val="32"/>
          <w:u w:val="none"/>
        </w:rPr>
        <w:t>生态环境局负责开展该项目的 “三同时”监督检</w:t>
      </w:r>
      <w:r>
        <w:rPr>
          <w:rFonts w:hint="eastAsia" w:eastAsia="仿宋_GB2312"/>
          <w:kern w:val="0"/>
          <w:sz w:val="32"/>
          <w:szCs w:val="32"/>
        </w:rPr>
        <w:t>查和日常监督管理工作。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Lines="0" w:afterLines="0" w:line="560" w:lineRule="exact"/>
        <w:ind w:right="26" w:firstLine="640" w:firstLineChars="200"/>
        <w:textAlignment w:val="auto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你</w:t>
      </w:r>
      <w:r>
        <w:rPr>
          <w:rFonts w:hint="eastAsia" w:eastAsia="仿宋_GB2312"/>
          <w:kern w:val="0"/>
          <w:sz w:val="32"/>
          <w:szCs w:val="32"/>
          <w:lang w:eastAsia="zh-CN"/>
        </w:rPr>
        <w:t>公司</w:t>
      </w:r>
      <w:r>
        <w:rPr>
          <w:rFonts w:hint="eastAsia" w:eastAsia="仿宋_GB2312"/>
          <w:kern w:val="0"/>
          <w:sz w:val="32"/>
          <w:szCs w:val="32"/>
        </w:rPr>
        <w:t>应在收到本批复15个工作日内将批复后的“报告表”送</w:t>
      </w:r>
      <w:r>
        <w:rPr>
          <w:rFonts w:hint="eastAsia" w:eastAsia="仿宋_GB2312"/>
          <w:kern w:val="0"/>
          <w:sz w:val="32"/>
          <w:szCs w:val="32"/>
          <w:u w:val="none"/>
        </w:rPr>
        <w:t>达</w:t>
      </w:r>
      <w:r>
        <w:rPr>
          <w:rFonts w:hint="default" w:eastAsia="仿宋_GB2312"/>
          <w:kern w:val="0"/>
          <w:sz w:val="32"/>
          <w:szCs w:val="32"/>
          <w:u w:val="none"/>
        </w:rPr>
        <w:t>攀枝花市东区</w:t>
      </w:r>
      <w:r>
        <w:rPr>
          <w:rFonts w:hint="eastAsia" w:eastAsia="仿宋_GB2312"/>
          <w:kern w:val="0"/>
          <w:sz w:val="32"/>
          <w:szCs w:val="32"/>
        </w:rPr>
        <w:t>生态环境局备案，并接受各级生态环境主管部门的监管。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jc w:val="left"/>
        <w:textAlignment w:val="auto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640" w:firstLineChars="200"/>
        <w:jc w:val="left"/>
        <w:textAlignment w:val="auto"/>
        <w:rPr>
          <w:rFonts w:hint="default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4480" w:firstLineChars="1400"/>
        <w:jc w:val="left"/>
        <w:textAlignment w:val="auto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攀枝花市生态环境局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Lines="0" w:afterLines="0" w:line="560" w:lineRule="exact"/>
        <w:ind w:firstLine="4800" w:firstLineChars="1500"/>
        <w:jc w:val="left"/>
        <w:textAlignment w:val="auto"/>
        <w:rPr>
          <w:rFonts w:hint="default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hint="eastAsia" w:eastAsia="仿宋_GB2312"/>
          <w:sz w:val="32"/>
          <w:szCs w:val="32"/>
          <w:u w:val="none"/>
        </w:rPr>
        <w:t>月</w:t>
      </w:r>
      <w:r>
        <w:rPr>
          <w:rFonts w:hint="default" w:eastAsia="仿宋_GB2312"/>
          <w:sz w:val="32"/>
          <w:szCs w:val="32"/>
          <w:u w:val="none"/>
          <w:lang w:eastAsia="zh-CN"/>
        </w:rPr>
        <w:t>22</w:t>
      </w:r>
      <w:r>
        <w:rPr>
          <w:rFonts w:hint="eastAsia" w:eastAsia="仿宋_GB2312"/>
          <w:sz w:val="32"/>
          <w:szCs w:val="32"/>
        </w:rPr>
        <w:t>日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hint="eastAsia" w:ascii="宋体" w:hAnsi="宋体" w:eastAsia="宋体" w:cs="宋体"/>
        <w:sz w:val="24"/>
        <w:szCs w:val="24"/>
      </w:rPr>
    </w:pPr>
    <w:r>
      <w:rPr>
        <w:rFonts w:hint="eastAsia" w:ascii="宋体" w:hAnsi="宋体" w:eastAsia="宋体" w:cs="宋体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5" name="文本框 1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LNJWO7QAAAABQEAAA8AAAAAAAAAAQAgAAAAOAAAAGRycy9kb3ducmV2LnhtbFBLAQIU&#10;ABQAAAAIAIdO4kAUGrY5HgIAAC0EAAAOAAAAAAAAAAEAIAAAADU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B7575B"/>
    <w:multiLevelType w:val="singleLevel"/>
    <w:tmpl w:val="E5B7575B"/>
    <w:lvl w:ilvl="0" w:tentative="0">
      <w:start w:val="1"/>
      <w:numFmt w:val="bullet"/>
      <w:pStyle w:val="4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lNjJmNTk3ZmEzZTkyNjRmNWNlMjkyZmQzNzJlYzgifQ=="/>
  </w:docVars>
  <w:rsids>
    <w:rsidRoot w:val="00172A27"/>
    <w:rsid w:val="041C78AC"/>
    <w:rsid w:val="12FD69C8"/>
    <w:rsid w:val="16D6B62E"/>
    <w:rsid w:val="19FA6524"/>
    <w:rsid w:val="1FBE4419"/>
    <w:rsid w:val="1FD90FBB"/>
    <w:rsid w:val="271E94D7"/>
    <w:rsid w:val="2EDF4B07"/>
    <w:rsid w:val="2FAF6DED"/>
    <w:rsid w:val="35B5B804"/>
    <w:rsid w:val="36FE7AEB"/>
    <w:rsid w:val="3AB7A2C0"/>
    <w:rsid w:val="3B9EC2DF"/>
    <w:rsid w:val="3B9F2D3E"/>
    <w:rsid w:val="3CDD40D0"/>
    <w:rsid w:val="3DDD5300"/>
    <w:rsid w:val="3E37AEF0"/>
    <w:rsid w:val="3F32873C"/>
    <w:rsid w:val="3F7A3E9D"/>
    <w:rsid w:val="3FB7584F"/>
    <w:rsid w:val="3FDCD00F"/>
    <w:rsid w:val="3FFBDDCE"/>
    <w:rsid w:val="41FF51B9"/>
    <w:rsid w:val="43FB5185"/>
    <w:rsid w:val="4D59B0C4"/>
    <w:rsid w:val="4F7F183D"/>
    <w:rsid w:val="55D7A1E9"/>
    <w:rsid w:val="56CB5680"/>
    <w:rsid w:val="5AF10865"/>
    <w:rsid w:val="5BDAC211"/>
    <w:rsid w:val="5BFEEB96"/>
    <w:rsid w:val="5DFECF44"/>
    <w:rsid w:val="5F6F89C2"/>
    <w:rsid w:val="5FEF31FC"/>
    <w:rsid w:val="5FEF335F"/>
    <w:rsid w:val="5FF62853"/>
    <w:rsid w:val="687471AE"/>
    <w:rsid w:val="6ADD31AF"/>
    <w:rsid w:val="6BECFDC0"/>
    <w:rsid w:val="6DFF8C50"/>
    <w:rsid w:val="6E2FBD0F"/>
    <w:rsid w:val="6EB97257"/>
    <w:rsid w:val="6F5DB170"/>
    <w:rsid w:val="6FCFC907"/>
    <w:rsid w:val="6FE7C4FB"/>
    <w:rsid w:val="6FFE295C"/>
    <w:rsid w:val="71DF1F6B"/>
    <w:rsid w:val="71FE8217"/>
    <w:rsid w:val="73FB1D29"/>
    <w:rsid w:val="74FD1409"/>
    <w:rsid w:val="75E546D3"/>
    <w:rsid w:val="76FB9ECC"/>
    <w:rsid w:val="76FFA98F"/>
    <w:rsid w:val="77D77BA5"/>
    <w:rsid w:val="77FEA619"/>
    <w:rsid w:val="77FEB14B"/>
    <w:rsid w:val="796FD993"/>
    <w:rsid w:val="797A0929"/>
    <w:rsid w:val="79BFF37A"/>
    <w:rsid w:val="79E49C5F"/>
    <w:rsid w:val="79FBEFE4"/>
    <w:rsid w:val="7ABF0959"/>
    <w:rsid w:val="7AFFF902"/>
    <w:rsid w:val="7B3C1287"/>
    <w:rsid w:val="7BBF75F3"/>
    <w:rsid w:val="7BF3307F"/>
    <w:rsid w:val="7BFB5D5B"/>
    <w:rsid w:val="7BFBD3D6"/>
    <w:rsid w:val="7DCF18DC"/>
    <w:rsid w:val="7DFD7FB6"/>
    <w:rsid w:val="7DFF0818"/>
    <w:rsid w:val="7DFF3632"/>
    <w:rsid w:val="7E51A0FD"/>
    <w:rsid w:val="7EDD31AA"/>
    <w:rsid w:val="7FFF6ED9"/>
    <w:rsid w:val="9E7D17A8"/>
    <w:rsid w:val="9F6E2A93"/>
    <w:rsid w:val="A1FF9E51"/>
    <w:rsid w:val="A3FD2B5D"/>
    <w:rsid w:val="A7ED3BD7"/>
    <w:rsid w:val="AABE334D"/>
    <w:rsid w:val="AEF2E632"/>
    <w:rsid w:val="B5EE55DD"/>
    <w:rsid w:val="B71ECDDE"/>
    <w:rsid w:val="B7F64B64"/>
    <w:rsid w:val="BBBB526F"/>
    <w:rsid w:val="BBFFA2C5"/>
    <w:rsid w:val="BCDE5DE0"/>
    <w:rsid w:val="BD9C4A4E"/>
    <w:rsid w:val="BDFF1989"/>
    <w:rsid w:val="BE5DE44B"/>
    <w:rsid w:val="BECF6C6D"/>
    <w:rsid w:val="BEFA3231"/>
    <w:rsid w:val="BF3338AD"/>
    <w:rsid w:val="BF9C2AC0"/>
    <w:rsid w:val="BFFBDCF7"/>
    <w:rsid w:val="BFFF5823"/>
    <w:rsid w:val="C38C4EE7"/>
    <w:rsid w:val="CF5FB9CD"/>
    <w:rsid w:val="D767E8A6"/>
    <w:rsid w:val="D7C71675"/>
    <w:rsid w:val="DB3F5136"/>
    <w:rsid w:val="DBD7CC2D"/>
    <w:rsid w:val="DBE55A2D"/>
    <w:rsid w:val="DBFDDC69"/>
    <w:rsid w:val="DC5F244B"/>
    <w:rsid w:val="DE97E877"/>
    <w:rsid w:val="DEBBA8C9"/>
    <w:rsid w:val="DEFCC09E"/>
    <w:rsid w:val="DFAA26FA"/>
    <w:rsid w:val="DFF71A13"/>
    <w:rsid w:val="DFFC4B0D"/>
    <w:rsid w:val="DFFD4C78"/>
    <w:rsid w:val="DFFEC0AD"/>
    <w:rsid w:val="E5E8616E"/>
    <w:rsid w:val="E764229C"/>
    <w:rsid w:val="E7FBD086"/>
    <w:rsid w:val="EEBF9D88"/>
    <w:rsid w:val="EEDE1D0A"/>
    <w:rsid w:val="EEE6F42A"/>
    <w:rsid w:val="EF673982"/>
    <w:rsid w:val="EF7712D3"/>
    <w:rsid w:val="EF97BEAA"/>
    <w:rsid w:val="EFFE38B2"/>
    <w:rsid w:val="EFFECD67"/>
    <w:rsid w:val="F3378C62"/>
    <w:rsid w:val="F3F6DD50"/>
    <w:rsid w:val="F6F3D1BF"/>
    <w:rsid w:val="F7870A79"/>
    <w:rsid w:val="F797D1FB"/>
    <w:rsid w:val="F7BF84EE"/>
    <w:rsid w:val="F7BFB9F6"/>
    <w:rsid w:val="F7F32454"/>
    <w:rsid w:val="F9DC4DB7"/>
    <w:rsid w:val="FAEF9991"/>
    <w:rsid w:val="FC5E0706"/>
    <w:rsid w:val="FCBDE5E2"/>
    <w:rsid w:val="FDC56AB5"/>
    <w:rsid w:val="FDEDA84B"/>
    <w:rsid w:val="FE5FD523"/>
    <w:rsid w:val="FE65BA54"/>
    <w:rsid w:val="FEB6C282"/>
    <w:rsid w:val="FEBF7725"/>
    <w:rsid w:val="FECFCA4E"/>
    <w:rsid w:val="FF3B5D22"/>
    <w:rsid w:val="FF5AEFC1"/>
    <w:rsid w:val="FF66A666"/>
    <w:rsid w:val="FF7B8181"/>
    <w:rsid w:val="FF94BE56"/>
    <w:rsid w:val="FFB6E541"/>
    <w:rsid w:val="FFCF03BA"/>
    <w:rsid w:val="FFD778FE"/>
    <w:rsid w:val="FFEB1A70"/>
    <w:rsid w:val="FFF5D71B"/>
    <w:rsid w:val="FFFACEA0"/>
    <w:rsid w:val="FFFE44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qFormat="1" w:unhideWhenUsed="0" w:uiPriority="0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widowControl w:val="0"/>
      <w:spacing w:beforeLines="0" w:afterLines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widowControl w:val="0"/>
      <w:adjustRightInd w:val="0"/>
      <w:snapToGrid/>
      <w:spacing w:before="0" w:after="120" w:line="240" w:lineRule="auto"/>
      <w:ind w:right="0" w:firstLine="100" w:firstLineChars="100"/>
    </w:pPr>
    <w:rPr>
      <w:kern w:val="2"/>
      <w:sz w:val="21"/>
      <w:szCs w:val="24"/>
    </w:rPr>
  </w:style>
  <w:style w:type="paragraph" w:styleId="3">
    <w:name w:val="Body Text"/>
    <w:basedOn w:val="1"/>
    <w:next w:val="4"/>
    <w:qFormat/>
    <w:uiPriority w:val="0"/>
    <w:rPr>
      <w:sz w:val="32"/>
    </w:rPr>
  </w:style>
  <w:style w:type="paragraph" w:styleId="4">
    <w:name w:val="List Bullet 5"/>
    <w:basedOn w:val="1"/>
    <w:next w:val="1"/>
    <w:qFormat/>
    <w:uiPriority w:val="0"/>
    <w:pPr>
      <w:numPr>
        <w:ilvl w:val="0"/>
        <w:numId w:val="1"/>
      </w:numPr>
    </w:pPr>
  </w:style>
  <w:style w:type="paragraph" w:styleId="5">
    <w:name w:val="annotation text"/>
    <w:basedOn w:val="1"/>
    <w:unhideWhenUsed/>
    <w:qFormat/>
    <w:uiPriority w:val="0"/>
    <w:pPr>
      <w:spacing w:beforeLines="0" w:afterLines="0"/>
      <w:jc w:val="left"/>
    </w:pPr>
    <w:rPr>
      <w:rFonts w:hint="default"/>
      <w:sz w:val="21"/>
      <w:szCs w:val="24"/>
    </w:rPr>
  </w:style>
  <w:style w:type="paragraph" w:styleId="6">
    <w:name w:val="Plain Text"/>
    <w:basedOn w:val="1"/>
    <w:next w:val="7"/>
    <w:qFormat/>
    <w:uiPriority w:val="0"/>
    <w:rPr>
      <w:rFonts w:ascii="宋体"/>
    </w:rPr>
  </w:style>
  <w:style w:type="paragraph" w:customStyle="1" w:styleId="7">
    <w:name w:val="Default"/>
    <w:basedOn w:val="8"/>
    <w:next w:val="9"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8">
    <w:name w:val="纯文本1"/>
    <w:qFormat/>
    <w:uiPriority w:val="0"/>
    <w:pPr>
      <w:widowControl w:val="0"/>
      <w:adjustRightInd w:val="0"/>
      <w:spacing w:line="360" w:lineRule="auto"/>
      <w:ind w:firstLine="465"/>
      <w:jc w:val="both"/>
    </w:pPr>
    <w:rPr>
      <w:rFonts w:ascii="宋体" w:hAnsi="Times New Roman" w:eastAsia="宋体" w:cs="Times New Roman"/>
      <w:kern w:val="2"/>
      <w:sz w:val="24"/>
      <w:szCs w:val="20"/>
      <w:lang w:val="en-US" w:eastAsia="zh-CN" w:bidi="ar-SA"/>
    </w:rPr>
  </w:style>
  <w:style w:type="paragraph" w:customStyle="1" w:styleId="9">
    <w:name w:val="样式1"/>
    <w:basedOn w:val="10"/>
    <w:next w:val="1"/>
    <w:qFormat/>
    <w:uiPriority w:val="0"/>
    <w:pPr>
      <w:keepLines/>
      <w:widowControl w:val="0"/>
      <w:snapToGrid/>
      <w:spacing w:before="100" w:beforeLines="100" w:after="100" w:afterLines="100" w:line="360" w:lineRule="auto"/>
    </w:pPr>
    <w:rPr>
      <w:rFonts w:ascii="Times New Roman" w:hAnsi="Times New Roman" w:eastAsia="黑体" w:cs="Times New Roman"/>
      <w:b w:val="0"/>
      <w:kern w:val="44"/>
      <w:sz w:val="36"/>
      <w:szCs w:val="36"/>
      <w:lang w:bidi="ar-SA"/>
    </w:rPr>
  </w:style>
  <w:style w:type="paragraph" w:styleId="10">
    <w:name w:val="index heading"/>
    <w:basedOn w:val="1"/>
    <w:next w:val="11"/>
    <w:qFormat/>
    <w:uiPriority w:val="0"/>
    <w:rPr>
      <w:b/>
      <w:bCs/>
    </w:rPr>
  </w:style>
  <w:style w:type="paragraph" w:styleId="11">
    <w:name w:val="index 1"/>
    <w:basedOn w:val="1"/>
    <w:next w:val="1"/>
    <w:qFormat/>
    <w:uiPriority w:val="0"/>
    <w:pPr>
      <w:tabs>
        <w:tab w:val="left" w:pos="5580"/>
      </w:tabs>
      <w:spacing w:line="280" w:lineRule="exact"/>
    </w:pPr>
    <w:rPr>
      <w:rFonts w:ascii="宋体"/>
      <w:spacing w:val="10"/>
    </w:rPr>
  </w:style>
  <w:style w:type="paragraph" w:styleId="1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 w:ascii="Calibri" w:hAnsi="Calibri"/>
      <w:sz w:val="18"/>
      <w:szCs w:val="18"/>
    </w:rPr>
  </w:style>
  <w:style w:type="paragraph" w:styleId="13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Body Text Indent 3"/>
    <w:basedOn w:val="1"/>
    <w:next w:val="1"/>
    <w:qFormat/>
    <w:uiPriority w:val="0"/>
    <w:pPr>
      <w:ind w:left="71" w:leftChars="34"/>
    </w:pPr>
    <w:rPr>
      <w:szCs w:val="21"/>
    </w:rPr>
  </w:style>
  <w:style w:type="paragraph" w:styleId="15">
    <w:name w:val="toc 2"/>
    <w:basedOn w:val="1"/>
    <w:next w:val="1"/>
    <w:qFormat/>
    <w:uiPriority w:val="39"/>
    <w:pPr>
      <w:tabs>
        <w:tab w:val="right" w:leader="dot" w:pos="8296"/>
      </w:tabs>
      <w:ind w:left="520" w:leftChars="200" w:firstLine="0" w:firstLineChars="0"/>
    </w:pPr>
  </w:style>
  <w:style w:type="character" w:customStyle="1" w:styleId="18">
    <w:name w:val="NormalCharacter"/>
    <w:unhideWhenUsed/>
    <w:qFormat/>
    <w:uiPriority w:val="0"/>
    <w:rPr>
      <w:rFonts w:hint="default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1654</Words>
  <Characters>1700</Characters>
  <Lines>0</Lines>
  <Paragraphs>0</Paragraphs>
  <TotalTime>7</TotalTime>
  <ScaleCrop>false</ScaleCrop>
  <LinksUpToDate>false</LinksUpToDate>
  <CharactersWithSpaces>1701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2022-06-24T21:46:00Z</dcterms:created>
  <dc:creator>王楠</dc:creator>
  <cp:lastModifiedBy>陈麒伊</cp:lastModifiedBy>
  <cp:lastPrinted>2024-04-23T17:40:00Z</cp:lastPrinted>
  <dcterms:modified xsi:type="dcterms:W3CDTF">2024-04-23T10:06:38Z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5AD289AC5B874607BDD8AAA833247F51</vt:lpwstr>
  </property>
</Properties>
</file>