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 w:val="0"/>
        <w:suppressAutoHyphens w:val="0"/>
        <w:overflowPunct w:val="0"/>
        <w:topLinePunct/>
        <w:spacing w:line="600" w:lineRule="exact"/>
        <w:ind w:rightChars="100" w:right="210" w:firstLine="0"/>
        <w:rPr>
          <w:rFonts w:ascii="Times New Roman" w:eastAsia="楷体_GB2312" w:hAnsi="Times New Roman"/>
          <w:color w:val="FF0000"/>
          <w:sz w:val="28"/>
          <w:szCs w:val="28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cs="方正小标宋简体" w:hAnsi="Times New Roman"/>
          <w:sz w:val="44"/>
          <w:szCs w:val="44"/>
        </w:rPr>
      </w:pPr>
      <w:r>
        <w:rPr>
          <w:rFonts w:ascii="Times New Roman" w:eastAsia="仿宋_GB2312" w:hAnsi="Times New Roman" w:hint="eastAsia"/>
          <w:kern w:val="0"/>
          <w:sz w:val="44"/>
          <w:szCs w:val="44"/>
        </w:rPr>
        <w:t>2024</w:t>
      </w:r>
      <w:r>
        <w:rPr>
          <w:rFonts w:ascii="Times New Roman" w:eastAsia="方正小标宋简体" w:cs="方正小标宋简体" w:hAnsi="Times New Roman" w:hint="eastAsia"/>
          <w:sz w:val="44"/>
          <w:szCs w:val="44"/>
        </w:rPr>
        <w:t>年1—3月全省水环境目标任务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cs="方正小标宋简体" w:hAnsi="Times New Roman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sz w:val="44"/>
          <w:szCs w:val="44"/>
        </w:rPr>
        <w:t>完成情况通报</w:t>
      </w:r>
    </w:p>
    <w:p>
      <w:pPr>
        <w:overflowPunct w:val="0"/>
        <w:topLinePunct/>
        <w:spacing w:line="600" w:lineRule="exact"/>
        <w:rPr>
          <w:rFonts w:ascii="Times New Roman" w:eastAsia="仿宋_GB2312" w:hAnsi="Times New Roman" w:hint="eastAsia"/>
          <w:kern w:val="0"/>
          <w:sz w:val="32"/>
          <w:szCs w:val="32"/>
          <w:highlight w:val="yellow"/>
        </w:rPr>
      </w:pPr>
    </w:p>
    <w:p>
      <w:pPr>
        <w:pStyle w:val="24"/>
        <w:widowControl w:val="0"/>
        <w:tabs>
          <w:tab w:val="left" w:pos="7163"/>
        </w:tabs>
        <w:suppressAutoHyphens/>
        <w:overflowPunct w:val="0"/>
        <w:topLinePunct/>
        <w:spacing w:line="600" w:lineRule="exact"/>
        <w:rPr>
          <w:rFonts w:eastAsia="黑体"/>
          <w:b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t>一、全省考核</w:t>
      </w:r>
      <w:r>
        <w:rPr>
          <w:rFonts w:eastAsia="黑体" w:hint="eastAsia"/>
          <w:sz w:val="32"/>
          <w:szCs w:val="32"/>
        </w:rPr>
        <w:t>断面水质</w:t>
      </w:r>
      <w:r>
        <w:rPr>
          <w:rFonts w:eastAsia="黑体"/>
          <w:sz w:val="32"/>
          <w:szCs w:val="32"/>
        </w:rPr>
        <w:t>情况</w:t>
      </w:r>
      <w:r>
        <w:rPr>
          <w:rFonts w:eastAsia="黑体" w:hint="eastAsia"/>
          <w:color w:val="FF0000"/>
          <w:sz w:val="32"/>
          <w:szCs w:val="32"/>
        </w:rPr>
        <w:tab/>
      </w:r>
    </w:p>
    <w:p>
      <w:pPr>
        <w:pStyle w:val="24"/>
        <w:overflowPunct w:val="0"/>
        <w:topLinePunct/>
        <w:spacing w:line="600" w:lineRule="exact"/>
        <w:rPr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1—3月，</w:t>
      </w:r>
      <w:r>
        <w:rPr>
          <w:rFonts w:hint="eastAsia"/>
          <w:kern w:val="0"/>
          <w:sz w:val="32"/>
          <w:szCs w:val="32"/>
        </w:rPr>
        <w:t>全省203个国考断面，</w:t>
      </w: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1个达到Ⅲ类及以上水质，优良断面占比99.0%，同比上升3.9个百分点。Ⅳ类断面2个</w:t>
      </w:r>
      <w:r>
        <w:rPr>
          <w:rFonts w:hint="eastAsia"/>
          <w:bCs/>
          <w:sz w:val="32"/>
          <w:szCs w:val="32"/>
        </w:rPr>
        <w:t>，占比1.0%</w:t>
      </w:r>
      <w:r>
        <w:rPr>
          <w:rFonts w:hint="eastAsia"/>
          <w:kern w:val="0"/>
          <w:sz w:val="32"/>
          <w:szCs w:val="32"/>
        </w:rPr>
        <w:t>，分别为德阳市北河201医院、资阳市小</w:t>
      </w:r>
      <w:r>
        <w:rPr>
          <w:rFonts w:eastAsia="宋体" w:hint="eastAsia"/>
          <w:kern w:val="0"/>
          <w:sz w:val="32"/>
          <w:szCs w:val="32"/>
        </w:rPr>
        <w:t>濛</w:t>
      </w:r>
      <w:r>
        <w:rPr>
          <w:rFonts w:hint="eastAsia"/>
          <w:kern w:val="0"/>
          <w:sz w:val="32"/>
          <w:szCs w:val="32"/>
        </w:rPr>
        <w:t>溪河资安桥。203个国考断面中</w:t>
      </w:r>
      <w:r>
        <w:rPr>
          <w:rFonts w:hint="eastAsia"/>
          <w:color w:val="000000"/>
          <w:kern w:val="0"/>
          <w:sz w:val="32"/>
          <w:szCs w:val="32"/>
        </w:rPr>
        <w:t>159</w:t>
      </w:r>
      <w:r>
        <w:rPr>
          <w:rFonts w:hint="eastAsia"/>
          <w:kern w:val="0"/>
          <w:sz w:val="32"/>
          <w:szCs w:val="32"/>
        </w:rPr>
        <w:t>个断面达到Ⅱ类及以上水质，占比为78.3%，</w:t>
      </w:r>
      <w:r>
        <w:rPr>
          <w:rFonts w:hint="eastAsia"/>
          <w:color w:val="000000"/>
          <w:kern w:val="0"/>
          <w:sz w:val="32"/>
          <w:szCs w:val="32"/>
        </w:rPr>
        <w:t>同比下降1.5个百分点。其中，Ⅰ类水质占比28.1%，同比上升4.0个百</w:t>
      </w:r>
      <w:r>
        <w:rPr>
          <w:rFonts w:hint="eastAsia"/>
          <w:kern w:val="0"/>
          <w:sz w:val="32"/>
          <w:szCs w:val="32"/>
        </w:rPr>
        <w:t>分点；Ⅱ类水质占比为50.2%，同比</w:t>
      </w:r>
      <w:r>
        <w:rPr>
          <w:rFonts w:hint="eastAsia"/>
          <w:color w:val="000000"/>
          <w:kern w:val="0"/>
          <w:sz w:val="32"/>
          <w:szCs w:val="32"/>
        </w:rPr>
        <w:t>下降5.4</w:t>
      </w:r>
      <w:r>
        <w:rPr>
          <w:rFonts w:hint="eastAsia"/>
          <w:kern w:val="0"/>
          <w:sz w:val="32"/>
          <w:szCs w:val="32"/>
        </w:rPr>
        <w:t>个百分点。3月单月，全省203个国考断面中，优良断面199个，占比98.0%，同比上升2.4个</w:t>
      </w:r>
      <w:r>
        <w:rPr>
          <w:rFonts w:hint="eastAsia"/>
          <w:color w:val="000000"/>
          <w:kern w:val="0"/>
          <w:sz w:val="32"/>
          <w:szCs w:val="32"/>
        </w:rPr>
        <w:t>百</w:t>
      </w:r>
      <w:r>
        <w:rPr>
          <w:rFonts w:hint="eastAsia"/>
          <w:kern w:val="0"/>
          <w:sz w:val="32"/>
          <w:szCs w:val="32"/>
        </w:rPr>
        <w:t>分点；Ⅳ类断面4个</w:t>
      </w:r>
      <w:r>
        <w:rPr>
          <w:rFonts w:hint="eastAsia"/>
          <w:bCs/>
          <w:sz w:val="32"/>
          <w:szCs w:val="32"/>
        </w:rPr>
        <w:t>，占比2.0%</w:t>
      </w:r>
      <w:r>
        <w:rPr>
          <w:rFonts w:hint="eastAsia"/>
          <w:kern w:val="0"/>
          <w:sz w:val="32"/>
          <w:szCs w:val="32"/>
        </w:rPr>
        <w:t>，分别为德阳市北河201医院、资阳市姚市河白沙、南充市流江河白兔乡、自贡市釜溪河宋渡大桥。</w:t>
      </w:r>
    </w:p>
    <w:p>
      <w:pPr>
        <w:pStyle w:val="24"/>
        <w:widowControl w:val="0"/>
        <w:suppressAutoHyphens/>
        <w:overflowPunct w:val="0"/>
        <w:topLinePunct/>
        <w:spacing w:line="600" w:lineRule="exact"/>
        <w:rPr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1—3月，</w:t>
      </w:r>
      <w:r>
        <w:rPr>
          <w:rFonts w:hint="eastAsia"/>
          <w:kern w:val="0"/>
          <w:sz w:val="32"/>
          <w:szCs w:val="32"/>
        </w:rPr>
        <w:t>全省142个省考断面，140个达到Ⅲ类及以上水质，优良断面占比98.6%，同比上升1.4个百分点。Ⅳ类断面2个，占比1.4%，为南充市西充河彩虹桥、流江河开源村。142个省考断面中101个断面达到Ⅱ类及以上水质，占比为71.1%，</w:t>
      </w:r>
      <w:r>
        <w:rPr>
          <w:rFonts w:hint="eastAsia"/>
          <w:color w:val="000000"/>
          <w:kern w:val="0"/>
          <w:sz w:val="32"/>
          <w:szCs w:val="32"/>
        </w:rPr>
        <w:t>同比下降0.7个百分点。</w:t>
      </w:r>
      <w:r>
        <w:rPr>
          <w:rFonts w:hint="eastAsia"/>
          <w:kern w:val="0"/>
          <w:sz w:val="32"/>
          <w:szCs w:val="32"/>
        </w:rPr>
        <w:t>其中，Ⅰ类水质占比19.7%，同比上升4.3个百分点；Ⅱ类水质占比为51.4%，同比</w:t>
      </w:r>
      <w:r>
        <w:rPr>
          <w:rFonts w:hint="eastAsia"/>
          <w:color w:val="000000"/>
          <w:kern w:val="0"/>
          <w:sz w:val="32"/>
          <w:szCs w:val="32"/>
        </w:rPr>
        <w:t>下降</w:t>
      </w:r>
      <w:r>
        <w:rPr>
          <w:rFonts w:hint="eastAsia"/>
          <w:kern w:val="0"/>
          <w:sz w:val="32"/>
          <w:szCs w:val="32"/>
        </w:rPr>
        <w:t>4.9个百分点。3月单月，全省142个省考断面中，优良断面141个，占比99.3%；</w:t>
      </w:r>
      <w:r>
        <w:rPr>
          <w:rFonts w:eastAsia="宋体" w:cs="宋体" w:hint="eastAsia"/>
          <w:kern w:val="0"/>
          <w:sz w:val="32"/>
          <w:szCs w:val="32"/>
        </w:rPr>
        <w:t>Ⅴ</w:t>
      </w:r>
      <w:r>
        <w:rPr>
          <w:rFonts w:hint="eastAsia"/>
          <w:kern w:val="0"/>
          <w:sz w:val="32"/>
          <w:szCs w:val="32"/>
        </w:rPr>
        <w:t>类断面1个，占比0.7%，为南充市西充河彩虹桥。</w:t>
      </w:r>
    </w:p>
    <w:p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1—3月，四川省列入考核的全国重要江河湖泊水功能区314个，其中列入考核并开展达标评价的水功能区285个，依据全因子评价，达标水功能区284个，达标率99.6%。1个</w:t>
      </w:r>
      <w:r>
        <w:rPr>
          <w:rFonts w:ascii="Times New Roman" w:eastAsia="仿宋_GB2312" w:hAnsi="Times New Roman"/>
          <w:kern w:val="0"/>
          <w:sz w:val="32"/>
          <w:szCs w:val="32"/>
        </w:rPr>
        <w:t>不达标水功能区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为沱江德阳、金堂保留区。</w:t>
      </w:r>
    </w:p>
    <w:p>
      <w:pPr>
        <w:pStyle w:val="24"/>
        <w:widowControl w:val="0"/>
        <w:suppressAutoHyphens/>
        <w:overflowPunct w:val="0"/>
        <w:topLinePunct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各市（州）考核</w:t>
      </w:r>
      <w:r>
        <w:rPr>
          <w:rFonts w:eastAsia="黑体" w:hint="eastAsia"/>
          <w:sz w:val="32"/>
          <w:szCs w:val="32"/>
        </w:rPr>
        <w:t>断面水质</w:t>
      </w:r>
      <w:r>
        <w:rPr>
          <w:rFonts w:eastAsia="黑体"/>
          <w:sz w:val="32"/>
          <w:szCs w:val="32"/>
        </w:rPr>
        <w:t>情况</w:t>
      </w:r>
    </w:p>
    <w:p>
      <w:pPr>
        <w:pStyle w:val="24"/>
        <w:widowControl w:val="0"/>
        <w:suppressAutoHyphens/>
        <w:overflowPunct w:val="0"/>
        <w:topLinePunct/>
        <w:spacing w:line="600" w:lineRule="exact"/>
        <w:rPr>
          <w:color w:val="000000"/>
          <w:kern w:val="0"/>
          <w:sz w:val="32"/>
          <w:szCs w:val="32"/>
        </w:rPr>
      </w:pPr>
      <w:r>
        <w:rPr>
          <w:rFonts w:hint="eastAsia"/>
          <w:bCs/>
          <w:sz w:val="32"/>
          <w:szCs w:val="32"/>
        </w:rPr>
        <w:t>1—3月，</w:t>
      </w:r>
      <w:r>
        <w:rPr>
          <w:rFonts w:hint="eastAsia"/>
          <w:color w:val="000000"/>
          <w:kern w:val="0"/>
          <w:sz w:val="32"/>
          <w:szCs w:val="32"/>
        </w:rPr>
        <w:t>全省21个市（州）水质优良率，德阳市92.9%、南充市83.3%、资阳市94.1%，其余18个市州均为100%。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黑体" w:cs="黑体" w:hAnsi="Times New Roman"/>
          <w:sz w:val="32"/>
          <w:szCs w:val="32"/>
        </w:rPr>
      </w:pPr>
      <w:r>
        <w:rPr>
          <w:rFonts w:ascii="Times New Roman" w:eastAsia="黑体" w:cs="黑体" w:hAnsi="Times New Roman" w:hint="eastAsia"/>
          <w:sz w:val="32"/>
          <w:szCs w:val="32"/>
        </w:rPr>
        <w:t>三、13条主要河流考核水质状况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1—3月</w:t>
      </w:r>
      <w:r>
        <w:rPr>
          <w:rFonts w:ascii="Times New Roman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长江（金沙江）、雅砻江、安宁河、大渡河、青衣江、岷江、嘉陵江、渠江、涪江、琼江、赤水河、黄河12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条流域国考断面水质优良断面占比为100%。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沱江流域37个国考断面水质优良断面35个，占比94.6%。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黑体" w:cs="黑体" w:hAnsi="Times New Roman"/>
          <w:color w:val="000000"/>
          <w:sz w:val="32"/>
          <w:szCs w:val="32"/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</w:rPr>
        <w:t>四、14个重点湖库营养状况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1—3月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泸沽湖、邛海、葫芦口水库、紫坪铺水库、二滩水库、白龙湖为贫营养；鲁班水库、三岔湖、双溪水库、升钟水库、黑龙滩水库、瀑布沟、老鹰水库、沉抗水库为中营养。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>
      <w:pPr>
        <w:overflowPunct w:val="0"/>
        <w:topLinePunct/>
        <w:spacing w:line="600" w:lineRule="exact"/>
        <w:ind w:leftChars="304" w:left="2042" w:hangingChars="450" w:hanging="1404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-4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1．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2024年1—3月“河长制”</w:t>
      </w:r>
      <w:r>
        <w:rPr>
          <w:rFonts w:ascii="Times New Roman" w:eastAsia="仿宋_GB2312" w:hAnsi="Times New Roman"/>
          <w:spacing w:val="-10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3</w:t>
      </w:r>
      <w:r>
        <w:rPr>
          <w:rFonts w:ascii="Times New Roman" w:eastAsia="仿宋_GB2312" w:hAnsi="Times New Roman"/>
          <w:spacing w:val="-10"/>
          <w:sz w:val="32"/>
          <w:szCs w:val="32"/>
        </w:rPr>
        <w:t>条河流水质情况统计表</w:t>
      </w:r>
    </w:p>
    <w:p>
      <w:pPr>
        <w:overflowPunct w:val="0"/>
        <w:topLinePunct/>
        <w:spacing w:line="600" w:lineRule="exact"/>
        <w:ind w:leftChars="735" w:left="1959" w:hangingChars="130" w:hanging="41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2．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2024年1—3月</w:t>
      </w:r>
      <w:r>
        <w:rPr>
          <w:rFonts w:ascii="Times New Roman" w:eastAsia="仿宋_GB2312" w:hAnsi="Times New Roman"/>
          <w:sz w:val="32"/>
          <w:szCs w:val="32"/>
        </w:rPr>
        <w:t>国考断面水质情况统计表</w:t>
      </w:r>
    </w:p>
    <w:p>
      <w:pPr>
        <w:overflowPunct w:val="0"/>
        <w:topLinePunct/>
        <w:spacing w:line="600" w:lineRule="exact"/>
        <w:ind w:leftChars="735" w:left="1959" w:hangingChars="130" w:hanging="416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2024年1—3月</w:t>
      </w:r>
      <w:r>
        <w:rPr>
          <w:rFonts w:ascii="Times New Roman" w:eastAsia="仿宋_GB2312" w:hAnsi="Times New Roman"/>
          <w:sz w:val="32"/>
          <w:szCs w:val="32"/>
        </w:rPr>
        <w:t>省考断面水质情况统计</w:t>
      </w:r>
      <w:r>
        <w:rPr>
          <w:rFonts w:ascii="Times New Roman" w:eastAsia="仿宋_GB2312" w:hAnsi="Times New Roman" w:hint="eastAsia"/>
          <w:sz w:val="32"/>
          <w:szCs w:val="32"/>
        </w:rPr>
        <w:t>表</w:t>
      </w:r>
    </w:p>
    <w:p>
      <w:pPr>
        <w:overflowPunct w:val="0"/>
        <w:topLinePunct/>
        <w:spacing w:line="600" w:lineRule="exact"/>
        <w:ind w:leftChars="735" w:left="1959" w:hangingChars="130" w:hanging="416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4．2024年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1—3月</w:t>
      </w:r>
      <w:r>
        <w:rPr>
          <w:rFonts w:ascii="Times New Roman" w:eastAsia="仿宋_GB2312" w:hAnsi="Times New Roman" w:hint="eastAsia"/>
          <w:sz w:val="32"/>
          <w:szCs w:val="32"/>
        </w:rPr>
        <w:t>重点湖库营养状况评价结果表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color w:val="FF0000"/>
          <w:sz w:val="32"/>
          <w:szCs w:val="32"/>
          <w:highlight w:val="yellow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t>附件1</w:t>
      </w:r>
    </w:p>
    <w:p>
      <w:pPr>
        <w:overflowPunct w:val="0"/>
        <w:topLinePunct/>
        <w:spacing w:line="600" w:lineRule="exact"/>
        <w:rPr>
          <w:rFonts w:ascii="Times New Roman" w:eastAsia="黑体" w:hAnsi="Times New Roman"/>
          <w:bCs/>
          <w:sz w:val="32"/>
          <w:szCs w:val="32"/>
          <w:highlight w:val="yellow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2024年1—3月“河长制”</w:t>
      </w:r>
      <w:r>
        <w:rPr>
          <w:rFonts w:ascii="Times New Roman" w:eastAsia="方正小标宋简体" w:hAnsi="Times New Roman"/>
          <w:bCs/>
          <w:sz w:val="44"/>
          <w:szCs w:val="44"/>
        </w:rPr>
        <w:t>1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sz w:val="44"/>
          <w:szCs w:val="44"/>
        </w:rPr>
        <w:t>条河流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水质情况统计表</w:t>
      </w:r>
    </w:p>
    <w:p>
      <w:pPr>
        <w:overflowPunct w:val="0"/>
        <w:topLinePunct/>
        <w:spacing w:line="600" w:lineRule="exact"/>
        <w:rPr>
          <w:rFonts w:ascii="Times New Roman" w:eastAsia="方正小标宋简体" w:hAnsi="Times New Roman"/>
          <w:bCs/>
          <w:color w:val="FF0000"/>
          <w:sz w:val="44"/>
          <w:szCs w:val="44"/>
        </w:rPr>
      </w:pPr>
    </w:p>
    <w:tbl>
      <w:tblPr>
        <w:jc w:val="cent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731"/>
        <w:gridCol w:w="750"/>
        <w:gridCol w:w="731"/>
        <w:gridCol w:w="731"/>
        <w:gridCol w:w="851"/>
        <w:gridCol w:w="1607"/>
        <w:gridCol w:w="2705"/>
      </w:tblGrid>
      <w:tr>
        <w:trPr>
          <w:trHeight w:val="466"/>
        </w:trPr>
        <w:tc>
          <w:tcPr>
            <w:tcW w:w="427" w:type="pct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河流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名称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国考断面</w:t>
            </w:r>
          </w:p>
        </w:tc>
        <w:tc>
          <w:tcPr>
            <w:tcW w:w="1304" w:type="pct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国省考断面</w:t>
            </w:r>
          </w:p>
        </w:tc>
        <w:tc>
          <w:tcPr>
            <w:tcW w:w="2431" w:type="pct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国省考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干流／支流受污染河段情况</w:t>
            </w:r>
          </w:p>
        </w:tc>
      </w:tr>
      <w:tr>
        <w:trPr>
          <w:trHeight w:val="915"/>
        </w:trPr>
        <w:tc>
          <w:tcPr>
            <w:tcW w:w="427" w:type="pct"/>
            <w:vMerge/>
            <w:vAlign w:val="center"/>
          </w:tcPr>
          <w:p/>
        </w:tc>
        <w:tc>
          <w:tcPr>
            <w:tcW w:w="41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数量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（个）</w:t>
            </w:r>
          </w:p>
        </w:tc>
        <w:tc>
          <w:tcPr>
            <w:tcW w:w="423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宋体" w:hAnsi="Times New Roman" w:hint="eastAsia"/>
                <w:bCs/>
                <w:kern w:val="0"/>
                <w:szCs w:val="21"/>
              </w:rPr>
              <w:t>优良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率（%）</w:t>
            </w:r>
          </w:p>
        </w:tc>
        <w:tc>
          <w:tcPr>
            <w:tcW w:w="41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数量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（个）</w:t>
            </w:r>
          </w:p>
        </w:tc>
        <w:tc>
          <w:tcPr>
            <w:tcW w:w="412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宋体" w:hAnsi="Times New Roman" w:hint="eastAsia"/>
                <w:bCs/>
                <w:kern w:val="0"/>
                <w:szCs w:val="21"/>
              </w:rPr>
              <w:t>优良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率（%）</w:t>
            </w:r>
          </w:p>
        </w:tc>
        <w:tc>
          <w:tcPr>
            <w:tcW w:w="48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劣</w:t>
            </w:r>
            <w:r>
              <w:rPr>
                <w:rFonts w:ascii="Times New Roman" w:cs="宋体" w:hAnsi="Times New Roman" w:hint="eastAsia"/>
                <w:bCs/>
                <w:kern w:val="0"/>
                <w:szCs w:val="21"/>
              </w:rPr>
              <w:t>Ⅴ</w:t>
            </w: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类</w:t>
            </w:r>
          </w:p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断面比例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（%）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干流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支流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长江（金沙江）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雅砻江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安宁河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7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赤水河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岷江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大渡河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22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青衣江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沱江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94.6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96.7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：北河、小</w:t>
            </w:r>
            <w:r>
              <w:rPr>
                <w:rFonts w:ascii="微软雅黑" w:eastAsia="微软雅黑" w:cs="微软雅黑" w:hint="eastAsia"/>
                <w:kern w:val="0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溪河</w:t>
            </w:r>
          </w:p>
        </w:tc>
      </w:tr>
      <w:tr>
        <w:trPr>
          <w:trHeight w:val="507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嘉陵江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37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97.3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：西充河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涪江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琼江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渠江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37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97.3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轻度污染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：流江河</w:t>
            </w:r>
          </w:p>
        </w:tc>
      </w:tr>
      <w:tr>
        <w:trPr>
          <w:trHeight w:val="600"/>
        </w:trPr>
        <w:tc>
          <w:tcPr>
            <w:tcW w:w="427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黄河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100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%</w:t>
            </w:r>
          </w:p>
        </w:tc>
        <w:tc>
          <w:tcPr>
            <w:tcW w:w="480" w:type="pct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  <w:tc>
          <w:tcPr>
            <w:tcW w:w="1525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--</w:t>
            </w:r>
          </w:p>
        </w:tc>
      </w:tr>
    </w:tbl>
    <w:p>
      <w:pPr>
        <w:tabs>
          <w:tab w:val="left" w:pos="2278"/>
        </w:tabs>
        <w:overflowPunct w:val="0"/>
        <w:topLinePunct/>
        <w:spacing w:line="400" w:lineRule="exact"/>
        <w:rPr>
          <w:rFonts w:ascii="Times New Roman" w:eastAsia="方正小标宋简体" w:hAnsi="Times New Roman"/>
          <w:color w:val="FF0000"/>
          <w:kern w:val="0"/>
          <w:sz w:val="44"/>
          <w:szCs w:val="44"/>
        </w:rPr>
      </w:pPr>
    </w:p>
    <w:p>
      <w:pPr>
        <w:tabs>
          <w:tab w:val="left" w:pos="2278"/>
        </w:tabs>
        <w:overflowPunct w:val="0"/>
        <w:topLinePunct/>
        <w:spacing w:line="400" w:lineRule="exact"/>
        <w:rPr>
          <w:rFonts w:ascii="Times New Roman" w:eastAsia="方正小标宋简体" w:hAnsi="Times New Roman"/>
          <w:color w:val="FF0000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2098" w:right="1474" w:bottom="1247" w:left="1588" w:header="851" w:footer="992" w:gutter="0"/>
          <w:docGrid w:linePitch="319" w:charSpace="0"/>
        </w:sect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附件2</w:t>
      </w:r>
    </w:p>
    <w:p>
      <w:pPr>
        <w:overflowPunct w:val="0"/>
        <w:topLinePunct/>
        <w:spacing w:line="300" w:lineRule="exact"/>
        <w:rPr>
          <w:rFonts w:ascii="Times New Roman" w:eastAsia="黑体" w:hAnsi="Times New Roman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2024年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1—3月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国考断面水质情况统计表</w:t>
      </w:r>
    </w:p>
    <w:p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jc w:val="center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103"/>
        <w:gridCol w:w="1025"/>
        <w:gridCol w:w="1793"/>
        <w:gridCol w:w="1547"/>
        <w:gridCol w:w="5701"/>
        <w:gridCol w:w="1764"/>
        <w:gridCol w:w="30"/>
        <w:gridCol w:w="30"/>
        <w:gridCol w:w="30"/>
      </w:tblGrid>
      <w:tr>
        <w:trPr>
          <w:cantSplit/>
          <w:trHeight w:val="20"/>
          <w:tblHeader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流域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责任市州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断面名称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干流/支流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2023年 1-3月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2024年 1-3月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水质变化趋势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超Ⅲ类标准因子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201医院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北河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总磷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0.21mg/L，</w:t>
            </w:r>
          </w:p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超标0.05倍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八角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发轮河口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拱城铺渡口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红光村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高升河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红日河大桥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阳化河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红岩寺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宏缘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胡市大桥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濑溪河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葫芦口水库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脚仙村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隆昌河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老翁桥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廖家堰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威远河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罗万场下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小石河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碾子湾村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富顺河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牛桥（民心桥）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</w:t>
            </w: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毗河二桥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毗河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中河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球溪河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鸭子河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三邑大桥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青白江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石亭江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宋渡大桥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釜溪河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碳研所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釜溪河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谢家桥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索溪河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幸福村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（河东元坝）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叶家滩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旭水河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银山镇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大清流河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瀹嬩綋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344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资安桥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</w:t>
            </w: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高锰酸盐指数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6.2mg/L，</w:t>
            </w:r>
          </w:p>
          <w:p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超标0.03倍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都江堰水文站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岷江（内江）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二江寺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江安河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凉姜沟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两合水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蒲江河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马边河河口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马边河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岷江东青交界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岷江青衣坝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岷江沙咀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彭山岷江大桥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桑园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出江河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色尔古乡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泗江堰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团结堰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临溪河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渭门桥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五里界牌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杂谷脑河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于佳乡黄龙桥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36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月波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岳店子下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岷江（外江）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悦来渡口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越溪河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镇平乡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岷江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攀枝花市、凉山州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柏枝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丽江市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泸沽湖湖心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泸沽湖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乃渠乡水打坝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九龙河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仁达乡鲜水河水电站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鲜水河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卧落河入境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卧落河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雄坝乡无量河大桥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理塘河（无量河）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雅江县城上游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长须干马乡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雅砻江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/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阿七大桥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大桥水库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冕山镇新桥村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孙水河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邛海湖心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邛海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湾滩电站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昔街大桥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安宁河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白杨溪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塘河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白杨溪电站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任河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蔡家渡口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城河入境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城河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大湾子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岗架大桥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格学桥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赠曲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公德房电站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珙泉镇三江村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挂弓山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禾尼乡骡子沟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迪庆州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贺龙桥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江南镇沙嘴上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昌都市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金沙江岗托桥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黎家乡崔家岩村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大洪河（大洪湖）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泸天化大桥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永宁河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倮果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昆明市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蒙姑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纳溪大渡口（左岸）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南广镇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南广河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三湾河大桥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鲹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鱼河入境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鲹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鱼河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石门子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手爬岩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御临河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水磨沟村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四明水厂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大陆溪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巫山乡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香巴拉镇硕曲河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硕曲河（东旺河）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109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香格里拉镇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堰坝大桥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古宋河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幺滩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御临河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油米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水洛河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  <w:p>
            <w:pPr>
              <w:overflowPunct w:val="0"/>
              <w:topLinePunct/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朱沱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长江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大岗山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歌乐沱乡色曲河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色曲河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马尔邦碉王山庄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大金川河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尼日河甘洛出境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尼日河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蒲西乡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绰斯甲河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茸安乡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阿柯河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三谷庄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小水沟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梭磨河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pacing w:val="-1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pacing w:val="-10"/>
                <w:szCs w:val="21"/>
              </w:rPr>
              <w:t>新格乡松矶砂石场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小金川河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迭部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九寨沟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苴国村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郎木寺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白龙江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烈面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麻柳包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东河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三合场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构溪河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上石盘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升钟水库铁炉寺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五仙庙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清江河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伍嘉码头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县城马踏石点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白水江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新政电站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摇金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南溪河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元西村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竹园镇阳泉坝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青竹江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百顷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北川通口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通口河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丰谷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福田坝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红江渡口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楼房沟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鲁班岛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鲁班水库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平武水文站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郪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郪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双堰村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秀水河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松花村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凯江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pacing w:val="-1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pacing w:val="-10"/>
                <w:szCs w:val="21"/>
              </w:rPr>
              <w:t>天仙镇大佛寺渡口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西平镇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凯江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象山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微软雅黑" w:eastAsia="微软雅黑" w:cs="微软雅黑" w:hint="eastAsia"/>
                <w:bCs/>
                <w:color w:val="000000"/>
                <w:szCs w:val="21"/>
              </w:rPr>
              <w:t>郪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</w:rPr>
              <w:t>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梓江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白兔乡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流江河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车家河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州河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大蹬沟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舵石盘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州河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拱桥河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恩阳河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苟家湾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月潭河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化龙乡渠河村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华蓥河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江陵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金碑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李家渡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明月江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联盟桥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任市河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纳溪口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通江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牛角滩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平滩河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重庆市、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上河坝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铜钵河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手傍岩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团堡岭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漩坑坝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后河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南江河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园门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澌滩河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邹家坝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小通江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龟都府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葫芦坝电站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周公河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槐子坝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荥经河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姜公堰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灵鹫塔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宝兴河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木城镇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天全河两河口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天全河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甘南州、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玛曲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若尔盖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黑河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唐克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两汇水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大同河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毕节市、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清池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太平渡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古蔺河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醒觉溪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赤水河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Ⅱ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199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白沙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姚市河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大安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两河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龙台河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川渝跨界</w:t>
            </w:r>
          </w:p>
        </w:tc>
      </w:tr>
      <w:tr>
        <w:trPr>
          <w:cantSplit/>
          <w:trHeight w:val="372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跑马滩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Ⅳ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203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元坝子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蟠龙河</w:t>
            </w:r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Ⅲ</w:t>
            </w:r>
          </w:p>
        </w:tc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eastAsia="仿宋_GB2312" w:cs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bCs/>
                <w:color w:val="000000"/>
                <w:szCs w:val="21"/>
              </w:rPr>
              <w:t>—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  <w:t>附件3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2024年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1—3月</w:t>
      </w:r>
      <w:r>
        <w:rPr>
          <w:rFonts w:ascii="Times New Roman" w:eastAsia="方正小标宋简体" w:hAnsi="Times New Roman"/>
          <w:sz w:val="44"/>
          <w:szCs w:val="44"/>
        </w:rPr>
        <w:t>省考断面水质情况统计表</w:t>
      </w:r>
    </w:p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1015"/>
        <w:gridCol w:w="980"/>
        <w:gridCol w:w="2017"/>
        <w:gridCol w:w="1527"/>
        <w:gridCol w:w="994"/>
        <w:gridCol w:w="994"/>
        <w:gridCol w:w="5296"/>
        <w:gridCol w:w="30"/>
        <w:gridCol w:w="30"/>
      </w:tblGrid>
      <w:tr>
        <w:trPr>
          <w:trHeight w:val="20"/>
          <w:tblHeader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流域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责任市州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断面名称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干流/支流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2023年  1-3月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2024年  1-3月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水质变化趋势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超Ⅲ类标准因子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textAlignment w:val="center"/>
              <w:rPr>
                <w:rFonts w:ascii="Times New Roman" w:eastAsia="黑体" w:cs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cs="黑体" w:hAnsi="Times New Roman" w:hint="eastAsia"/>
                <w:bCs/>
                <w:kern w:val="0"/>
                <w:szCs w:val="21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三皇庙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临江寺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高寺渡口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巷子口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九曲河大桥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九曲河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爱民桥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绛溪河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雷公滩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旭水河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自贡市、 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釜溪河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兰家桥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环溪河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拦河堰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新毗大桥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驾虹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蒲阳河（青白江）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成彭高速路桥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青白江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马射汇合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射水河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官渡大桥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濑溪河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韦家湾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小清流河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汪家坝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</w:t>
            </w:r>
            <w:r>
              <w:rPr>
                <w:rFonts w:ascii="微软雅黑" w:eastAsia="微软雅黑" w:cs="微软雅黑" w:hint="eastAsia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szCs w:val="21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肖家鼓堰码头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</w:t>
            </w:r>
            <w:r>
              <w:rPr>
                <w:rFonts w:ascii="微软雅黑" w:eastAsia="微软雅黑" w:cs="微软雅黑" w:hint="eastAsia"/>
                <w:szCs w:val="21"/>
              </w:rPr>
              <w:t>濛</w:t>
            </w:r>
            <w:r>
              <w:rPr>
                <w:rFonts w:ascii="仿宋_GB2312" w:eastAsia="仿宋_GB2312" w:cs="仿宋_GB2312" w:hint="eastAsia"/>
                <w:szCs w:val="21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万安桥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红庙子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鸭子河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吉乐村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老鹰水库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库中测点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三岔湖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起水站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双溪水库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寿溪水磨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映秀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永安大桥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老南河大桥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新津南河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金牛河口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体泉河口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体泉河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桥江桥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茫溪大桥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茫溪河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龙溪河河口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牟托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柏条河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安龙桥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泊江河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东风渠天府新区出境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罗家河坝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十陵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罗家村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共耕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江安河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刘家壕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黄塔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唐场大桥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斜江河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花园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走马河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马边河鼓儿滩吊桥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马边河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沐溪河穿山坳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沐溪河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思蒙河丹东交界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丹棱河（思蒙河）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岷江彭东交界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麻柳坝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鹰嘴岩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百花大桥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五星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蒲江河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黑龙滩水库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跨库大桥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紫坪铺水库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箩筐坝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越溪河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雅江县318国道71km处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格西沟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鲜水河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鲜水河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呷拉乡雅砻江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理塘河（无量河）入境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理塘河（无量河）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雄龙西沟霍曲河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霍曲河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红壁滩下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安宁河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黄土坡吊桥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黑水河河口（黑水河入境断面）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雷波县金沙镇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木府乡仓房村仓房电站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金阳河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溜筒河拉一木入境断面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溜筒河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观音桥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永宁河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红桥园田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高店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宝宁村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马鸣溪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大步跳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瓒滩乡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南广河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黄泥咀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宋江河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李庄镇下渡口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长江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楠木沟大桥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集沐乡周山村点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新康猫大桥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梭磨河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茸木达乡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则曲河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聂呷乡佛爷岩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鸳鸯坝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大渡河安谷电站大坝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大渡河宜坪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大渡河芝麻凼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峨眉河曾河坝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峨眉河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梅花乡巴姑村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尼日河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石棉丰乐乡三星村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瀑布沟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金银渡（张家岩）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彩虹桥（拉拉渡）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西充河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生化需氧量5.6mg/L，超标0.4倍；</w:t>
            </w: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化学需氧量</w:t>
            </w: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25.3mg/L，超标0.3倍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郭家坝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长滩寺河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花石包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白龙江水磨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卫子河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插江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喻家咀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石羊村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西阳寺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荣山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川甘交界处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包座河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升钟水库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坝前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老南桥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凯江村大桥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安州区界牌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板凳桥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沙窝子大桥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北川墩上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土门河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垢家渡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先锋桥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4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白鹤桥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坛罐窑河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川渝跨界</w:t>
            </w:r>
          </w:p>
        </w:tc>
      </w:tr>
      <w:tr>
        <w:trPr>
          <w:cantSplit/>
          <w:trHeight w:val="45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涪山坝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芝溪河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饮马桥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米家桥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涪江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排马梯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白鹤山（水井湾）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双龙桥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清溪河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大坝河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雷破石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小元村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徐家河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驷马河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清河坝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墩子河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东柳河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葫芦电站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明月江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大石堡平桥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新宁河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张鼓坪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开源村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流江河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Ⅳ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生化需氧量4.1mg/L，超标0.02倍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凌家桥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石桥河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Ⅲ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渠江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青衣江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多营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青衣江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贾柯牧场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贾曲河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Ⅰ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切拉塘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大水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kern w:val="0"/>
                <w:szCs w:val="21"/>
              </w:rPr>
              <w:t>Ⅱ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—</w:t>
            </w:r>
          </w:p>
        </w:tc>
      </w:tr>
    </w:tbl>
    <w:p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color w:val="FF0000"/>
          <w:sz w:val="44"/>
          <w:szCs w:val="44"/>
        </w:rPr>
      </w:pPr>
    </w:p>
    <w:p>
      <w:pPr>
        <w:rPr>
          <w:rFonts w:ascii="Times New Roman" w:eastAsia="仿宋_GB2312" w:hAnsi="Times New Roman"/>
          <w:sz w:val="28"/>
          <w:szCs w:val="28"/>
        </w:rPr>
        <w:sectPr>
          <w:headerReference w:type="default" r:id="rId4"/>
          <w:headerReference w:type="even" r:id="rId5"/>
          <w:footerReference w:type="default" r:id="rId6"/>
          <w:footerReference w:type="even" r:id="rId7"/>
          <w:pgSz w:w="16838" w:h="11906" w:orient="landscape"/>
          <w:pgMar w:top="1588" w:right="2098" w:bottom="1474" w:left="1247" w:header="851" w:footer="992" w:gutter="0"/>
          <w:docGrid w:linePitch="319" w:charSpace="0"/>
        </w:sect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p>
      <w:pPr>
        <w:pStyle w:val="20"/>
        <w:widowControl w:val="0"/>
        <w:suppressAutoHyphens/>
        <w:spacing w:after="0" w:line="600" w:lineRule="exact"/>
        <w:ind w:firstLineChars="0" w:firstLine="0"/>
        <w:rPr>
          <w:rFonts w:ascii="Times New Roman" w:eastAsia="方正小标宋简体" w:hAnsi="Times New Roman"/>
          <w:sz w:val="44"/>
          <w:szCs w:val="44"/>
          <w:highlight w:val="yellow"/>
        </w:rPr>
      </w:pPr>
    </w:p>
    <w:p>
      <w:pPr>
        <w:spacing w:line="60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2024年1—3月重点湖库营养状况评价结果</w:t>
      </w:r>
    </w:p>
    <w:p>
      <w:pPr>
        <w:pStyle w:val="20"/>
        <w:widowControl w:val="0"/>
        <w:suppressAutoHyphens/>
        <w:spacing w:after="0" w:line="600" w:lineRule="exact"/>
        <w:ind w:firstLineChars="0" w:firstLine="0"/>
        <w:jc w:val="distribute"/>
        <w:rPr>
          <w:rFonts w:ascii="Times New Roman" w:eastAsia="方正小标宋简体" w:hAnsi="Times New Roman"/>
          <w:sz w:val="44"/>
          <w:szCs w:val="44"/>
        </w:rPr>
      </w:pPr>
    </w:p>
    <w:tbl>
      <w:tblPr>
        <w:jc w:val="cent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013"/>
        <w:gridCol w:w="2212"/>
        <w:gridCol w:w="1643"/>
        <w:gridCol w:w="1983"/>
      </w:tblGrid>
      <w:tr>
        <w:trPr>
          <w:trHeight w:val="400"/>
          <w:tblHeader/>
        </w:trPr>
        <w:tc>
          <w:tcPr>
            <w:tcW w:w="607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126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湖库名称</w:t>
            </w:r>
          </w:p>
        </w:tc>
        <w:tc>
          <w:tcPr>
            <w:tcW w:w="1237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断面名称</w:t>
            </w:r>
          </w:p>
        </w:tc>
        <w:tc>
          <w:tcPr>
            <w:tcW w:w="919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断面性质</w:t>
            </w:r>
          </w:p>
        </w:tc>
        <w:tc>
          <w:tcPr>
            <w:tcW w:w="1109" w:type="pct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营养状况</w:t>
            </w:r>
          </w:p>
        </w:tc>
      </w:tr>
      <w:tr>
        <w:trPr>
          <w:trHeight w:val="400"/>
          <w:tblHeader/>
        </w:trPr>
        <w:tc>
          <w:tcPr>
            <w:tcW w:w="607" w:type="pct"/>
            <w:vMerge/>
            <w:vAlign w:val="center"/>
          </w:tcPr>
          <w:p/>
        </w:tc>
        <w:tc>
          <w:tcPr>
            <w:tcW w:w="1126" w:type="pct"/>
            <w:vMerge/>
            <w:vAlign w:val="center"/>
          </w:tcPr>
          <w:p/>
        </w:tc>
        <w:tc>
          <w:tcPr>
            <w:tcW w:w="1237" w:type="pct"/>
            <w:vMerge/>
            <w:vAlign w:val="center"/>
          </w:tcPr>
          <w:p/>
        </w:tc>
        <w:tc>
          <w:tcPr>
            <w:tcW w:w="919" w:type="pct"/>
            <w:vMerge/>
            <w:vAlign w:val="center"/>
          </w:tcPr>
          <w:p/>
        </w:tc>
        <w:tc>
          <w:tcPr>
            <w:tcW w:w="1109" w:type="pct"/>
            <w:vMerge/>
            <w:vAlign w:val="center"/>
          </w:tcPr>
          <w:p/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邛海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邛海湖心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2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葫芦口水库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葫芦口水库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3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泸沽湖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泸沽湖湖心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4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鲁班水库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鲁班岛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国考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  <w:highlight w:val="yellow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5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紫坪铺水库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跨库大桥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6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三岔湖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库中测点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7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双溪水库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起水站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1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8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二滩水库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红壁滩下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9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白龙湖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坝前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10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升钟水库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李家坝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11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黑龙滩水库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龙庙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12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瀑布沟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青富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13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老鹰水库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吉乐村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14</w:t>
            </w:r>
          </w:p>
        </w:tc>
        <w:tc>
          <w:tcPr>
            <w:tcW w:w="1126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沉抗水库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uppressAutoHyphens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cs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省考</w:t>
            </w:r>
          </w:p>
        </w:tc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 w:cs="仿宋_GB2312" w:hAnsi="Times New Roman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szCs w:val="21"/>
              </w:rPr>
              <w:t>中营养</w:t>
            </w:r>
          </w:p>
        </w:tc>
      </w:tr>
    </w:tbl>
    <w:p>
      <w:pPr>
        <w:pStyle w:val="20"/>
        <w:widowControl w:val="0"/>
        <w:suppressAutoHyphens/>
        <w:rPr>
          <w:rFonts w:ascii="Times New Roman" w:eastAsia="黑体" w:hAnsi="Times New Roman"/>
          <w:color w:val="FF0000"/>
          <w:sz w:val="32"/>
          <w:szCs w:val="28"/>
          <w:highlight w:val="yellow"/>
        </w:rPr>
      </w:pPr>
    </w:p>
    <w:p>
      <w:pPr>
        <w:overflowPunct w:val="0"/>
        <w:topLinePunct/>
        <w:spacing w:line="600" w:lineRule="exact"/>
        <w:rPr>
          <w:rFonts w:ascii="Times New Roman" w:eastAsia="黑体" w:hAnsi="Times New Roman"/>
          <w:color w:val="FF0000"/>
          <w:sz w:val="32"/>
          <w:szCs w:val="28"/>
        </w:rPr>
      </w:pPr>
      <w:bookmarkStart w:id="0" w:name="_GoBack"/>
      <w:bookmarkEnd w:id="0"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pgSz w:w="11906" w:h="16838"/>
      <w:pgMar w:top="2098" w:right="1588" w:bottom="1247" w:left="1588" w:header="851" w:footer="992" w:gutter="0"/>
      <w:docGrid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微软雅黑">
    <w:altName w:val="永中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瀹嬩綋">
    <w:altName w:val="永中宋体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Liberation Sans">
    <w:altName w:val="永中宋体"/>
    <w:panose1 w:val="00000000000000000000"/>
    <w:charset w:val="00"/>
    <w:family w:val="swiss"/>
    <w:pitch w:val="variable"/>
    <w:sig w:usb0="00000000" w:usb1="00000000" w:usb2="00000000" w:usb3="00000000" w:csb0="00040001" w:csb1="00000000"/>
  </w:font>
  <w:font w:name="Noto Sans CJK SC Regular">
    <w:altName w:val="宋体"/>
    <w:panose1 w:val="00000000000000000000"/>
    <w:charset w:val="86"/>
    <w:family w:val="auto"/>
    <w:pitch w:val="variable"/>
    <w:sig w:usb0="30000003" w:usb1="2BDF3C10" w:usb2="00000016" w:usb3="00000000" w:csb0="602E0107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3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4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298" distR="114298" simplePos="0" relativeHeight="4" behindDoc="1" locked="0" layoutInCell="1" hidden="0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-1251585</wp:posOffset>
              </wp:positionV>
              <wp:extent cx="422655" cy="1113155"/>
              <wp:effectExtent l="0" t="0" r="0" b="0"/>
              <wp:wrapNone/>
              <wp:docPr id="4" name="Text Box 102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22655" cy="1113155"/>
                      </a:xfrm>
                      <a:prstGeom prst="rect"/>
                      <a:solidFill>
                        <a:srgbClr val="FFFFFF"/>
                      </a:solidFill>
                      <a:ln w="9525" cmpd="sng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ind w:leftChars="100" w:left="210" w:rightChars="100" w:right="21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21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Text Box 1025 6" o:spid="_x0000_s6" fillcolor="#FFFFFF" stroked="t" style="position:absolute;margin-left:-29.35pt;margin-top:-98.55pt;width:33.279987pt;height:87.65pt;z-index:-6;mso-position-horizontal:absolute;mso-position-vertical:absolute;mso-wrap-distance-left:8.999863pt;mso-wrap-distance-right:8.999863pt;mso-wrap-style:square;">
              <v:stroke color="#FFFFFF"/>
              <v:textbox id="850" inset="2.54mm,1.27mm,2.54mm,1.27mm" o:insetmode="custom" style="layout-flow:vertical;v-text-anchor:top;mso-fit-shape-to-text:t;">
                <w:txbxContent>
                  <w:p>
                    <w:pPr>
                      <w:pStyle w:val="17"/>
                      <w:widowControl w:val="0"/>
                      <w:tabs>
                        <w:tab w:val="center" w:pos="4153"/>
                        <w:tab w:val="right" w:pos="8306"/>
                      </w:tabs>
                      <w:suppressAutoHyphens/>
                      <w:ind w:leftChars="100" w:left="210" w:rightChars="100" w:right="21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21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rightChars="100" w:right="210"/>
      <w:rPr>
        <w:rFonts w:ascii="宋体"/>
        <w:sz w:val="28"/>
        <w:szCs w:val="28"/>
      </w:rPr>
    </w:pPr>
  </w:p>
</w:ftr>
</file>

<file path=word/footer5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lear" w:pos="4153"/>
        <w:tab w:val="clear" w:pos="8306"/>
        <w:tab w:val="left" w:pos="1552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8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251"/>
              <wp:effectExtent l="0" t="0" r="0" b="0"/>
              <wp:wrapNone/>
              <wp:docPr id="7" name="文本框 102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779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8">
                      <w:txbxContent>
                        <w:p>
                          <w:pPr>
                            <w:pStyle w:val="17"/>
                            <w:widowControl w:val="0"/>
                            <w:tabs>
                              <w:tab w:val="clear" w:pos="4153"/>
                              <w:tab w:val="clear" w:pos="8306"/>
                              <w:tab w:val="left" w:pos="1552"/>
                            </w:tabs>
                            <w:suppressAutoHyphens/>
                            <w:ind w:leftChars="100" w:left="210" w:rightChars="100" w:right="210"/>
                            <w:jc w:val="right"/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28 9" o:spid="_x0000_s9" filled="f" stroked="f" style="position:absolute;margin-left:92.8pt;margin-top:0.0pt;width:77.00001pt;height:18.130003pt;z-index:18;mso-position-horizontal:outsid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7"/>
                      <w:widowControl w:val="0"/>
                      <w:tabs>
                        <w:tab w:val="clear" w:pos="4153"/>
                        <w:tab w:val="clear" w:pos="8306"/>
                        <w:tab w:val="left" w:pos="1552"/>
                      </w:tabs>
                      <w:suppressAutoHyphens/>
                      <w:ind w:leftChars="100" w:left="210" w:rightChars="100" w:right="210"/>
                      <w:jc w:val="right"/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</w:p>
</w:ftr>
</file>

<file path=word/footer7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widowControl w:val="0"/>
      <w:tabs>
        <w:tab w:val="center" w:pos="4153"/>
        <w:tab w:val="right" w:pos="8306"/>
      </w:tabs>
      <w:suppressAutoHyphens/>
      <w:ind w:leftChars="100" w:left="210" w:rightChars="100" w:right="21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23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364490</wp:posOffset>
              </wp:positionV>
              <wp:extent cx="422655" cy="1113155"/>
              <wp:effectExtent l="0" t="0" r="0" b="0"/>
              <wp:wrapNone/>
              <wp:docPr id="1" name="Text Box 102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22655" cy="1113155"/>
                      </a:xfrm>
                      <a:prstGeom prst="rect"/>
                      <a:solidFill>
                        <a:srgbClr val="FFFFFF"/>
                      </a:solidFill>
                      <a:ln w="9525" cmpd="sng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ind w:leftChars="100" w:left="210" w:rightChars="100" w:right="21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22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Text Box 1026 3" o:spid="_x0000_s3" fillcolor="#FFFFFF" stroked="t" style="position:absolute;margin-left:-30.85pt;margin-top:28.7pt;width:33.279987pt;height:87.65pt;z-index:-7;mso-position-horizontal:absolute;mso-position-vertical:absolute;mso-wrap-distance-left:8.999863pt;mso-wrap-distance-right:8.999863pt;mso-wrap-style:square;">
              <v:stroke color="#FFFFFF"/>
              <v:textbox id="849" inset="2.54mm,1.27mm,2.54mm,1.27mm" o:insetmode="custom" style="layout-flow:vertical;v-text-anchor:top;mso-fit-shape-to-text:t;">
                <w:txbxContent>
                  <w:p>
                    <w:pPr>
                      <w:pStyle w:val="17"/>
                      <w:widowControl w:val="0"/>
                      <w:tabs>
                        <w:tab w:val="center" w:pos="4153"/>
                        <w:tab w:val="right" w:pos="8306"/>
                      </w:tabs>
                      <w:suppressAutoHyphens/>
                      <w:ind w:leftChars="100" w:left="210" w:rightChars="100" w:right="21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header4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/>
</w:hdr>
</file>

<file path=word/header5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ascii="Times New Roman" w:hAnsi="Times New Roman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2"/>
  <w:displayBackgroundShape/>
  <w:bordersDoNotSurroundHeader/>
  <w:bordersDoNotSurroundFooter/>
  <w:documentProtection w:edit="readOnly" w:enforcement="0"/>
  <w:defaultTabStop w:val="420"/>
  <w:evenAndOddHeaders/>
  <w:drawingGridHorizontalSpacing w:val="1"/>
  <w:drawingGridVerticalSpacing w:val="1"/>
  <w:doNotUseMarginsForDrawingGridOrigin/>
  <w:drawingGridHorizontalOrigin w:val="0"/>
  <w:drawingGridVerticalOrigin w:val="0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NGM0YzAyMTA2ODBhYzdjMzlhMjE1YWI0MzllZTUwNGYifQ=="/>
    <w:docVar w:name="KGWebUrl" w:val="http://10.194.22.238:8089/seeyon/officeservlet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caption"/>
    <w:basedOn w:val="0"/>
    <w:pPr>
      <w:widowControl w:val="0"/>
      <w:suppressLineNumbers/>
      <w:suppressAutoHyphens/>
      <w:spacing w:before="120" w:after="120"/>
    </w:pPr>
    <w:rPr>
      <w:i/>
      <w:iCs/>
      <w:sz w:val="24"/>
    </w:rPr>
  </w:style>
  <w:style w:type="paragraph" w:styleId="16">
    <w:name w:val="Body Text"/>
    <w:basedOn w:val="0"/>
    <w:next w:val="0"/>
    <w:pPr>
      <w:spacing w:after="140" w:line="276" w:lineRule="auto"/>
    </w:pPr>
  </w:style>
  <w:style w:type="paragraph" w:styleId="17">
    <w:name w:val="footer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List"/>
    <w:basedOn w:val="16"/>
  </w:style>
  <w:style w:type="paragraph" w:styleId="20">
    <w:name w:val="Body Text First Indent"/>
    <w:pPr>
      <w:widowControl w:val="0"/>
      <w:spacing w:after="120"/>
      <w:ind w:firstLineChars="100" w:firstLine="100"/>
      <w:jc w:val="both"/>
    </w:pPr>
    <w:rPr>
      <w:rFonts w:ascii="Calibri" w:eastAsia="仿宋" w:cs="Times New Roman" w:hAnsi="Calibri"/>
      <w:kern w:val="2"/>
      <w:sz w:val="28"/>
      <w:szCs w:val="22"/>
      <w:lang w:val="en-US" w:eastAsia="zh-CN" w:bidi="ar-SA"/>
    </w:rPr>
  </w:style>
  <w:style w:type="character" w:customStyle="1" w:styleId="21">
    <w:name w:val="默认段落字体1"/>
  </w:style>
  <w:style w:type="paragraph" w:customStyle="1" w:styleId="22">
    <w:name w:val="Heading"/>
    <w:basedOn w:val="0"/>
    <w:next w:val="16"/>
    <w:pPr>
      <w:keepNext/>
      <w:widowControl w:val="0"/>
      <w:suppressAutoHyphens/>
      <w:spacing w:before="240" w:after="120"/>
    </w:pPr>
    <w:rPr>
      <w:rFonts w:ascii="Liberation Sans" w:eastAsia="Noto Sans CJK SC Regular" w:cs="Noto Sans CJK SC Regular" w:hAnsi="Liberation Sans"/>
      <w:sz w:val="28"/>
      <w:szCs w:val="28"/>
    </w:rPr>
  </w:style>
  <w:style w:type="paragraph" w:customStyle="1" w:styleId="23">
    <w:name w:val="Index"/>
    <w:basedOn w:val="0"/>
    <w:pPr>
      <w:widowControl w:val="0"/>
      <w:suppressLineNumbers/>
      <w:suppressAutoHyphens/>
    </w:pPr>
  </w:style>
  <w:style w:type="paragraph" w:customStyle="1" w:styleId="24">
    <w:name w:val="标准文字"/>
    <w:pPr>
      <w:widowControl w:val="0"/>
      <w:overflowPunct w:val="0"/>
      <w:spacing w:line="360" w:lineRule="auto"/>
      <w:ind w:firstLineChars="200" w:firstLine="200"/>
      <w:jc w:val="both"/>
    </w:pPr>
    <w:rPr>
      <w:rFonts w:ascii="Times New Roman" w:eastAsia="仿宋_GB2312" w:cs="Times New Roman" w:hAnsi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styles" Target="styles.xml"/><Relationship Id="rId1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43</Pages>
  <Words>7576</Words>
  <Characters>8985</Characters>
  <Lines>4207</Lines>
  <Paragraphs>2859</Paragraphs>
  <CharactersWithSpaces>8991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2024年1—3月全省水环境目标任务</dc:title>
  <dc:creator>user</dc:creator>
  <cp:lastModifiedBy>user</cp:lastModifiedBy>
  <cp:revision>7</cp:revision>
  <cp:lastPrinted>2023-11-17T11:36:00Z</cp:lastPrinted>
  <dcterms:created xsi:type="dcterms:W3CDTF">2018-12-09T01:47:00Z</dcterms:created>
  <dcterms:modified xsi:type="dcterms:W3CDTF">2024-04-26T02:49:22Z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2052-12.1.0.16417</vt:lpwstr>
  </property>
  <property fmtid="{D5CDD505-2E9C-101B-9397-08002B2CF9AE}" pid="3" name="ICV">
    <vt:lpwstr>D588E474D68D40A0B26B50F941FFB377_13</vt:lpwstr>
  </property>
</Properties>
</file>