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ascii="Times New Roman" w:hAnsi="Times New Roman" w:eastAsia="黑体"/>
          <w:color w:val="000000" w:themeColor="text1"/>
          <w:sz w:val="30"/>
          <w:szCs w:val="30"/>
          <w14:textFill>
            <w14:solidFill>
              <w14:schemeClr w14:val="tx1"/>
            </w14:solidFill>
          </w14:textFill>
        </w:rPr>
      </w:pPr>
      <w:bookmarkStart w:id="0" w:name="_Toc18425"/>
      <w:bookmarkStart w:id="1" w:name="_Toc29626"/>
      <w:bookmarkStart w:id="2" w:name="_Toc5201"/>
    </w:p>
    <w:p>
      <w:pPr>
        <w:widowControl/>
        <w:jc w:val="center"/>
        <w:outlineLvl w:val="0"/>
        <w:rPr>
          <w:rFonts w:ascii="Times New Roman" w:hAnsi="Times New Roman" w:eastAsia="黑体"/>
          <w:color w:val="000000" w:themeColor="text1"/>
          <w:sz w:val="30"/>
          <w:szCs w:val="30"/>
          <w14:textFill>
            <w14:solidFill>
              <w14:schemeClr w14:val="tx1"/>
            </w14:solidFill>
          </w14:textFill>
        </w:rPr>
      </w:pPr>
      <w:r>
        <w:rPr>
          <w:rFonts w:hint="eastAsia" w:ascii="Times New Roman" w:hAnsi="Times New Roman" w:eastAsia="黑体"/>
          <w:color w:val="000000" w:themeColor="text1"/>
          <w:sz w:val="30"/>
          <w:szCs w:val="30"/>
          <w14:textFill>
            <w14:solidFill>
              <w14:schemeClr w14:val="tx1"/>
            </w14:solidFill>
          </w14:textFill>
        </w:rPr>
        <w:t>目录</w:t>
      </w:r>
    </w:p>
    <w:p>
      <w:pPr>
        <w:widowControl/>
        <w:tabs>
          <w:tab w:val="decimal" w:leader="dot" w:pos="5760"/>
        </w:tabs>
        <w:spacing w:line="600" w:lineRule="exact"/>
        <w:outlineLvl w:val="0"/>
        <w:rPr>
          <w:rFonts w:ascii="仿宋_GB2312" w:hAnsi="Times New Roman" w:eastAsia="仿宋_GB2312"/>
          <w:color w:val="000000" w:themeColor="text1"/>
          <w:sz w:val="28"/>
          <w:szCs w:val="28"/>
          <w14:textFill>
            <w14:solidFill>
              <w14:schemeClr w14:val="tx1"/>
            </w14:solidFill>
          </w14:textFill>
        </w:rPr>
      </w:pPr>
    </w:p>
    <w:p>
      <w:pPr>
        <w:widowControl/>
        <w:tabs>
          <w:tab w:val="decimal" w:leader="dot" w:pos="5760"/>
        </w:tabs>
        <w:spacing w:line="600" w:lineRule="exact"/>
        <w:outlineLvl w:val="0"/>
        <w:rPr>
          <w:rFonts w:ascii="仿宋_GB2312" w:hAnsi="Times New Roman" w:eastAsia="仿宋_GB2312"/>
          <w:color w:val="000000" w:themeColor="text1"/>
          <w:sz w:val="28"/>
          <w:szCs w:val="28"/>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一、建设项目环评审批手续办理流程</w:t>
      </w:r>
      <w:r>
        <w:rPr>
          <w:rFonts w:ascii="仿宋_GB2312" w:hAnsi="Times New Roman" w:eastAsia="仿宋_GB2312"/>
          <w:color w:val="000000" w:themeColor="text1"/>
          <w:sz w:val="28"/>
          <w:szCs w:val="28"/>
          <w14:textFill>
            <w14:solidFill>
              <w14:schemeClr w14:val="tx1"/>
            </w14:solidFill>
          </w14:textFill>
        </w:rPr>
        <w:tab/>
      </w:r>
      <w:r>
        <w:rPr>
          <w:rFonts w:ascii="仿宋_GB2312" w:hAnsi="Times New Roman" w:eastAsia="仿宋_GB2312"/>
          <w:color w:val="000000" w:themeColor="text1"/>
          <w:sz w:val="28"/>
          <w:szCs w:val="28"/>
          <w14:textFill>
            <w14:solidFill>
              <w14:schemeClr w14:val="tx1"/>
            </w14:solidFill>
          </w14:textFill>
        </w:rPr>
        <w:t>1</w:t>
      </w:r>
    </w:p>
    <w:p>
      <w:pPr>
        <w:widowControl/>
        <w:tabs>
          <w:tab w:val="decimal" w:leader="dot" w:pos="5760"/>
        </w:tabs>
        <w:spacing w:line="600" w:lineRule="exact"/>
        <w:outlineLvl w:val="0"/>
        <w:rPr>
          <w:rFonts w:hint="eastAsia" w:ascii="仿宋_GB2312" w:eastAsia="仿宋_GB2312"/>
          <w:color w:val="000000" w:themeColor="text1"/>
          <w:sz w:val="28"/>
          <w:szCs w:val="28"/>
          <w:lang w:eastAsia="zh-CN"/>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二、</w:t>
      </w:r>
      <w:r>
        <w:rPr>
          <w:rFonts w:hint="eastAsia" w:ascii="仿宋_GB2312" w:hAnsi="Times New Roman" w:eastAsia="仿宋_GB2312"/>
          <w:color w:val="000000" w:themeColor="text1"/>
          <w:sz w:val="28"/>
          <w:szCs w:val="28"/>
          <w14:textFill>
            <w14:solidFill>
              <w14:schemeClr w14:val="tx1"/>
            </w14:solidFill>
          </w14:textFill>
        </w:rPr>
        <w:t>生态环境部门咨询联系方式</w:t>
      </w:r>
      <w:r>
        <w:rPr>
          <w:rFonts w:ascii="仿宋_GB2312" w:eastAsia="仿宋_GB2312"/>
          <w:color w:val="000000" w:themeColor="text1"/>
          <w:sz w:val="28"/>
          <w:szCs w:val="28"/>
          <w14:textFill>
            <w14:solidFill>
              <w14:schemeClr w14:val="tx1"/>
            </w14:solidFill>
          </w14:textFill>
        </w:rPr>
        <w:tab/>
      </w:r>
      <w:r>
        <w:rPr>
          <w:rFonts w:hint="eastAsia" w:ascii="仿宋_GB2312" w:eastAsia="仿宋_GB2312"/>
          <w:color w:val="000000" w:themeColor="text1"/>
          <w:sz w:val="28"/>
          <w:szCs w:val="28"/>
          <w:lang w:val="en-US" w:eastAsia="zh-CN"/>
          <w14:textFill>
            <w14:solidFill>
              <w14:schemeClr w14:val="tx1"/>
            </w14:solidFill>
          </w14:textFill>
        </w:rPr>
        <w:t>4</w:t>
      </w:r>
    </w:p>
    <w:p>
      <w:pPr>
        <w:widowControl/>
        <w:tabs>
          <w:tab w:val="decimal" w:leader="dot" w:pos="5760"/>
        </w:tabs>
        <w:spacing w:line="600" w:lineRule="exact"/>
        <w:outlineLvl w:val="0"/>
        <w:rPr>
          <w:rFonts w:hint="eastAsia" w:ascii="仿宋_GB2312" w:eastAsia="仿宋_GB2312"/>
          <w:color w:val="000000" w:themeColor="text1"/>
          <w:sz w:val="28"/>
          <w:szCs w:val="28"/>
          <w:lang w:eastAsia="zh-CN"/>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三、哪些项目不用办理环评审批手续</w:t>
      </w:r>
      <w:r>
        <w:rPr>
          <w:rFonts w:ascii="仿宋_GB2312" w:eastAsia="仿宋_GB2312"/>
          <w:color w:val="000000" w:themeColor="text1"/>
          <w:sz w:val="28"/>
          <w:szCs w:val="28"/>
          <w14:textFill>
            <w14:solidFill>
              <w14:schemeClr w14:val="tx1"/>
            </w14:solidFill>
          </w14:textFill>
        </w:rPr>
        <w:tab/>
      </w:r>
      <w:r>
        <w:rPr>
          <w:rFonts w:hint="eastAsia" w:ascii="仿宋_GB2312" w:eastAsia="仿宋_GB2312"/>
          <w:color w:val="000000" w:themeColor="text1"/>
          <w:sz w:val="28"/>
          <w:szCs w:val="28"/>
          <w:lang w:val="en-US" w:eastAsia="zh-CN"/>
          <w14:textFill>
            <w14:solidFill>
              <w14:schemeClr w14:val="tx1"/>
            </w14:solidFill>
          </w14:textFill>
        </w:rPr>
        <w:t>5</w:t>
      </w:r>
    </w:p>
    <w:p>
      <w:pPr>
        <w:widowControl/>
        <w:tabs>
          <w:tab w:val="decimal" w:leader="dot" w:pos="5760"/>
        </w:tabs>
        <w:spacing w:line="600" w:lineRule="exact"/>
        <w:outlineLvl w:val="0"/>
        <w:rPr>
          <w:rFonts w:hint="eastAsia" w:ascii="仿宋_GB2312" w:eastAsia="仿宋_GB2312"/>
          <w:color w:val="000000" w:themeColor="text1"/>
          <w:sz w:val="28"/>
          <w:szCs w:val="28"/>
          <w:lang w:eastAsia="zh-CN"/>
          <w14:textFill>
            <w14:solidFill>
              <w14:schemeClr w14:val="tx1"/>
            </w14:solidFill>
          </w14:textFill>
        </w:rPr>
      </w:pPr>
      <w:r>
        <w:rPr>
          <w:rFonts w:hint="eastAsia" w:ascii="仿宋_GB2312" w:eastAsia="仿宋_GB2312"/>
          <w:color w:val="000000" w:themeColor="text1"/>
          <w:sz w:val="28"/>
          <w:szCs w:val="28"/>
          <w:lang w:eastAsia="zh-CN"/>
          <w14:textFill>
            <w14:solidFill>
              <w14:schemeClr w14:val="tx1"/>
            </w14:solidFill>
          </w14:textFill>
        </w:rPr>
        <w:t>四</w:t>
      </w:r>
      <w:r>
        <w:rPr>
          <w:rFonts w:hint="eastAsia" w:ascii="仿宋_GB2312" w:eastAsia="仿宋_GB2312"/>
          <w:color w:val="000000" w:themeColor="text1"/>
          <w:sz w:val="28"/>
          <w:szCs w:val="28"/>
          <w14:textFill>
            <w14:solidFill>
              <w14:schemeClr w14:val="tx1"/>
            </w14:solidFill>
          </w14:textFill>
        </w:rPr>
        <w:t>、建设项目分级审批管理规定</w:t>
      </w:r>
      <w:r>
        <w:rPr>
          <w:rFonts w:ascii="仿宋_GB2312" w:eastAsia="仿宋_GB2312"/>
          <w:color w:val="000000" w:themeColor="text1"/>
          <w:sz w:val="28"/>
          <w:szCs w:val="28"/>
          <w14:textFill>
            <w14:solidFill>
              <w14:schemeClr w14:val="tx1"/>
            </w14:solidFill>
          </w14:textFill>
        </w:rPr>
        <w:tab/>
      </w:r>
      <w:r>
        <w:rPr>
          <w:rFonts w:hint="eastAsia" w:ascii="仿宋_GB2312" w:eastAsia="仿宋_GB2312"/>
          <w:color w:val="000000" w:themeColor="text1"/>
          <w:sz w:val="28"/>
          <w:szCs w:val="28"/>
          <w:lang w:val="en-US" w:eastAsia="zh-CN"/>
          <w14:textFill>
            <w14:solidFill>
              <w14:schemeClr w14:val="tx1"/>
            </w14:solidFill>
          </w14:textFill>
        </w:rPr>
        <w:t>6</w:t>
      </w:r>
    </w:p>
    <w:p>
      <w:pPr>
        <w:widowControl/>
        <w:tabs>
          <w:tab w:val="decimal" w:leader="dot" w:pos="5760"/>
        </w:tabs>
        <w:spacing w:line="600" w:lineRule="exact"/>
        <w:outlineLvl w:val="0"/>
        <w:rPr>
          <w:rFonts w:hint="default" w:ascii="仿宋_GB2312" w:hAnsi="Times New Roman"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eastAsia="zh-CN"/>
          <w14:textFill>
            <w14:solidFill>
              <w14:schemeClr w14:val="tx1"/>
            </w14:solidFill>
          </w14:textFill>
        </w:rPr>
        <w:t>五、</w:t>
      </w:r>
      <w:r>
        <w:rPr>
          <w:rFonts w:hint="eastAsia" w:ascii="仿宋_GB2312" w:eastAsia="仿宋_GB2312"/>
          <w:color w:val="000000" w:themeColor="text1"/>
          <w:sz w:val="28"/>
          <w:szCs w:val="28"/>
          <w:lang w:val="en-US" w:eastAsia="zh-CN"/>
          <w14:textFill>
            <w14:solidFill>
              <w14:schemeClr w14:val="tx1"/>
            </w14:solidFill>
          </w14:textFill>
        </w:rPr>
        <w:t>小微企业“三个一”环保服务工作</w:t>
      </w:r>
      <w:r>
        <w:rPr>
          <w:rFonts w:ascii="仿宋_GB2312" w:hAnsi="Times New Roman" w:eastAsia="仿宋_GB2312"/>
          <w:color w:val="000000" w:themeColor="text1"/>
          <w:sz w:val="28"/>
          <w:szCs w:val="28"/>
          <w14:textFill>
            <w14:solidFill>
              <w14:schemeClr w14:val="tx1"/>
            </w14:solidFill>
          </w14:textFill>
        </w:rPr>
        <w:tab/>
      </w:r>
      <w:r>
        <w:rPr>
          <w:rFonts w:hint="eastAsia" w:ascii="仿宋_GB2312" w:hAnsi="Times New Roman" w:eastAsia="仿宋_GB2312"/>
          <w:color w:val="000000" w:themeColor="text1"/>
          <w:sz w:val="28"/>
          <w:szCs w:val="28"/>
          <w:lang w:val="en-US" w:eastAsia="zh-CN"/>
          <w14:textFill>
            <w14:solidFill>
              <w14:schemeClr w14:val="tx1"/>
            </w14:solidFill>
          </w14:textFill>
        </w:rPr>
        <w:t>14</w:t>
      </w:r>
    </w:p>
    <w:p>
      <w:pPr>
        <w:widowControl/>
        <w:tabs>
          <w:tab w:val="decimal" w:leader="dot" w:pos="5760"/>
        </w:tabs>
        <w:spacing w:line="600" w:lineRule="exact"/>
        <w:outlineLvl w:val="0"/>
        <w:rPr>
          <w:rFonts w:hint="default"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六、重点项目环评预审制</w:t>
      </w:r>
      <w:r>
        <w:rPr>
          <w:rFonts w:ascii="仿宋_GB2312" w:eastAsia="仿宋_GB2312"/>
          <w:color w:val="000000" w:themeColor="text1"/>
          <w:sz w:val="28"/>
          <w:szCs w:val="28"/>
          <w14:textFill>
            <w14:solidFill>
              <w14:schemeClr w14:val="tx1"/>
            </w14:solidFill>
          </w14:textFill>
        </w:rPr>
        <w:tab/>
      </w:r>
      <w:r>
        <w:rPr>
          <w:rFonts w:hint="eastAsia" w:ascii="仿宋_GB2312" w:eastAsia="仿宋_GB2312"/>
          <w:color w:val="000000" w:themeColor="text1"/>
          <w:sz w:val="28"/>
          <w:szCs w:val="28"/>
          <w:lang w:val="en-US" w:eastAsia="zh-CN"/>
          <w14:textFill>
            <w14:solidFill>
              <w14:schemeClr w14:val="tx1"/>
            </w14:solidFill>
          </w14:textFill>
        </w:rPr>
        <w:t>16</w:t>
      </w:r>
    </w:p>
    <w:p>
      <w:pPr>
        <w:widowControl/>
        <w:tabs>
          <w:tab w:val="decimal" w:leader="dot" w:pos="5760"/>
        </w:tabs>
        <w:spacing w:line="600" w:lineRule="exact"/>
        <w:ind w:left="560" w:hanging="560" w:hangingChars="200"/>
        <w:outlineLvl w:val="0"/>
        <w:rPr>
          <w:rFonts w:hint="default"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七、攀枝花市建设项目环境影响报告表承诺制审批</w:t>
      </w:r>
      <w:r>
        <w:rPr>
          <w:rFonts w:ascii="仿宋_GB2312" w:eastAsia="仿宋_GB2312"/>
          <w:color w:val="000000" w:themeColor="text1"/>
          <w:sz w:val="28"/>
          <w:szCs w:val="28"/>
          <w14:textFill>
            <w14:solidFill>
              <w14:schemeClr w14:val="tx1"/>
            </w14:solidFill>
          </w14:textFill>
        </w:rPr>
        <w:tab/>
      </w:r>
      <w:r>
        <w:rPr>
          <w:rFonts w:hint="eastAsia" w:ascii="仿宋_GB2312" w:eastAsia="仿宋_GB2312"/>
          <w:color w:val="000000" w:themeColor="text1"/>
          <w:sz w:val="28"/>
          <w:szCs w:val="28"/>
          <w:lang w:val="en-US" w:eastAsia="zh-CN"/>
          <w14:textFill>
            <w14:solidFill>
              <w14:schemeClr w14:val="tx1"/>
            </w14:solidFill>
          </w14:textFill>
        </w:rPr>
        <w:t>17</w:t>
      </w:r>
    </w:p>
    <w:p>
      <w:pPr>
        <w:widowControl/>
        <w:tabs>
          <w:tab w:val="decimal" w:leader="dot" w:pos="5760"/>
        </w:tabs>
        <w:spacing w:line="600" w:lineRule="exact"/>
        <w:outlineLvl w:val="0"/>
        <w:rPr>
          <w:rFonts w:hint="default" w:ascii="仿宋_GB2312" w:eastAsia="仿宋_GB2312"/>
          <w:color w:val="000000" w:themeColor="text1"/>
          <w:sz w:val="28"/>
          <w:szCs w:val="28"/>
          <w:lang w:val="en-US" w:eastAsia="zh-CN"/>
          <w14:textFill>
            <w14:solidFill>
              <w14:schemeClr w14:val="tx1"/>
            </w14:solidFill>
          </w14:textFill>
        </w:rPr>
      </w:pPr>
      <w:r>
        <w:rPr>
          <w:rFonts w:hint="eastAsia" w:ascii="仿宋_GB2312" w:eastAsia="仿宋_GB2312"/>
          <w:color w:val="000000" w:themeColor="text1"/>
          <w:sz w:val="28"/>
          <w:szCs w:val="28"/>
          <w:lang w:val="en-US" w:eastAsia="zh-CN"/>
          <w14:textFill>
            <w14:solidFill>
              <w14:schemeClr w14:val="tx1"/>
            </w14:solidFill>
          </w14:textFill>
        </w:rPr>
        <w:t>八、排污许可管理办法</w:t>
      </w:r>
      <w:r>
        <w:rPr>
          <w:rFonts w:ascii="仿宋_GB2312" w:eastAsia="仿宋_GB2312"/>
          <w:color w:val="000000" w:themeColor="text1"/>
          <w:sz w:val="28"/>
          <w:szCs w:val="28"/>
          <w14:textFill>
            <w14:solidFill>
              <w14:schemeClr w14:val="tx1"/>
            </w14:solidFill>
          </w14:textFill>
        </w:rPr>
        <w:tab/>
      </w:r>
      <w:r>
        <w:rPr>
          <w:rFonts w:hint="eastAsia" w:ascii="仿宋_GB2312" w:eastAsia="仿宋_GB2312"/>
          <w:color w:val="000000" w:themeColor="text1"/>
          <w:sz w:val="28"/>
          <w:szCs w:val="28"/>
          <w:lang w:val="en-US" w:eastAsia="zh-CN"/>
          <w14:textFill>
            <w14:solidFill>
              <w14:schemeClr w14:val="tx1"/>
            </w14:solidFill>
          </w14:textFill>
        </w:rPr>
        <w:t>20</w:t>
      </w:r>
    </w:p>
    <w:p>
      <w:pPr>
        <w:widowControl/>
        <w:tabs>
          <w:tab w:val="decimal" w:leader="dot" w:pos="5760"/>
        </w:tabs>
        <w:outlineLvl w:val="0"/>
        <w:rPr>
          <w:rFonts w:hint="eastAsia"/>
          <w:color w:val="000000" w:themeColor="text1"/>
          <w:lang w:eastAsia="zh-CN"/>
          <w14:textFill>
            <w14:solidFill>
              <w14:schemeClr w14:val="tx1"/>
            </w14:solidFill>
          </w14:textFill>
        </w:rPr>
      </w:pPr>
    </w:p>
    <w:p>
      <w:pPr>
        <w:widowControl/>
        <w:tabs>
          <w:tab w:val="decimal" w:leader="dot" w:pos="5760"/>
        </w:tabs>
        <w:ind w:firstLine="600" w:firstLineChars="200"/>
        <w:outlineLvl w:val="0"/>
        <w:rPr>
          <w:rFonts w:ascii="Times New Roman" w:hAnsi="Times New Roman" w:eastAsia="黑体"/>
          <w:color w:val="000000" w:themeColor="text1"/>
          <w:sz w:val="30"/>
          <w:szCs w:val="30"/>
          <w14:textFill>
            <w14:solidFill>
              <w14:schemeClr w14:val="tx1"/>
            </w14:solidFill>
          </w14:textFill>
        </w:rPr>
      </w:pPr>
    </w:p>
    <w:p>
      <w:pPr>
        <w:widowControl/>
        <w:tabs>
          <w:tab w:val="decimal" w:leader="dot" w:pos="5760"/>
        </w:tabs>
        <w:ind w:firstLine="600" w:firstLineChars="200"/>
        <w:outlineLvl w:val="0"/>
        <w:rPr>
          <w:rFonts w:ascii="Times New Roman" w:hAnsi="Times New Roman" w:eastAsia="黑体"/>
          <w:color w:val="000000" w:themeColor="text1"/>
          <w:sz w:val="30"/>
          <w:szCs w:val="30"/>
          <w14:textFill>
            <w14:solidFill>
              <w14:schemeClr w14:val="tx1"/>
            </w14:solidFill>
          </w14:textFill>
        </w:rPr>
        <w:sectPr>
          <w:footerReference r:id="rId3" w:type="even"/>
          <w:pgSz w:w="8392" w:h="11907"/>
          <w:pgMar w:top="1247" w:right="1247" w:bottom="1418" w:left="1247" w:header="851" w:footer="992" w:gutter="0"/>
          <w:pgNumType w:start="1"/>
          <w:cols w:space="720" w:num="1"/>
          <w:docGrid w:linePitch="312" w:charSpace="0"/>
        </w:sectPr>
      </w:pPr>
      <w:r>
        <w:rPr>
          <w:rFonts w:ascii="Times New Roman" w:hAnsi="Times New Roman" w:eastAsia="黑体"/>
          <w:color w:val="000000" w:themeColor="text1"/>
          <w:sz w:val="30"/>
          <w:szCs w:val="30"/>
          <w14:textFill>
            <w14:solidFill>
              <w14:schemeClr w14:val="tx1"/>
            </w14:solidFill>
          </w14:textFill>
        </w:rPr>
        <w:br w:type="page"/>
      </w:r>
    </w:p>
    <w:p>
      <w:pPr>
        <w:widowControl/>
        <w:outlineLvl w:val="0"/>
        <w:rPr>
          <w:rFonts w:ascii="方正黑体_GBK" w:hAnsi="Times New Roman" w:eastAsia="方正黑体_GBK"/>
          <w:color w:val="000000" w:themeColor="text1"/>
          <w:sz w:val="30"/>
          <w:szCs w:val="30"/>
          <w14:textFill>
            <w14:solidFill>
              <w14:schemeClr w14:val="tx1"/>
            </w14:solidFill>
          </w14:textFill>
        </w:rPr>
      </w:pPr>
      <w:r>
        <w:rPr>
          <w:rFonts w:hint="eastAsia" w:ascii="方正黑体_GBK" w:hAnsi="Times New Roman" w:eastAsia="方正黑体_GBK"/>
          <w:color w:val="000000" w:themeColor="text1"/>
          <w:sz w:val="30"/>
          <w:szCs w:val="30"/>
          <w14:textFill>
            <w14:solidFill>
              <w14:schemeClr w14:val="tx1"/>
            </w14:solidFill>
          </w14:textFill>
        </w:rPr>
        <w:t>一、建设项目环评审批手续办理流程</w:t>
      </w:r>
      <w:bookmarkEnd w:id="0"/>
    </w:p>
    <w:p>
      <w:pPr>
        <w:keepNext w:val="0"/>
        <w:keepLines w:val="0"/>
        <w:pageBreakBefore w:val="0"/>
        <w:widowControl w:val="0"/>
        <w:kinsoku/>
        <w:wordWrap/>
        <w:overflowPunct/>
        <w:topLinePunct w:val="0"/>
        <w:autoSpaceDE/>
        <w:autoSpaceDN/>
        <w:bidi w:val="0"/>
        <w:adjustRightInd/>
        <w:snapToGrid/>
        <w:spacing w:after="313" w:afterLines="100"/>
        <w:textAlignment w:val="auto"/>
        <w:outlineLvl w:val="1"/>
        <w:rPr>
          <w:rFonts w:ascii="楷体" w:hAnsi="楷体" w:eastAsia="楷体"/>
          <w:b/>
          <w:color w:val="000000" w:themeColor="text1"/>
          <w:sz w:val="28"/>
          <w:szCs w:val="28"/>
          <w14:textFill>
            <w14:solidFill>
              <w14:schemeClr w14:val="tx1"/>
            </w14:solidFill>
          </w14:textFill>
        </w:rPr>
      </w:pPr>
      <w:bookmarkStart w:id="3" w:name="_Toc17829"/>
      <w:r>
        <w:rPr>
          <w:rFonts w:hint="eastAsia" w:ascii="楷体" w:hAnsi="楷体" w:eastAsia="楷体"/>
          <w:b/>
          <w:color w:val="000000" w:themeColor="text1"/>
          <w:sz w:val="28"/>
          <w:szCs w:val="28"/>
          <w14:textFill>
            <w14:solidFill>
              <w14:schemeClr w14:val="tx1"/>
            </w14:solidFill>
          </w14:textFill>
        </w:rPr>
        <w:t>（一）报告书、表审批手续办理流程</w:t>
      </w:r>
      <w:bookmarkEnd w:id="3"/>
    </w:p>
    <w:p>
      <w:pPr>
        <w:ind w:left="0" w:leftChars="-200" w:hanging="420" w:hanging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6433820" cy="2995930"/>
            <wp:effectExtent l="0" t="0" r="5080" b="13970"/>
            <wp:docPr id="4" name="图片 4" descr="未命名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未命名 -2"/>
                    <pic:cNvPicPr>
                      <a:picLocks noChangeAspect="true"/>
                    </pic:cNvPicPr>
                  </pic:nvPicPr>
                  <pic:blipFill>
                    <a:blip r:embed="rId6"/>
                    <a:srcRect t="18050"/>
                    <a:stretch>
                      <a:fillRect/>
                    </a:stretch>
                  </pic:blipFill>
                  <pic:spPr>
                    <a:xfrm>
                      <a:off x="0" y="0"/>
                      <a:ext cx="6433820" cy="2995930"/>
                    </a:xfrm>
                    <a:prstGeom prst="rect">
                      <a:avLst/>
                    </a:prstGeom>
                  </pic:spPr>
                </pic:pic>
              </a:graphicData>
            </a:graphic>
          </wp:inline>
        </w:drawing>
      </w:r>
      <w:r>
        <w:rPr>
          <w:rFonts w:hint="eastAsia"/>
          <w:color w:val="000000" w:themeColor="text1"/>
          <w14:textFill>
            <w14:solidFill>
              <w14:schemeClr w14:val="tx1"/>
            </w14:solidFill>
          </w14:textFill>
        </w:rPr>
        <w:br w:type="page"/>
      </w:r>
    </w:p>
    <w:p>
      <w:pPr>
        <w:pStyle w:val="26"/>
        <w:spacing w:line="500" w:lineRule="exact"/>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（二）登记表备案办理流程</w:t>
      </w:r>
      <w:bookmarkEnd w:id="1"/>
    </w:p>
    <w:p>
      <w:pPr>
        <w:pStyle w:val="27"/>
        <w:ind w:left="719" w:leftChars="228" w:hanging="240" w:hangingChars="1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1.登录市生态环境局官网</w:t>
      </w:r>
      <w:r>
        <w:rPr>
          <w:rFonts w:hint="eastAsia"/>
          <w:color w:val="000000" w:themeColor="text1"/>
          <w:lang w:eastAsia="zh-CN"/>
          <w14:textFill>
            <w14:solidFill>
              <w14:schemeClr w14:val="tx1"/>
            </w14:solidFill>
          </w14:textFill>
        </w:rPr>
        <w:t>点击</w:t>
      </w:r>
      <w:r>
        <w:rPr>
          <w:rFonts w:hint="eastAsia"/>
          <w:color w:val="000000" w:themeColor="text1"/>
          <w14:textFill>
            <w14:solidFill>
              <w14:schemeClr w14:val="tx1"/>
            </w14:solidFill>
          </w14:textFill>
        </w:rPr>
        <w:t>“建设项目环境影响登记表备案系统”</w:t>
      </w:r>
      <w:r>
        <w:rPr>
          <w:rFonts w:hint="eastAsia"/>
          <w:color w:val="000000" w:themeColor="text1"/>
          <w:lang w:eastAsia="zh-CN"/>
          <w14:textFill>
            <w14:solidFill>
              <w14:schemeClr w14:val="tx1"/>
            </w14:solidFill>
          </w14:textFill>
        </w:rPr>
        <w:t>，转入四川政务服务网选择“</w:t>
      </w:r>
      <w:r>
        <w:rPr>
          <w:rFonts w:hint="eastAsia"/>
          <w:color w:val="000000" w:themeColor="text1"/>
          <w:lang w:val="en-US" w:eastAsia="zh-CN"/>
          <w14:textFill>
            <w14:solidFill>
              <w14:schemeClr w14:val="tx1"/>
            </w14:solidFill>
          </w14:textFill>
        </w:rPr>
        <w:fldChar w:fldCharType="begin"/>
      </w:r>
      <w:r>
        <w:rPr>
          <w:rFonts w:hint="eastAsia"/>
          <w:color w:val="000000" w:themeColor="text1"/>
          <w:lang w:val="en-US" w:eastAsia="zh-CN"/>
          <w14:textFill>
            <w14:solidFill>
              <w14:schemeClr w14:val="tx1"/>
            </w14:solidFill>
          </w14:textFill>
        </w:rPr>
        <w:instrText xml:space="preserve"> HYPERLINK "http://www.sczwfw.gov.cn/jiq/front/transition/ywTransToDetail?areaCode=510400000000&amp;itemCode=511Z16015001-510400000000-000-11510300MB16657685-1-00&amp;taskType=10&amp;deptCode=11510300008320914A" \t "/home/user/Documents\\x/_blank" </w:instrText>
      </w:r>
      <w:r>
        <w:rPr>
          <w:rFonts w:hint="eastAsia"/>
          <w:color w:val="000000" w:themeColor="text1"/>
          <w:lang w:val="en-US" w:eastAsia="zh-CN"/>
          <w14:textFill>
            <w14:solidFill>
              <w14:schemeClr w14:val="tx1"/>
            </w14:solidFill>
          </w14:textFill>
        </w:rPr>
        <w:fldChar w:fldCharType="separate"/>
      </w:r>
      <w:r>
        <w:rPr>
          <w:rFonts w:hint="default"/>
          <w:color w:val="000000" w:themeColor="text1"/>
          <w14:textFill>
            <w14:solidFill>
              <w14:schemeClr w14:val="tx1"/>
            </w14:solidFill>
          </w14:textFill>
        </w:rPr>
        <w:t>环境影响登记表备案</w:t>
      </w:r>
      <w:r>
        <w:rPr>
          <w:rFonts w:hint="default"/>
          <w:color w:val="000000" w:themeColor="text1"/>
          <w:lang w:val="en-US" w:eastAsia="zh-CN"/>
          <w14:textFill>
            <w14:solidFill>
              <w14:schemeClr w14:val="tx1"/>
            </w14:solidFill>
          </w14:textFill>
        </w:rPr>
        <w:fldChar w:fldCharType="end"/>
      </w:r>
      <w:r>
        <w:rPr>
          <w:rFonts w:hint="eastAsia"/>
          <w:color w:val="000000" w:themeColor="text1"/>
          <w:lang w:eastAsia="zh-CN"/>
          <w14:textFill>
            <w14:solidFill>
              <w14:schemeClr w14:val="tx1"/>
            </w14:solidFill>
          </w14:textFill>
        </w:rPr>
        <w:t>”进行</w:t>
      </w:r>
      <w:r>
        <w:rPr>
          <w:rFonts w:hint="eastAsia"/>
          <w:color w:val="000000" w:themeColor="text1"/>
          <w14:textFill>
            <w14:solidFill>
              <w14:schemeClr w14:val="tx1"/>
            </w14:solidFill>
          </w14:textFill>
        </w:rPr>
        <w:t>在线</w:t>
      </w:r>
      <w:r>
        <w:rPr>
          <w:rFonts w:hint="eastAsia"/>
          <w:color w:val="000000" w:themeColor="text1"/>
          <w:lang w:eastAsia="zh-CN"/>
          <w14:textFill>
            <w14:solidFill>
              <w14:schemeClr w14:val="tx1"/>
            </w14:solidFill>
          </w14:textFill>
        </w:rPr>
        <w:t>申请</w:t>
      </w:r>
      <w:r>
        <w:rPr>
          <w:rFonts w:hint="eastAsia"/>
          <w:color w:val="000000" w:themeColor="text1"/>
          <w14:textFill>
            <w14:solidFill>
              <w14:schemeClr w14:val="tx1"/>
            </w14:solidFill>
          </w14:textFill>
        </w:rPr>
        <w:t>；</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.填报单位进行</w:t>
      </w:r>
      <w:r>
        <w:rPr>
          <w:rFonts w:hint="eastAsia"/>
          <w:color w:val="000000" w:themeColor="text1"/>
          <w:lang w:eastAsia="zh-CN"/>
          <w14:textFill>
            <w14:solidFill>
              <w14:schemeClr w14:val="tx1"/>
            </w14:solidFill>
          </w14:textFill>
        </w:rPr>
        <w:t>法人</w:t>
      </w:r>
      <w:r>
        <w:rPr>
          <w:rFonts w:hint="eastAsia"/>
          <w:color w:val="000000" w:themeColor="text1"/>
          <w14:textFill>
            <w14:solidFill>
              <w14:schemeClr w14:val="tx1"/>
            </w14:solidFill>
          </w14:textFill>
        </w:rPr>
        <w:t>注册，登录系统填报；</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.按照要求填报项目的基本情况及环境影响的相关内容；</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.填报提交，填报单位负责人签字，生成备案号。</w:t>
      </w: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sectPr>
          <w:footerReference r:id="rId4" w:type="default"/>
          <w:pgSz w:w="11907" w:h="8392" w:orient="landscape"/>
          <w:pgMar w:top="1247" w:right="1247" w:bottom="1247" w:left="1418" w:header="851" w:footer="992" w:gutter="0"/>
          <w:pgNumType w:start="1"/>
          <w:cols w:space="720" w:num="1"/>
          <w:docGrid w:linePitch="312" w:charSpace="0"/>
        </w:sectPr>
      </w:pPr>
    </w:p>
    <w:p>
      <w:pPr>
        <w:pStyle w:val="25"/>
        <w:ind w:left="0" w:leftChars="0" w:firstLine="0" w:firstLineChars="0"/>
        <w:rPr>
          <w:rFonts w:hint="default" w:ascii="Times New Roman" w:hAnsi="Times New Roman" w:cs="Times New Roman"/>
          <w:color w:val="000000" w:themeColor="text1"/>
          <w14:textFill>
            <w14:solidFill>
              <w14:schemeClr w14:val="tx1"/>
            </w14:solidFill>
          </w14:textFill>
        </w:rPr>
      </w:pPr>
      <w:r>
        <w:rPr>
          <w:rFonts w:hint="default"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drawing>
          <wp:inline distT="0" distB="0" distL="114300" distR="114300">
            <wp:extent cx="3858260" cy="5788025"/>
            <wp:effectExtent l="0" t="0" r="8890" b="3175"/>
            <wp:docPr id="8" name="图片 8" descr="未命名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未命名 -3"/>
                    <pic:cNvPicPr>
                      <a:picLocks noChangeAspect="true"/>
                    </pic:cNvPicPr>
                  </pic:nvPicPr>
                  <pic:blipFill>
                    <a:blip r:embed="rId7"/>
                    <a:srcRect r="8335" b="2707"/>
                    <a:stretch>
                      <a:fillRect/>
                    </a:stretch>
                  </pic:blipFill>
                  <pic:spPr>
                    <a:xfrm>
                      <a:off x="0" y="0"/>
                      <a:ext cx="3858260" cy="5788025"/>
                    </a:xfrm>
                    <a:prstGeom prst="rect">
                      <a:avLst/>
                    </a:prstGeom>
                  </pic:spPr>
                </pic:pic>
              </a:graphicData>
            </a:graphic>
          </wp:inline>
        </w:drawing>
      </w:r>
      <w:r>
        <w:rPr>
          <w:rFonts w:hint="default"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t>二、生态环境部门咨询联系方式</w:t>
      </w:r>
    </w:p>
    <w:p>
      <w:pPr>
        <w:pStyle w:val="26"/>
        <w:keepNext w:val="0"/>
        <w:keepLines w:val="0"/>
        <w:pageBreakBefore w:val="0"/>
        <w:kinsoku/>
        <w:wordWrap/>
        <w:overflowPunct/>
        <w:topLinePunct w:val="0"/>
        <w:autoSpaceDE/>
        <w:autoSpaceDN/>
        <w:bidi w:val="0"/>
        <w:adjustRightInd/>
        <w:snapToGrid/>
        <w:spacing w:line="380" w:lineRule="exact"/>
        <w:ind w:firstLine="562"/>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（一）市生态环境局</w:t>
      </w:r>
      <w:r>
        <w:rPr>
          <w:rFonts w:hint="default" w:ascii="Times New Roman" w:hAnsi="Times New Roman" w:cs="Times New Roman"/>
          <w:color w:val="000000" w:themeColor="text1"/>
          <w:lang w:eastAsia="zh-CN"/>
          <w14:textFill>
            <w14:solidFill>
              <w14:schemeClr w14:val="tx1"/>
            </w14:solidFill>
          </w14:textFill>
        </w:rPr>
        <w:t>行政审批</w:t>
      </w:r>
      <w:r>
        <w:rPr>
          <w:rFonts w:hint="default" w:ascii="Times New Roman" w:hAnsi="Times New Roman" w:cs="Times New Roman"/>
          <w:color w:val="000000" w:themeColor="text1"/>
          <w14:textFill>
            <w14:solidFill>
              <w14:schemeClr w14:val="tx1"/>
            </w14:solidFill>
          </w14:textFill>
        </w:rPr>
        <w:t>科</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东区项目联系人：王希</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西区项目联系人：陈麒伊</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仁和区项目联系人：吕鹏</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eastAsia" w:ascii="Times New Roman" w:hAnsi="Times New Roman"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钒钛高新区</w:t>
      </w:r>
      <w:r>
        <w:rPr>
          <w:rFonts w:hint="eastAsia" w:ascii="Times New Roman" w:hAnsi="Times New Roman" w:cs="Times New Roman"/>
          <w:color w:val="000000" w:themeColor="text1"/>
          <w:lang w:eastAsia="zh-CN"/>
          <w14:textFill>
            <w14:solidFill>
              <w14:schemeClr w14:val="tx1"/>
            </w14:solidFill>
          </w14:textFill>
        </w:rPr>
        <w:t>项目联系人：黄骏攀</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eastAsia"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米易项目联系人：孙雪倩</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盐边项目联系人：余美</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联系电话：0812-3318159</w:t>
      </w:r>
    </w:p>
    <w:p>
      <w:pPr>
        <w:pStyle w:val="26"/>
        <w:keepNext w:val="0"/>
        <w:keepLines w:val="0"/>
        <w:pageBreakBefore w:val="0"/>
        <w:kinsoku/>
        <w:wordWrap/>
        <w:overflowPunct/>
        <w:topLinePunct w:val="0"/>
        <w:autoSpaceDE/>
        <w:autoSpaceDN/>
        <w:bidi w:val="0"/>
        <w:adjustRightInd/>
        <w:snapToGrid/>
        <w:spacing w:line="380" w:lineRule="exact"/>
        <w:ind w:left="1402" w:leftChars="266" w:hanging="843" w:hangingChars="3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（二）县区、钒钛高新区</w:t>
      </w:r>
      <w:r>
        <w:rPr>
          <w:rFonts w:hint="default" w:ascii="Times New Roman" w:hAnsi="Times New Roman" w:cs="Times New Roman"/>
          <w:color w:val="000000" w:themeColor="text1"/>
          <w:szCs w:val="32"/>
          <w:lang w:eastAsia="zh-CN"/>
          <w14:textFill>
            <w14:solidFill>
              <w14:schemeClr w14:val="tx1"/>
            </w14:solidFill>
          </w14:textFill>
        </w:rPr>
        <w:t>生态环境</w:t>
      </w:r>
      <w:r>
        <w:rPr>
          <w:rFonts w:hint="default" w:ascii="Times New Roman" w:hAnsi="Times New Roman" w:cs="Times New Roman"/>
          <w:color w:val="000000" w:themeColor="text1"/>
          <w:szCs w:val="32"/>
          <w14:textFill>
            <w14:solidFill>
              <w14:schemeClr w14:val="tx1"/>
            </w14:solidFill>
          </w14:textFill>
        </w:rPr>
        <w:t>部门环评管理部门</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1.东区</w:t>
      </w:r>
      <w:r>
        <w:rPr>
          <w:rFonts w:hint="default" w:ascii="Times New Roman" w:hAnsi="Times New Roman" w:cs="Times New Roman"/>
          <w:color w:val="000000" w:themeColor="text1"/>
          <w:szCs w:val="32"/>
          <w:lang w:eastAsia="zh-CN"/>
          <w14:textFill>
            <w14:solidFill>
              <w14:schemeClr w14:val="tx1"/>
            </w14:solidFill>
          </w14:textFill>
        </w:rPr>
        <w:t>生态环境</w:t>
      </w:r>
      <w:r>
        <w:rPr>
          <w:rFonts w:hint="default" w:ascii="Times New Roman" w:hAnsi="Times New Roman" w:cs="Times New Roman"/>
          <w:color w:val="000000" w:themeColor="text1"/>
          <w:szCs w:val="32"/>
          <w14:textFill>
            <w14:solidFill>
              <w14:schemeClr w14:val="tx1"/>
            </w14:solidFill>
          </w14:textFill>
        </w:rPr>
        <w:t>局</w:t>
      </w:r>
    </w:p>
    <w:p>
      <w:pPr>
        <w:pStyle w:val="27"/>
        <w:keepNext w:val="0"/>
        <w:keepLines w:val="0"/>
        <w:pageBreakBefore w:val="0"/>
        <w:numPr>
          <w:ilvl w:val="0"/>
          <w:numId w:val="0"/>
        </w:numPr>
        <w:kinsoku/>
        <w:wordWrap/>
        <w:overflowPunct/>
        <w:topLinePunct w:val="0"/>
        <w:autoSpaceDE/>
        <w:autoSpaceDN/>
        <w:bidi w:val="0"/>
        <w:adjustRightInd/>
        <w:snapToGrid/>
        <w:spacing w:line="380" w:lineRule="exact"/>
        <w:ind w:firstLine="1440" w:firstLineChars="600"/>
        <w:textAlignment w:val="auto"/>
        <w:rPr>
          <w:rFonts w:hint="eastAsia" w:ascii="Times New Roman" w:hAnsi="Times New Roman" w:cs="Times New Roman"/>
          <w:color w:val="000000" w:themeColor="text1"/>
          <w:szCs w:val="32"/>
          <w:highlight w:val="none"/>
          <w:lang w:val="en-US" w:eastAsia="zh-CN"/>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联系人：</w:t>
      </w:r>
      <w:r>
        <w:rPr>
          <w:rFonts w:hint="eastAsia" w:ascii="Times New Roman" w:hAnsi="Times New Roman" w:cs="Times New Roman"/>
          <w:color w:val="000000" w:themeColor="text1"/>
          <w:szCs w:val="32"/>
          <w:lang w:eastAsia="zh-CN"/>
          <w14:textFill>
            <w14:solidFill>
              <w14:schemeClr w14:val="tx1"/>
            </w14:solidFill>
          </w14:textFill>
        </w:rPr>
        <w:t>杨雪</w:t>
      </w:r>
      <w:r>
        <w:rPr>
          <w:rFonts w:hint="default"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联系电话：</w:t>
      </w:r>
      <w:r>
        <w:rPr>
          <w:rFonts w:hint="eastAsia" w:ascii="Times New Roman" w:hAnsi="Times New Roman" w:cs="Times New Roman"/>
          <w:color w:val="000000" w:themeColor="text1"/>
          <w:szCs w:val="32"/>
          <w:highlight w:val="none"/>
          <w:lang w:val="en-US" w:eastAsia="zh-CN"/>
          <w14:textFill>
            <w14:solidFill>
              <w14:schemeClr w14:val="tx1"/>
            </w14:solidFill>
          </w14:textFill>
        </w:rPr>
        <w:t>18681236720</w:t>
      </w:r>
    </w:p>
    <w:p>
      <w:pPr>
        <w:pStyle w:val="27"/>
        <w:keepNext w:val="0"/>
        <w:keepLines w:val="0"/>
        <w:pageBreakBefore w:val="0"/>
        <w:numPr>
          <w:ilvl w:val="0"/>
          <w:numId w:val="0"/>
        </w:numPr>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bookmarkStart w:id="9" w:name="_GoBack"/>
      <w:bookmarkEnd w:id="9"/>
      <w:r>
        <w:rPr>
          <w:rFonts w:hint="default" w:ascii="Times New Roman" w:hAnsi="Times New Roman" w:cs="Times New Roman"/>
          <w:color w:val="000000" w:themeColor="text1"/>
          <w:szCs w:val="32"/>
          <w:lang w:val="en-US"/>
          <w14:textFill>
            <w14:solidFill>
              <w14:schemeClr w14:val="tx1"/>
            </w14:solidFill>
          </w14:textFill>
        </w:rPr>
        <w:t>2.</w:t>
      </w:r>
      <w:r>
        <w:rPr>
          <w:rFonts w:hint="default" w:ascii="Times New Roman" w:hAnsi="Times New Roman" w:cs="Times New Roman"/>
          <w:color w:val="000000" w:themeColor="text1"/>
          <w:szCs w:val="32"/>
          <w14:textFill>
            <w14:solidFill>
              <w14:schemeClr w14:val="tx1"/>
            </w14:solidFill>
          </w14:textFill>
        </w:rPr>
        <w:t>西区</w:t>
      </w:r>
      <w:r>
        <w:rPr>
          <w:rFonts w:hint="default" w:ascii="Times New Roman" w:hAnsi="Times New Roman" w:cs="Times New Roman"/>
          <w:color w:val="000000" w:themeColor="text1"/>
          <w:szCs w:val="32"/>
          <w:lang w:eastAsia="zh-CN"/>
          <w14:textFill>
            <w14:solidFill>
              <w14:schemeClr w14:val="tx1"/>
            </w14:solidFill>
          </w14:textFill>
        </w:rPr>
        <w:t>生态环境</w:t>
      </w:r>
      <w:r>
        <w:rPr>
          <w:rFonts w:hint="default" w:ascii="Times New Roman" w:hAnsi="Times New Roman" w:cs="Times New Roman"/>
          <w:color w:val="000000" w:themeColor="text1"/>
          <w:szCs w:val="32"/>
          <w14:textFill>
            <w14:solidFill>
              <w14:schemeClr w14:val="tx1"/>
            </w14:solidFill>
          </w14:textFill>
        </w:rPr>
        <w:t>局</w:t>
      </w:r>
    </w:p>
    <w:p>
      <w:pPr>
        <w:pStyle w:val="27"/>
        <w:keepNext w:val="0"/>
        <w:keepLines w:val="0"/>
        <w:pageBreakBefore w:val="0"/>
        <w:numPr>
          <w:ilvl w:val="0"/>
          <w:numId w:val="0"/>
        </w:numPr>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联系人：</w:t>
      </w:r>
      <w:r>
        <w:rPr>
          <w:rFonts w:hint="eastAsia" w:ascii="Times New Roman" w:hAnsi="Times New Roman" w:cs="Times New Roman"/>
          <w:color w:val="000000" w:themeColor="text1"/>
          <w:szCs w:val="32"/>
          <w:lang w:eastAsia="zh-CN"/>
          <w14:textFill>
            <w14:solidFill>
              <w14:schemeClr w14:val="tx1"/>
            </w14:solidFill>
          </w14:textFill>
        </w:rPr>
        <w:t>夏朝阳</w:t>
      </w:r>
      <w:r>
        <w:rPr>
          <w:rFonts w:hint="default"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联系电话：</w:t>
      </w:r>
      <w:r>
        <w:rPr>
          <w:rFonts w:hint="eastAsia" w:ascii="Times New Roman" w:hAnsi="Times New Roman" w:cs="Times New Roman"/>
          <w:color w:val="000000" w:themeColor="text1"/>
          <w:szCs w:val="32"/>
          <w:lang w:val="en-US" w:eastAsia="zh-CN"/>
          <w14:textFill>
            <w14:solidFill>
              <w14:schemeClr w14:val="tx1"/>
            </w14:solidFill>
          </w14:textFill>
        </w:rPr>
        <w:t>13550910721</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3.仁和</w:t>
      </w:r>
      <w:r>
        <w:rPr>
          <w:rFonts w:hint="default" w:ascii="Times New Roman" w:hAnsi="Times New Roman" w:cs="Times New Roman"/>
          <w:color w:val="000000" w:themeColor="text1"/>
          <w:szCs w:val="32"/>
          <w:lang w:eastAsia="zh-CN"/>
          <w14:textFill>
            <w14:solidFill>
              <w14:schemeClr w14:val="tx1"/>
            </w14:solidFill>
          </w14:textFill>
        </w:rPr>
        <w:t>生态环境</w:t>
      </w:r>
      <w:r>
        <w:rPr>
          <w:rFonts w:hint="default" w:ascii="Times New Roman" w:hAnsi="Times New Roman" w:cs="Times New Roman"/>
          <w:color w:val="000000" w:themeColor="text1"/>
          <w:szCs w:val="32"/>
          <w14:textFill>
            <w14:solidFill>
              <w14:schemeClr w14:val="tx1"/>
            </w14:solidFill>
          </w14:textFill>
        </w:rPr>
        <w:t>局</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联系人：</w:t>
      </w:r>
      <w:r>
        <w:rPr>
          <w:rFonts w:hint="eastAsia" w:ascii="Times New Roman" w:hAnsi="Times New Roman" w:cs="Times New Roman"/>
          <w:color w:val="000000" w:themeColor="text1"/>
          <w:szCs w:val="32"/>
          <w:lang w:eastAsia="zh-CN"/>
          <w14:textFill>
            <w14:solidFill>
              <w14:schemeClr w14:val="tx1"/>
            </w14:solidFill>
          </w14:textFill>
        </w:rPr>
        <w:t>骆兴</w:t>
      </w:r>
      <w:r>
        <w:rPr>
          <w:rFonts w:hint="default"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联系电话：0812-2813097</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4.米易</w:t>
      </w:r>
      <w:r>
        <w:rPr>
          <w:rFonts w:hint="default" w:ascii="Times New Roman" w:hAnsi="Times New Roman" w:cs="Times New Roman"/>
          <w:color w:val="000000" w:themeColor="text1"/>
          <w:szCs w:val="32"/>
          <w:lang w:eastAsia="zh-CN"/>
          <w14:textFill>
            <w14:solidFill>
              <w14:schemeClr w14:val="tx1"/>
            </w14:solidFill>
          </w14:textFill>
        </w:rPr>
        <w:t>生态环境</w:t>
      </w:r>
      <w:r>
        <w:rPr>
          <w:rFonts w:hint="default" w:ascii="Times New Roman" w:hAnsi="Times New Roman" w:cs="Times New Roman"/>
          <w:color w:val="000000" w:themeColor="text1"/>
          <w:szCs w:val="32"/>
          <w14:textFill>
            <w14:solidFill>
              <w14:schemeClr w14:val="tx1"/>
            </w14:solidFill>
          </w14:textFill>
        </w:rPr>
        <w:t>局</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联系人：江涛</w:t>
      </w:r>
      <w:r>
        <w:rPr>
          <w:rFonts w:hint="default"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联系电话：15983591818</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5.盐边</w:t>
      </w:r>
      <w:r>
        <w:rPr>
          <w:rFonts w:hint="default" w:ascii="Times New Roman" w:hAnsi="Times New Roman" w:cs="Times New Roman"/>
          <w:color w:val="000000" w:themeColor="text1"/>
          <w:szCs w:val="32"/>
          <w:lang w:eastAsia="zh-CN"/>
          <w14:textFill>
            <w14:solidFill>
              <w14:schemeClr w14:val="tx1"/>
            </w14:solidFill>
          </w14:textFill>
        </w:rPr>
        <w:t>生态环境</w:t>
      </w:r>
      <w:r>
        <w:rPr>
          <w:rFonts w:hint="default" w:ascii="Times New Roman" w:hAnsi="Times New Roman" w:cs="Times New Roman"/>
          <w:color w:val="000000" w:themeColor="text1"/>
          <w:szCs w:val="32"/>
          <w14:textFill>
            <w14:solidFill>
              <w14:schemeClr w14:val="tx1"/>
            </w14:solidFill>
          </w14:textFill>
        </w:rPr>
        <w:t>局</w:t>
      </w:r>
    </w:p>
    <w:p>
      <w:pPr>
        <w:pStyle w:val="27"/>
        <w:keepNext w:val="0"/>
        <w:keepLines w:val="0"/>
        <w:pageBreakBefore w:val="0"/>
        <w:kinsoku/>
        <w:wordWrap/>
        <w:overflowPunct/>
        <w:topLinePunct w:val="0"/>
        <w:autoSpaceDE/>
        <w:autoSpaceDN/>
        <w:bidi w:val="0"/>
        <w:adjustRightInd/>
        <w:snapToGrid/>
        <w:spacing w:line="380" w:lineRule="exact"/>
        <w:ind w:firstLine="1440" w:firstLineChars="6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 xml:space="preserve">联系人：杨政权 </w:t>
      </w:r>
      <w:r>
        <w:rPr>
          <w:rFonts w:hint="eastAsia"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联系电话：18787649343</w:t>
      </w:r>
    </w:p>
    <w:p>
      <w:pPr>
        <w:pStyle w:val="27"/>
        <w:keepNext w:val="0"/>
        <w:keepLines w:val="0"/>
        <w:pageBreakBefore w:val="0"/>
        <w:numPr>
          <w:ilvl w:val="0"/>
          <w:numId w:val="0"/>
        </w:numPr>
        <w:kinsoku/>
        <w:wordWrap/>
        <w:overflowPunct/>
        <w:topLinePunct w:val="0"/>
        <w:autoSpaceDE/>
        <w:autoSpaceDN/>
        <w:bidi w:val="0"/>
        <w:adjustRightInd/>
        <w:snapToGrid/>
        <w:spacing w:line="380" w:lineRule="exact"/>
        <w:ind w:left="1676" w:leftChars="684" w:hanging="240" w:hangingChars="100"/>
        <w:textAlignment w:val="auto"/>
        <w:rPr>
          <w:rFonts w:hint="default" w:ascii="Times New Roman" w:hAnsi="Times New Roman" w:cs="Times New Roman"/>
          <w:color w:val="000000" w:themeColor="text1"/>
          <w:szCs w:val="32"/>
          <w14:textFill>
            <w14:solidFill>
              <w14:schemeClr w14:val="tx1"/>
            </w14:solidFill>
          </w14:textFill>
        </w:rPr>
      </w:pPr>
      <w:r>
        <w:rPr>
          <w:rFonts w:hint="default" w:ascii="Times New Roman" w:hAnsi="Times New Roman" w:cs="Times New Roman"/>
          <w:color w:val="000000" w:themeColor="text1"/>
          <w:szCs w:val="32"/>
          <w:lang w:val="en-US" w:eastAsia="zh-CN"/>
          <w14:textFill>
            <w14:solidFill>
              <w14:schemeClr w14:val="tx1"/>
            </w14:solidFill>
          </w14:textFill>
        </w:rPr>
        <w:t>6.</w:t>
      </w:r>
      <w:r>
        <w:rPr>
          <w:rFonts w:hint="default" w:ascii="Times New Roman" w:hAnsi="Times New Roman" w:cs="Times New Roman"/>
          <w:color w:val="000000" w:themeColor="text1"/>
          <w:szCs w:val="32"/>
          <w14:textFill>
            <w14:solidFill>
              <w14:schemeClr w14:val="tx1"/>
            </w14:solidFill>
          </w14:textFill>
        </w:rPr>
        <w:t>攀枝花钒钛高新区生态环境和综合行政执法局</w:t>
      </w:r>
    </w:p>
    <w:p>
      <w:pPr>
        <w:pStyle w:val="27"/>
        <w:keepNext w:val="0"/>
        <w:keepLines w:val="0"/>
        <w:pageBreakBefore w:val="0"/>
        <w:numPr>
          <w:ilvl w:val="0"/>
          <w:numId w:val="0"/>
        </w:numPr>
        <w:kinsoku/>
        <w:wordWrap/>
        <w:overflowPunct/>
        <w:topLinePunct w:val="0"/>
        <w:autoSpaceDE/>
        <w:autoSpaceDN/>
        <w:bidi w:val="0"/>
        <w:adjustRightInd/>
        <w:snapToGrid/>
        <w:spacing w:line="380" w:lineRule="exact"/>
        <w:ind w:leftChars="228" w:firstLine="960" w:firstLineChars="400"/>
        <w:textAlignment w:val="auto"/>
        <w:rPr>
          <w:rFonts w:hint="default" w:ascii="Times New Roman" w:hAnsi="Times New Roman" w:eastAsia="仿宋_GB2312" w:cs="Times New Roman"/>
          <w:color w:val="000000" w:themeColor="text1"/>
          <w:szCs w:val="32"/>
          <w:lang w:val="en-US" w:eastAsia="zh-CN"/>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联系人：蔡文昊</w:t>
      </w:r>
      <w:r>
        <w:rPr>
          <w:rFonts w:hint="default" w:ascii="Times New Roman" w:hAnsi="Times New Roman" w:cs="Times New Roman"/>
          <w:color w:val="000000" w:themeColor="text1"/>
          <w:szCs w:val="32"/>
          <w:lang w:val="en-US" w:eastAsia="zh-CN"/>
          <w14:textFill>
            <w14:solidFill>
              <w14:schemeClr w14:val="tx1"/>
            </w14:solidFill>
          </w14:textFill>
        </w:rPr>
        <w:t xml:space="preserve">  </w:t>
      </w:r>
      <w:r>
        <w:rPr>
          <w:rFonts w:hint="default" w:ascii="Times New Roman" w:hAnsi="Times New Roman" w:cs="Times New Roman"/>
          <w:color w:val="000000" w:themeColor="text1"/>
          <w:szCs w:val="32"/>
          <w14:textFill>
            <w14:solidFill>
              <w14:schemeClr w14:val="tx1"/>
            </w14:solidFill>
          </w14:textFill>
        </w:rPr>
        <w:t>联系电话：13438528032</w:t>
      </w:r>
    </w:p>
    <w:p>
      <w:pPr>
        <w:pStyle w:val="25"/>
        <w:keepNext w:val="0"/>
        <w:keepLines w:val="0"/>
        <w:pageBreakBefore w:val="0"/>
        <w:kinsoku/>
        <w:wordWrap/>
        <w:overflowPunct/>
        <w:topLinePunct w:val="0"/>
        <w:autoSpaceDE/>
        <w:autoSpaceDN/>
        <w:bidi w:val="0"/>
        <w:adjustRightInd/>
        <w:snapToGrid/>
        <w:spacing w:line="380" w:lineRule="exact"/>
        <w:textAlignment w:val="auto"/>
        <w:rPr>
          <w:rFonts w:hint="eastAsia"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pPr>
      <w:r>
        <w:rPr>
          <w:rFonts w:hint="eastAsia"/>
          <w:color w:val="000000" w:themeColor="text1"/>
          <w14:textFill>
            <w14:solidFill>
              <w14:schemeClr w14:val="tx1"/>
            </w14:solidFill>
          </w14:textFill>
        </w:rPr>
        <w:br w:type="page"/>
      </w:r>
      <w:r>
        <w:rPr>
          <w:rFonts w:hint="eastAsia"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t>三、哪些项目不用办理环评审批手续</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000000" w:themeColor="text1"/>
          <w:kern w:val="2"/>
          <w:sz w:val="24"/>
          <w:szCs w:val="32"/>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32"/>
          <w:lang w:val="en-US" w:eastAsia="zh-CN" w:bidi="ar-SA"/>
          <w14:textFill>
            <w14:solidFill>
              <w14:schemeClr w14:val="tx1"/>
            </w14:solidFill>
          </w14:textFill>
        </w:rPr>
        <w:t xml:space="preserve">   </w:t>
      </w:r>
      <w:r>
        <w:rPr>
          <w:rFonts w:hint="eastAsia" w:ascii="仿宋_GB2312" w:hAnsi="仿宋_GB2312" w:eastAsia="仿宋_GB2312" w:cs="仿宋_GB2312"/>
          <w:color w:val="000000" w:themeColor="text1"/>
          <w:kern w:val="2"/>
          <w:sz w:val="24"/>
          <w:szCs w:val="32"/>
          <w:lang w:val="en-US" w:eastAsia="zh-CN" w:bidi="ar-SA"/>
          <w14:textFill>
            <w14:solidFill>
              <w14:schemeClr w14:val="tx1"/>
            </w14:solidFill>
          </w14:textFill>
        </w:rPr>
        <w:t xml:space="preserve"> 根据《建设项目环境影响评价分类管理名录（2021年版）》第五条“本名录未作规定的建设项目，不纳入建设项目环境影响评价管理；省级生态环境主管部门对本名录未作规定的建设项目，认为确有必要纳入建设项目环境影响评价管理的，可以根据建设项目的污染因子、生态影响因子特征及其所处环境的敏感性质和敏感程度等，提出环境影响评价分类管理的建议，报生态环境部认定后实施。”规定，不在《建设项目环境影响评价分类管理名录（2021年版）》内的，不纳入管理。</w:t>
      </w:r>
    </w:p>
    <w:p>
      <w:pPr>
        <w:jc w:val="center"/>
        <w:rPr>
          <w:rFonts w:ascii="仿宋_GB2312" w:eastAsia="仿宋_GB2312"/>
          <w:b/>
          <w:color w:val="000000" w:themeColor="text1"/>
          <w:sz w:val="24"/>
          <w14:textFill>
            <w14:solidFill>
              <w14:schemeClr w14:val="tx1"/>
            </w14:solidFill>
          </w14:textFill>
        </w:rPr>
      </w:pPr>
    </w:p>
    <w:p>
      <w:pPr>
        <w:pStyle w:val="25"/>
        <w:rPr>
          <w:rFonts w:hint="eastAsia"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pPr>
      <w:r>
        <w:rPr>
          <w:rFonts w:hint="eastAsia"/>
          <w:color w:val="000000" w:themeColor="text1"/>
          <w14:textFill>
            <w14:solidFill>
              <w14:schemeClr w14:val="tx1"/>
            </w14:solidFill>
          </w14:textFill>
        </w:rPr>
        <w:br w:type="page"/>
      </w:r>
      <w:r>
        <w:rPr>
          <w:rFonts w:hint="eastAsia" w:ascii="方正黑体_GBK" w:hAnsi="Times New Roman" w:eastAsia="方正黑体_GBK" w:cs="Times New Roman"/>
          <w:color w:val="000000" w:themeColor="text1"/>
          <w:kern w:val="2"/>
          <w:sz w:val="30"/>
          <w:szCs w:val="30"/>
          <w:lang w:val="en-US" w:eastAsia="zh-CN" w:bidi="ar-SA"/>
          <w14:textFill>
            <w14:solidFill>
              <w14:schemeClr w14:val="tx1"/>
            </w14:solidFill>
          </w14:textFill>
        </w:rPr>
        <w:t>四、建设项目分级审批管理规定</w:t>
      </w:r>
      <w:bookmarkEnd w:id="2"/>
    </w:p>
    <w:p>
      <w:pPr>
        <w:pStyle w:val="26"/>
        <w:ind w:firstLine="562"/>
        <w:rPr>
          <w:color w:val="000000" w:themeColor="text1"/>
          <w14:textFill>
            <w14:solidFill>
              <w14:schemeClr w14:val="tx1"/>
            </w14:solidFill>
          </w14:textFill>
        </w:rPr>
      </w:pPr>
      <w:bookmarkStart w:id="4" w:name="_Toc10522"/>
      <w:r>
        <w:rPr>
          <w:rFonts w:hint="eastAsia"/>
          <w:color w:val="000000" w:themeColor="text1"/>
          <w14:textFill>
            <w14:solidFill>
              <w14:schemeClr w14:val="tx1"/>
            </w14:solidFill>
          </w14:textFill>
        </w:rPr>
        <w:t>（一）生态环境部审批建设项目</w:t>
      </w:r>
      <w:bookmarkEnd w:id="4"/>
    </w:p>
    <w:p>
      <w:pPr>
        <w:pStyle w:val="2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"http://www.mep.gov.cn/gkml/hbb/bgg/201503/W020150317552378469245.pdf" \t "_blank" </w:instrText>
      </w:r>
      <w:r>
        <w:rPr>
          <w:color w:val="000000" w:themeColor="text1"/>
          <w14:textFill>
            <w14:solidFill>
              <w14:schemeClr w14:val="tx1"/>
            </w14:solidFill>
          </w14:textFill>
        </w:rPr>
        <w:fldChar w:fldCharType="separate"/>
      </w:r>
      <w:r>
        <w:rPr>
          <w:rFonts w:hint="eastAsia"/>
          <w:color w:val="000000" w:themeColor="text1"/>
          <w:lang w:val="en"/>
          <w14:textFill>
            <w14:solidFill>
              <w14:schemeClr w14:val="tx1"/>
            </w14:solidFill>
          </w14:textFill>
        </w:rPr>
        <w:t>生态环境部审批环境影响评价文件的建设项目目录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年本）</w:t>
      </w:r>
      <w:r>
        <w:rPr>
          <w:rFonts w:hint="eastAsia"/>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.水利</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水库：在跨界河流、跨省（区、市）河流上建设的项目。</w:t>
      </w:r>
    </w:p>
    <w:p>
      <w:pPr>
        <w:pStyle w:val="27"/>
        <w:ind w:firstLine="480"/>
        <w:rPr>
          <w:color w:val="000000" w:themeColor="text1"/>
          <w14:textFill>
            <w14:solidFill>
              <w14:schemeClr w14:val="tx1"/>
            </w14:solidFill>
          </w14:textFill>
        </w:rPr>
      </w:pPr>
      <w:r>
        <w:rPr>
          <w:rFonts w:hint="eastAsia"/>
          <w:color w:val="000000" w:themeColor="text1"/>
          <w:lang w:val="en"/>
          <w14:textFill>
            <w14:solidFill>
              <w14:schemeClr w14:val="tx1"/>
            </w14:solidFill>
          </w14:textFill>
        </w:rPr>
        <w:t>其他水事工程：涉及跨界河流、跨省（区、市）水资源配置调整的项目。</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.能源</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水电站：在跨界河流、跨省（区、市）河流上建设的单站总装机容量50万千瓦及以上项目。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核电厂：全部（包括核电厂范围内的有关配套设施，但不包括核电厂控制区范围内新增的不带放射性的实验室、试验装置、维修车间、仓库、办公设施等项目）。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电网工程：跨境、跨省（区、市）（±）500千伏及以上交直流输变电项目。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煤矿：国务院有关部门核准的煤炭开发项目。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输油管网（不含油田集输管网）：跨境、跨省（区、市）干线管网项目。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输气管网（不含油气田集输管网）：跨境、跨省（区、市）干线管网项目。</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14:textFill>
            <w14:solidFill>
              <w14:schemeClr w14:val="tx1"/>
            </w14:solidFill>
          </w14:textFill>
        </w:rPr>
        <w:t>.交通运输</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新建（含增建）铁路：跨省（区、市）项目。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煤炭、矿石、油气专用泊位：在沿海（含长江南京及以下）新建年吞吐能力1000万吨及以上项目。</w:t>
      </w:r>
    </w:p>
    <w:p>
      <w:pPr>
        <w:pStyle w:val="27"/>
        <w:ind w:firstLine="480"/>
        <w:rPr>
          <w:color w:val="000000" w:themeColor="text1"/>
          <w14:textFill>
            <w14:solidFill>
              <w14:schemeClr w14:val="tx1"/>
            </w14:solidFill>
          </w14:textFill>
        </w:rPr>
      </w:pPr>
      <w:r>
        <w:rPr>
          <w:rFonts w:hint="eastAsia"/>
          <w:color w:val="000000" w:themeColor="text1"/>
          <w:lang w:val="en"/>
          <w14:textFill>
            <w14:solidFill>
              <w14:schemeClr w14:val="tx1"/>
            </w14:solidFill>
          </w14:textFill>
        </w:rPr>
        <w:t>内河航运：跨省（区、市）高等级航道的千吨级及以上航电枢纽项目。</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4</w:t>
      </w:r>
      <w:r>
        <w:rPr>
          <w:rFonts w:hint="eastAsia"/>
          <w:color w:val="000000" w:themeColor="text1"/>
          <w14:textFill>
            <w14:solidFill>
              <w14:schemeClr w14:val="tx1"/>
            </w14:solidFill>
          </w14:textFill>
        </w:rPr>
        <w:t>.原材料</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石化：新建炼油及扩建一次炼油项目（不包括列入国务院批准的国家能源发展规划、石化产业规划布局方案的扩建项目）。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化工：年产超过20亿立方米的煤制天然气项目；年产超过100万吨的煤制油项目；年产超过100万吨的煤制甲醇项目；年产超过50万吨的煤经甲醇制烯烃项目。</w:t>
      </w:r>
    </w:p>
    <w:p>
      <w:pPr>
        <w:pStyle w:val="2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5.核与辐射</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除核电厂外的核设施：全部（不包括核设施控制区范围内新增的不带放射性的实验室、试验装置、维修车间、仓库、办公设施等项目）。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放射性：铀（钍）矿。</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电磁辐射设施：由国务院或国务院有关部门审批的电磁辐射设施及工程。</w:t>
      </w:r>
    </w:p>
    <w:p>
      <w:pPr>
        <w:pStyle w:val="27"/>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6.海洋</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涉及国家海洋权益、国防安全等特殊性质的海洋工程：全部。</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海洋矿产资源勘探开发及其附属工程：全部（不包括海砂开采项目）。</w:t>
      </w:r>
    </w:p>
    <w:p>
      <w:pPr>
        <w:pStyle w:val="27"/>
        <w:ind w:firstLine="480"/>
        <w:rPr>
          <w:rFonts w:hint="eastAsia"/>
          <w:color w:val="000000" w:themeColor="text1"/>
          <w:lang w:val="en"/>
          <w14:textFill>
            <w14:solidFill>
              <w14:schemeClr w14:val="tx1"/>
            </w14:solidFill>
          </w14:textFill>
        </w:rPr>
      </w:pPr>
      <w:r>
        <w:rPr>
          <w:rFonts w:hint="eastAsia"/>
          <w:color w:val="000000" w:themeColor="text1"/>
          <w:lang w:val="en"/>
          <w14:textFill>
            <w14:solidFill>
              <w14:schemeClr w14:val="tx1"/>
            </w14:solidFill>
          </w14:textFill>
        </w:rPr>
        <w:t>围填海：50公顷以上的填海工程，100公顷以上的围海工程。</w:t>
      </w:r>
    </w:p>
    <w:p>
      <w:pPr>
        <w:pStyle w:val="27"/>
        <w:ind w:firstLine="480"/>
        <w:rPr>
          <w:color w:val="000000" w:themeColor="text1"/>
          <w:szCs w:val="21"/>
          <w14:textFill>
            <w14:solidFill>
              <w14:schemeClr w14:val="tx1"/>
            </w14:solidFill>
          </w14:textFill>
        </w:rPr>
      </w:pPr>
      <w:r>
        <w:rPr>
          <w:rFonts w:hint="eastAsia"/>
          <w:color w:val="000000" w:themeColor="text1"/>
          <w:lang w:val="en"/>
          <w14:textFill>
            <w14:solidFill>
              <w14:schemeClr w14:val="tx1"/>
            </w14:solidFill>
          </w14:textFill>
        </w:rPr>
        <w:t>海洋能源开发利用：潮汐电站、波浪电站、温差电站等（不包括海上风电项目）。</w:t>
      </w:r>
    </w:p>
    <w:p>
      <w:pPr>
        <w:pStyle w:val="27"/>
        <w:ind w:firstLine="480"/>
        <w:rPr>
          <w:color w:val="000000" w:themeColor="text1"/>
          <w14:textFill>
            <w14:solidFill>
              <w14:schemeClr w14:val="tx1"/>
            </w14:solidFill>
          </w14:textFill>
        </w:rPr>
      </w:pPr>
      <w:r>
        <w:rPr>
          <w:color w:val="000000" w:themeColor="text1"/>
          <w14:textFill>
            <w14:solidFill>
              <w14:schemeClr w14:val="tx1"/>
            </w14:solidFill>
          </w14:textFill>
        </w:rPr>
        <w:t>7</w:t>
      </w:r>
      <w:r>
        <w:rPr>
          <w:rFonts w:hint="eastAsia"/>
          <w:color w:val="000000" w:themeColor="text1"/>
          <w14:textFill>
            <w14:solidFill>
              <w14:schemeClr w14:val="tx1"/>
            </w14:solidFill>
          </w14:textFill>
        </w:rPr>
        <w:t>.绝密工程</w:t>
      </w:r>
    </w:p>
    <w:p>
      <w:pPr>
        <w:pStyle w:val="27"/>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全部项目。</w:t>
      </w:r>
      <w:bookmarkStart w:id="5" w:name="_Toc7857"/>
    </w:p>
    <w:p>
      <w:pPr>
        <w:pStyle w:val="27"/>
        <w:numPr>
          <w:ilvl w:val="0"/>
          <w:numId w:val="1"/>
        </w:numPr>
        <w:ind w:firstLine="480"/>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其他由国务院或国务院授权有关部门审批的应编制环境影响报告书的项目（不包括不含水库的防洪治涝工程，不含水库的灌区工程，研究和试验发展项目，卫生项目）。</w:t>
      </w:r>
    </w:p>
    <w:p>
      <w:pPr>
        <w:pStyle w:val="27"/>
        <w:widowControl w:val="0"/>
        <w:numPr>
          <w:ilvl w:val="0"/>
          <w:numId w:val="0"/>
        </w:numPr>
        <w:spacing w:line="440" w:lineRule="exact"/>
        <w:jc w:val="both"/>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p>
    <w:p>
      <w:pPr>
        <w:pStyle w:val="27"/>
        <w:widowControl w:val="0"/>
        <w:numPr>
          <w:ilvl w:val="0"/>
          <w:numId w:val="0"/>
        </w:numPr>
        <w:spacing w:line="440" w:lineRule="exact"/>
        <w:jc w:val="both"/>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p>
    <w:p>
      <w:pPr>
        <w:pStyle w:val="27"/>
        <w:widowControl w:val="0"/>
        <w:numPr>
          <w:ilvl w:val="0"/>
          <w:numId w:val="0"/>
        </w:numPr>
        <w:spacing w:line="440" w:lineRule="exact"/>
        <w:jc w:val="both"/>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p>
    <w:p>
      <w:pPr>
        <w:pStyle w:val="27"/>
        <w:widowControl w:val="0"/>
        <w:numPr>
          <w:ilvl w:val="0"/>
          <w:numId w:val="0"/>
        </w:numPr>
        <w:spacing w:line="440" w:lineRule="exact"/>
        <w:jc w:val="both"/>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p>
    <w:p>
      <w:pPr>
        <w:pStyle w:val="27"/>
        <w:widowControl w:val="0"/>
        <w:numPr>
          <w:ilvl w:val="0"/>
          <w:numId w:val="0"/>
        </w:numPr>
        <w:spacing w:line="440" w:lineRule="exact"/>
        <w:jc w:val="both"/>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p>
    <w:p>
      <w:pPr>
        <w:pStyle w:val="27"/>
        <w:ind w:firstLine="480"/>
        <w:rPr>
          <w:color w:val="000000" w:themeColor="text1"/>
          <w14:textFill>
            <w14:solidFill>
              <w14:schemeClr w14:val="tx1"/>
            </w14:solidFill>
          </w14:textFill>
        </w:rPr>
        <w:sectPr>
          <w:pgSz w:w="8392" w:h="11907"/>
          <w:pgMar w:top="1247" w:right="1247" w:bottom="1418" w:left="1247" w:header="851" w:footer="992" w:gutter="0"/>
          <w:cols w:space="720" w:num="1"/>
          <w:docGrid w:linePitch="312" w:charSpace="0"/>
        </w:sectPr>
      </w:pPr>
    </w:p>
    <w:p>
      <w:pPr>
        <w:pStyle w:val="26"/>
        <w:ind w:left="0" w:leftChars="0"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（二）四川省生态环境厅审批建设项目</w:t>
      </w:r>
      <w:bookmarkEnd w:id="5"/>
    </w:p>
    <w:p>
      <w:pPr>
        <w:pStyle w:val="29"/>
        <w:rPr>
          <w:color w:val="000000" w:themeColor="text1"/>
          <w14:textFill>
            <w14:solidFill>
              <w14:schemeClr w14:val="tx1"/>
            </w14:solidFill>
          </w14:textFill>
        </w:rPr>
      </w:pPr>
      <w:bookmarkStart w:id="6" w:name="RANGE!A1:C58"/>
      <w:bookmarkEnd w:id="6"/>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《四川省生态环境厅审批环境影响评价文件的建设项目</w:t>
      </w:r>
    </w:p>
    <w:p>
      <w:pPr>
        <w:pStyle w:val="29"/>
        <w:rPr>
          <w:color w:val="000000" w:themeColor="text1"/>
          <w14:textFill>
            <w14:solidFill>
              <w14:schemeClr w14:val="tx1"/>
            </w14:solidFill>
          </w14:textFill>
        </w:rPr>
      </w:pPr>
      <w:r>
        <w:rPr>
          <w:rFonts w:hint="eastAsia"/>
          <w:color w:val="000000" w:themeColor="text1"/>
          <w14:textFill>
            <w14:solidFill>
              <w14:schemeClr w14:val="tx1"/>
            </w14:solidFill>
          </w14:textFill>
        </w:rPr>
        <w:t>目录（</w:t>
      </w:r>
      <w:r>
        <w:rPr>
          <w:color w:val="000000" w:themeColor="text1"/>
          <w14:textFill>
            <w14:solidFill>
              <w14:schemeClr w14:val="tx1"/>
            </w14:solidFill>
          </w14:textFill>
        </w:rPr>
        <w:t>20</w:t>
      </w:r>
      <w:r>
        <w:rPr>
          <w:rFonts w:hint="default"/>
          <w:color w:val="000000" w:themeColor="text1"/>
          <w:lang w:val="en-US"/>
          <w14:textFill>
            <w14:solidFill>
              <w14:schemeClr w14:val="tx1"/>
            </w14:solidFill>
          </w14:textFill>
        </w:rPr>
        <w:t>23</w:t>
      </w:r>
      <w:r>
        <w:rPr>
          <w:rFonts w:hint="eastAsia"/>
          <w:color w:val="000000" w:themeColor="text1"/>
          <w14:textFill>
            <w14:solidFill>
              <w14:schemeClr w14:val="tx1"/>
            </w14:solidFill>
          </w14:textFill>
        </w:rPr>
        <w:t>年本）》</w:t>
      </w:r>
    </w:p>
    <w:p>
      <w:pPr>
        <w:overflowPunct w:val="0"/>
        <w:topLinePunct/>
        <w:spacing w:line="240" w:lineRule="exact"/>
        <w:jc w:val="center"/>
        <w:rPr>
          <w:rFonts w:eastAsia="方正小标宋简体"/>
          <w:color w:val="000000" w:themeColor="text1"/>
          <w:kern w:val="0"/>
          <w:sz w:val="44"/>
          <w:szCs w:val="44"/>
          <w14:textFill>
            <w14:solidFill>
              <w14:schemeClr w14:val="tx1"/>
            </w14:solidFill>
          </w14:textFill>
        </w:rPr>
      </w:pPr>
    </w:p>
    <w:tbl>
      <w:tblPr>
        <w:tblStyle w:val="13"/>
        <w:tblW w:w="8968" w:type="dxa"/>
        <w:jc w:val="center"/>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Layout w:type="fixed"/>
        <w:tblCellMar>
          <w:top w:w="15" w:type="dxa"/>
          <w:left w:w="15" w:type="dxa"/>
          <w:bottom w:w="15" w:type="dxa"/>
          <w:right w:w="15" w:type="dxa"/>
        </w:tblCellMar>
      </w:tblPr>
      <w:tblGrid>
        <w:gridCol w:w="2823"/>
        <w:gridCol w:w="6145"/>
      </w:tblGrid>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tblHeader/>
          <w:jc w:val="center"/>
        </w:trPr>
        <w:tc>
          <w:tcPr>
            <w:tcW w:w="2823" w:type="dxa"/>
            <w:vAlign w:val="center"/>
          </w:tcPr>
          <w:p>
            <w:pPr>
              <w:pStyle w:val="3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项目</w:t>
            </w:r>
            <w:r>
              <w:rPr>
                <w:rFonts w:hint="eastAsia"/>
                <w:color w:val="000000" w:themeColor="text1"/>
                <w14:textFill>
                  <w14:solidFill>
                    <w14:schemeClr w14:val="tx1"/>
                  </w14:solidFill>
                </w14:textFill>
              </w:rPr>
              <w:t>类别</w:t>
            </w:r>
          </w:p>
        </w:tc>
        <w:tc>
          <w:tcPr>
            <w:tcW w:w="6145" w:type="dxa"/>
            <w:vAlign w:val="center"/>
          </w:tcPr>
          <w:p>
            <w:pPr>
              <w:pStyle w:val="30"/>
              <w:rPr>
                <w:color w:val="000000" w:themeColor="text1"/>
                <w14:textFill>
                  <w14:solidFill>
                    <w14:schemeClr w14:val="tx1"/>
                  </w14:solidFill>
                </w14:textFill>
              </w:rPr>
            </w:pPr>
            <w:r>
              <w:rPr>
                <w:rFonts w:hint="eastAsia"/>
                <w:color w:val="000000" w:themeColor="text1"/>
                <w14:textFill>
                  <w14:solidFill>
                    <w14:schemeClr w14:val="tx1"/>
                  </w14:solidFill>
                </w14:textFill>
              </w:rPr>
              <w:t>项目目录</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一</w:t>
            </w:r>
            <w:r>
              <w:rPr>
                <w:color w:val="000000" w:themeColor="text1"/>
                <w14:textFill>
                  <w14:solidFill>
                    <w14:schemeClr w14:val="tx1"/>
                  </w14:solidFill>
                </w14:textFill>
              </w:rPr>
              <w:t>）石油</w:t>
            </w:r>
            <w:r>
              <w:rPr>
                <w:rFonts w:hint="eastAsia"/>
                <w:color w:val="000000" w:themeColor="text1"/>
                <w:lang w:eastAsia="zh-CN"/>
                <w14:textFill>
                  <w14:solidFill>
                    <w14:schemeClr w14:val="tx1"/>
                  </w14:solidFill>
                </w14:textFill>
              </w:rPr>
              <w:t>和天然气开采</w:t>
            </w:r>
            <w:r>
              <w:rPr>
                <w:color w:val="000000" w:themeColor="text1"/>
                <w14:textFill>
                  <w14:solidFill>
                    <w14:schemeClr w14:val="tx1"/>
                  </w14:solidFill>
                </w14:textFill>
              </w:rPr>
              <w:t>业</w:t>
            </w:r>
          </w:p>
        </w:tc>
        <w:tc>
          <w:tcPr>
            <w:tcW w:w="6145" w:type="dxa"/>
            <w:vAlign w:val="center"/>
          </w:tcPr>
          <w:p>
            <w:pPr>
              <w:pStyle w:val="28"/>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天然气、页岩气区块开发。</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二</w:t>
            </w:r>
            <w:r>
              <w:rPr>
                <w:color w:val="000000" w:themeColor="text1"/>
                <w14:textFill>
                  <w14:solidFill>
                    <w14:schemeClr w14:val="tx1"/>
                  </w14:solidFill>
                </w14:textFill>
              </w:rPr>
              <w:t>）黑色金属</w:t>
            </w:r>
            <w:r>
              <w:rPr>
                <w:rFonts w:hint="eastAsia"/>
                <w:color w:val="000000" w:themeColor="text1"/>
                <w:lang w:eastAsia="zh-CN"/>
                <w14:textFill>
                  <w14:solidFill>
                    <w14:schemeClr w14:val="tx1"/>
                  </w14:solidFill>
                </w14:textFill>
              </w:rPr>
              <w:t>矿采选</w:t>
            </w:r>
            <w:r>
              <w:rPr>
                <w:color w:val="000000" w:themeColor="text1"/>
                <w14:textFill>
                  <w14:solidFill>
                    <w14:schemeClr w14:val="tx1"/>
                  </w14:solidFill>
                </w14:textFill>
              </w:rPr>
              <w:t>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烧结铁矿</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球团铁矿。</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三</w:t>
            </w:r>
            <w:r>
              <w:rPr>
                <w:color w:val="000000" w:themeColor="text1"/>
                <w14:textFill>
                  <w14:solidFill>
                    <w14:schemeClr w14:val="tx1"/>
                  </w14:solidFill>
                </w14:textFill>
              </w:rPr>
              <w:t>）有色金属</w:t>
            </w:r>
            <w:r>
              <w:rPr>
                <w:rFonts w:hint="eastAsia"/>
                <w:color w:val="000000" w:themeColor="text1"/>
                <w:lang w:eastAsia="zh-CN"/>
                <w14:textFill>
                  <w14:solidFill>
                    <w14:schemeClr w14:val="tx1"/>
                  </w14:solidFill>
                </w14:textFill>
              </w:rPr>
              <w:t>矿采选</w:t>
            </w:r>
            <w:r>
              <w:rPr>
                <w:color w:val="000000" w:themeColor="text1"/>
                <w14:textFill>
                  <w14:solidFill>
                    <w14:schemeClr w14:val="tx1"/>
                  </w14:solidFill>
                </w14:textFill>
              </w:rPr>
              <w:t>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新建重有色金属矿采选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铜、铅锌、镍钴、锡、锑和汞矿采选</w:t>
            </w:r>
            <w:r>
              <w:rPr>
                <w:color w:val="000000" w:themeColor="text1"/>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四</w:t>
            </w:r>
            <w:r>
              <w:rPr>
                <w:color w:val="000000" w:themeColor="text1"/>
                <w14:textFill>
                  <w14:solidFill>
                    <w14:schemeClr w14:val="tx1"/>
                  </w14:solidFill>
                </w14:textFill>
              </w:rPr>
              <w:t>）酒、饮料制造业</w:t>
            </w:r>
          </w:p>
        </w:tc>
        <w:tc>
          <w:tcPr>
            <w:tcW w:w="6145" w:type="dxa"/>
            <w:vAlign w:val="center"/>
          </w:tcPr>
          <w:p>
            <w:pPr>
              <w:pStyle w:val="28"/>
              <w:rPr>
                <w:rFonts w:hint="eastAsia" w:eastAsia="仿宋_GB2312"/>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应编制环境影响报告书的白酒、酒精制造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成都市、泸州市、德阳市、绵阳市、遂宁市、乐山市、南充市、宜宾市、达州市除外</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五</w:t>
            </w:r>
            <w:r>
              <w:rPr>
                <w:color w:val="000000" w:themeColor="text1"/>
                <w14:textFill>
                  <w14:solidFill>
                    <w14:schemeClr w14:val="tx1"/>
                  </w14:solidFill>
                </w14:textFill>
              </w:rPr>
              <w:t>）造纸和纸制品业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纸浆制造（不含废纸制浆、机械制浆）。</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1230"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六</w:t>
            </w:r>
            <w:r>
              <w:rPr>
                <w:color w:val="000000" w:themeColor="text1"/>
                <w14:textFill>
                  <w14:solidFill>
                    <w14:schemeClr w14:val="tx1"/>
                  </w14:solidFill>
                </w14:textFill>
              </w:rPr>
              <w:t>）石油加工、炼焦业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精炼石油产品制造项目（在现有项目基础上调整产品结构，但不新增产品种类的除外）；炼焦；煤制合成气；煤制液体燃料；新建乙烯；对二甲苯（PX）、对苯二甲酸（PTA）、二苯基甲烷二异氰酸酯（MD</w:t>
            </w:r>
            <w:r>
              <w:rPr>
                <w:rFonts w:hint="default"/>
                <w:color w:val="000000" w:themeColor="text1"/>
                <w:lang w:val="en-US"/>
                <w14:textFill>
                  <w14:solidFill>
                    <w14:schemeClr w14:val="tx1"/>
                  </w14:solidFill>
                </w14:textFill>
              </w:rPr>
              <w:t>I</w:t>
            </w:r>
            <w:r>
              <w:rPr>
                <w:color w:val="000000" w:themeColor="text1"/>
                <w14:textFill>
                  <w14:solidFill>
                    <w14:schemeClr w14:val="tx1"/>
                  </w14:solidFill>
                </w14:textFill>
              </w:rPr>
              <w:t>）、甲苯二异氰酸酯（</w:t>
            </w:r>
            <w:r>
              <w:rPr>
                <w:rFonts w:hint="default"/>
                <w:color w:val="000000" w:themeColor="text1"/>
                <w:lang w:val="en-US"/>
                <w14:textFill>
                  <w14:solidFill>
                    <w14:schemeClr w14:val="tx1"/>
                  </w14:solidFill>
                </w14:textFill>
              </w:rPr>
              <w:t>T</w:t>
            </w:r>
            <w:r>
              <w:rPr>
                <w:color w:val="000000" w:themeColor="text1"/>
                <w14:textFill>
                  <w14:solidFill>
                    <w14:schemeClr w14:val="tx1"/>
                  </w14:solidFill>
                </w14:textFill>
              </w:rPr>
              <w:t>D</w:t>
            </w:r>
            <w:r>
              <w:rPr>
                <w:rFonts w:hint="default"/>
                <w:color w:val="000000" w:themeColor="text1"/>
                <w:lang w:val="en-US"/>
                <w14:textFill>
                  <w14:solidFill>
                    <w14:schemeClr w14:val="tx1"/>
                  </w14:solidFill>
                </w14:textFill>
              </w:rPr>
              <w:t>I</w:t>
            </w:r>
            <w:r>
              <w:rPr>
                <w:color w:val="000000" w:themeColor="text1"/>
                <w14:textFill>
                  <w14:solidFill>
                    <w14:schemeClr w14:val="tx1"/>
                  </w14:solidFill>
                </w14:textFill>
              </w:rPr>
              <w:t>）项目。</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七</w:t>
            </w:r>
            <w:r>
              <w:rPr>
                <w:color w:val="000000" w:themeColor="text1"/>
                <w14:textFill>
                  <w14:solidFill>
                    <w14:schemeClr w14:val="tx1"/>
                  </w14:solidFill>
                </w14:textFill>
              </w:rPr>
              <w:t>）化学原料和化学制品制造业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农药制造；</w:t>
            </w:r>
            <w:r>
              <w:rPr>
                <w:rFonts w:hint="eastAsia"/>
                <w:color w:val="000000" w:themeColor="text1"/>
                <w14:textFill>
                  <w14:solidFill>
                    <w14:schemeClr w14:val="tx1"/>
                  </w14:solidFill>
                </w14:textFill>
              </w:rPr>
              <w:t>新建、扩建钛白粉制造</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成都市、泸州市、德阳市、绵阳市、乐山市、南充市、宜宾市、达州市除外</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铬盐、氰化物制造</w:t>
            </w:r>
            <w:r>
              <w:rPr>
                <w:color w:val="000000" w:themeColor="text1"/>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八</w:t>
            </w:r>
            <w:r>
              <w:rPr>
                <w:color w:val="000000" w:themeColor="text1"/>
                <w14:textFill>
                  <w14:solidFill>
                    <w14:schemeClr w14:val="tx1"/>
                  </w14:solidFill>
                </w14:textFill>
              </w:rPr>
              <w:t>）医药制造业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发酵类抗生素制造。</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九</w:t>
            </w:r>
            <w:r>
              <w:rPr>
                <w:color w:val="000000" w:themeColor="text1"/>
                <w14:textFill>
                  <w14:solidFill>
                    <w14:schemeClr w14:val="tx1"/>
                  </w14:solidFill>
                </w14:textFill>
              </w:rPr>
              <w:t>）非金属矿物制品业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水泥</w:t>
            </w:r>
            <w:r>
              <w:rPr>
                <w:rFonts w:hint="eastAsia"/>
                <w:color w:val="000000" w:themeColor="text1"/>
                <w:lang w:eastAsia="zh-CN"/>
                <w14:textFill>
                  <w14:solidFill>
                    <w14:schemeClr w14:val="tx1"/>
                  </w14:solidFill>
                </w14:textFill>
              </w:rPr>
              <w:t>熟料</w:t>
            </w:r>
            <w:r>
              <w:rPr>
                <w:color w:val="000000" w:themeColor="text1"/>
                <w14:textFill>
                  <w14:solidFill>
                    <w14:schemeClr w14:val="tx1"/>
                  </w14:solidFill>
                </w14:textFill>
              </w:rPr>
              <w:t>制造；平板玻璃制造；含焙烧的石墨、碳素制品。</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十</w:t>
            </w:r>
            <w:r>
              <w:rPr>
                <w:color w:val="000000" w:themeColor="text1"/>
                <w14:textFill>
                  <w14:solidFill>
                    <w14:schemeClr w14:val="tx1"/>
                  </w14:solidFill>
                </w14:textFill>
              </w:rPr>
              <w:t>）黑色金属冶炼和压延加工业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黑色金属冶炼（铁合金制造</w:t>
            </w:r>
            <w:r>
              <w:rPr>
                <w:rFonts w:hint="eastAsia"/>
                <w:color w:val="000000" w:themeColor="text1"/>
                <w:lang w:eastAsia="zh-CN"/>
                <w14:textFill>
                  <w14:solidFill>
                    <w14:schemeClr w14:val="tx1"/>
                  </w14:solidFill>
                </w14:textFill>
              </w:rPr>
              <w:t>除外</w:t>
            </w:r>
            <w:r>
              <w:rPr>
                <w:color w:val="000000" w:themeColor="text1"/>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十一</w:t>
            </w:r>
            <w:r>
              <w:rPr>
                <w:color w:val="000000" w:themeColor="text1"/>
                <w14:textFill>
                  <w14:solidFill>
                    <w14:schemeClr w14:val="tx1"/>
                  </w14:solidFill>
                </w14:textFill>
              </w:rPr>
              <w:t>）有色金属冶炼和压延加工业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有色金属冶炼（</w:t>
            </w:r>
            <w:r>
              <w:rPr>
                <w:rFonts w:hint="eastAsia"/>
                <w:color w:val="000000" w:themeColor="text1"/>
                <w:lang w:eastAsia="zh-CN"/>
                <w14:textFill>
                  <w14:solidFill>
                    <w14:schemeClr w14:val="tx1"/>
                  </w14:solidFill>
                </w14:textFill>
              </w:rPr>
              <w:t>工业硅</w:t>
            </w:r>
            <w:r>
              <w:rPr>
                <w:color w:val="000000" w:themeColor="text1"/>
                <w14:textFill>
                  <w14:solidFill>
                    <w14:schemeClr w14:val="tx1"/>
                  </w14:solidFill>
                </w14:textFill>
              </w:rPr>
              <w:t>冶炼</w:t>
            </w:r>
            <w:r>
              <w:rPr>
                <w:rFonts w:hint="eastAsia"/>
                <w:color w:val="000000" w:themeColor="text1"/>
                <w:lang w:eastAsia="zh-CN"/>
                <w14:textFill>
                  <w14:solidFill>
                    <w14:schemeClr w14:val="tx1"/>
                  </w14:solidFill>
                </w14:textFill>
              </w:rPr>
              <w:t>除外</w:t>
            </w:r>
            <w:r>
              <w:rPr>
                <w:color w:val="000000" w:themeColor="text1"/>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十二</w:t>
            </w:r>
            <w:r>
              <w:rPr>
                <w:color w:val="000000" w:themeColor="text1"/>
                <w14:textFill>
                  <w14:solidFill>
                    <w14:schemeClr w14:val="tx1"/>
                  </w14:solidFill>
                </w14:textFill>
              </w:rPr>
              <w:t>）电气机械和器材制造业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非专业电镀园区内的电镀项目。</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三</w:t>
            </w:r>
            <w:r>
              <w:rPr>
                <w:color w:val="000000" w:themeColor="text1"/>
                <w14:textFill>
                  <w14:solidFill>
                    <w14:schemeClr w14:val="tx1"/>
                  </w14:solidFill>
                </w14:textFill>
              </w:rPr>
              <w:t>）计算机、通信和其他电子设备制造业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新建、扩建</w:t>
            </w:r>
            <w:r>
              <w:rPr>
                <w:color w:val="000000" w:themeColor="text1"/>
                <w14:textFill>
                  <w14:solidFill>
                    <w14:schemeClr w14:val="tx1"/>
                  </w14:solidFill>
                </w14:textFill>
              </w:rPr>
              <w:t>含前工序的8英寸及以上</w:t>
            </w:r>
            <w:r>
              <w:rPr>
                <w:rFonts w:hint="eastAsia"/>
                <w:color w:val="000000" w:themeColor="text1"/>
                <w:lang w:eastAsia="zh-CN"/>
                <w14:textFill>
                  <w14:solidFill>
                    <w14:schemeClr w14:val="tx1"/>
                  </w14:solidFill>
                </w14:textFill>
              </w:rPr>
              <w:t>集成电路</w:t>
            </w:r>
            <w:r>
              <w:rPr>
                <w:color w:val="000000" w:themeColor="text1"/>
                <w14:textFill>
                  <w14:solidFill>
                    <w14:schemeClr w14:val="tx1"/>
                  </w14:solidFill>
                </w14:textFill>
              </w:rPr>
              <w:t>制造（</w:t>
            </w:r>
            <w:r>
              <w:rPr>
                <w:rFonts w:hint="eastAsia"/>
                <w:color w:val="000000" w:themeColor="text1"/>
                <w14:textFill>
                  <w14:solidFill>
                    <w14:schemeClr w14:val="tx1"/>
                  </w14:solidFill>
                </w14:textFill>
              </w:rPr>
              <w:t>成都市、泸州市、德阳市、绵阳市、乐山市、南充市、宜宾市、达州市除外</w:t>
            </w:r>
            <w:r>
              <w:rPr>
                <w:rFonts w:hint="eastAsia"/>
                <w:color w:val="000000" w:themeColor="text1"/>
                <w:lang w:eastAsia="zh-CN"/>
                <w14:textFill>
                  <w14:solidFill>
                    <w14:schemeClr w14:val="tx1"/>
                  </w14:solidFill>
                </w14:textFill>
              </w:rPr>
              <w:t>；位于产业定位涉及含前工序的集成电路的产业园区内项目除外</w:t>
            </w:r>
            <w:r>
              <w:rPr>
                <w:color w:val="000000" w:themeColor="text1"/>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四</w:t>
            </w:r>
            <w:r>
              <w:rPr>
                <w:color w:val="000000" w:themeColor="text1"/>
                <w14:textFill>
                  <w14:solidFill>
                    <w14:schemeClr w14:val="tx1"/>
                  </w14:solidFill>
                </w14:textFill>
              </w:rPr>
              <w:t>）电力、热力生产和供应业</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rFonts w:hint="eastAsia"/>
                <w:color w:val="000000" w:themeColor="text1"/>
                <w:lang w:eastAsia="zh-CN"/>
                <w14:textFill>
                  <w14:solidFill>
                    <w14:schemeClr w14:val="tx1"/>
                  </w14:solidFill>
                </w14:textFill>
              </w:rPr>
              <w:t>燃煤发电；</w:t>
            </w:r>
            <w:r>
              <w:rPr>
                <w:color w:val="000000" w:themeColor="text1"/>
                <w14:textFill>
                  <w14:solidFill>
                    <w14:schemeClr w14:val="tx1"/>
                  </w14:solidFill>
                </w14:textFill>
              </w:rPr>
              <w:t>生态环境部审批权限以外的</w:t>
            </w:r>
            <w:r>
              <w:rPr>
                <w:rFonts w:hint="eastAsia"/>
                <w:color w:val="000000" w:themeColor="text1"/>
                <w:lang w:eastAsia="zh-CN"/>
                <w14:textFill>
                  <w14:solidFill>
                    <w14:schemeClr w14:val="tx1"/>
                  </w14:solidFill>
                </w14:textFill>
              </w:rPr>
              <w:t>常规</w:t>
            </w:r>
            <w:r>
              <w:rPr>
                <w:color w:val="000000" w:themeColor="text1"/>
                <w14:textFill>
                  <w14:solidFill>
                    <w14:schemeClr w14:val="tx1"/>
                  </w14:solidFill>
                </w14:textFill>
              </w:rPr>
              <w:t>水电（</w:t>
            </w:r>
            <w:r>
              <w:rPr>
                <w:rFonts w:hint="eastAsia"/>
                <w:color w:val="000000" w:themeColor="text1"/>
                <w14:textFill>
                  <w14:solidFill>
                    <w14:schemeClr w14:val="tx1"/>
                  </w14:solidFill>
                </w14:textFill>
              </w:rPr>
              <w:t>5万千瓦及以下的除外</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抽水蓄能水电</w:t>
            </w:r>
            <w:r>
              <w:rPr>
                <w:color w:val="000000" w:themeColor="text1"/>
                <w14:textFill>
                  <w14:solidFill>
                    <w14:schemeClr w14:val="tx1"/>
                  </w14:solidFill>
                </w14:textFill>
              </w:rPr>
              <w:t>。</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2823"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五</w:t>
            </w:r>
            <w:r>
              <w:rPr>
                <w:color w:val="000000" w:themeColor="text1"/>
                <w14:textFill>
                  <w14:solidFill>
                    <w14:schemeClr w14:val="tx1"/>
                  </w14:solidFill>
                </w14:textFill>
              </w:rPr>
              <w:t>）研究和试验发展</w:t>
            </w:r>
          </w:p>
        </w:tc>
        <w:tc>
          <w:tcPr>
            <w:tcW w:w="6145" w:type="dxa"/>
            <w:vAlign w:val="center"/>
          </w:tcPr>
          <w:p>
            <w:pPr>
              <w:pStyle w:val="28"/>
              <w:rPr>
                <w:rFonts w:ascii="仿宋_GB2312" w:hAnsi="仿宋_GB2312" w:eastAsia="仿宋_GB2312" w:cs="仿宋_GB2312"/>
                <w:color w:val="000000" w:themeColor="text1"/>
                <w:kern w:val="0"/>
                <w:sz w:val="21"/>
                <w:szCs w:val="24"/>
                <w:lang w:val="en-US" w:eastAsia="zh-CN" w:bidi="ar-SA"/>
                <w14:textFill>
                  <w14:solidFill>
                    <w14:schemeClr w14:val="tx1"/>
                  </w14:solidFill>
                </w14:textFill>
              </w:rPr>
            </w:pPr>
            <w:r>
              <w:rPr>
                <w:color w:val="000000" w:themeColor="text1"/>
                <w14:textFill>
                  <w14:solidFill>
                    <w14:schemeClr w14:val="tx1"/>
                  </w14:solidFill>
                </w14:textFill>
              </w:rPr>
              <w:t>由国务院或国务院授权相关部门审批的应编制环境影响报告书的研究和试验发展项目。</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567"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六</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生态保护和</w:t>
            </w:r>
            <w:r>
              <w:rPr>
                <w:color w:val="000000" w:themeColor="text1"/>
                <w14:textFill>
                  <w14:solidFill>
                    <w14:schemeClr w14:val="tx1"/>
                  </w14:solidFill>
                </w14:textFill>
              </w:rPr>
              <w:t>环境治理业</w:t>
            </w:r>
          </w:p>
        </w:tc>
        <w:tc>
          <w:tcPr>
            <w:tcW w:w="6145"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新建危险废物（医疗废物、废矿物油除外）集中处置项目；水泥窑、钢铁、火电等协同处置危险废物项目。</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七</w:t>
            </w:r>
            <w:r>
              <w:rPr>
                <w:color w:val="000000" w:themeColor="text1"/>
                <w14:textFill>
                  <w14:solidFill>
                    <w14:schemeClr w14:val="tx1"/>
                  </w14:solidFill>
                </w14:textFill>
              </w:rPr>
              <w:t>）社会事业与服务业</w:t>
            </w:r>
          </w:p>
        </w:tc>
        <w:tc>
          <w:tcPr>
            <w:tcW w:w="6145"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特大型主题公园（</w:t>
            </w:r>
            <w:r>
              <w:rPr>
                <w:rFonts w:hint="eastAsia"/>
                <w:color w:val="000000" w:themeColor="text1"/>
                <w14:textFill>
                  <w14:solidFill>
                    <w14:schemeClr w14:val="tx1"/>
                  </w14:solidFill>
                </w14:textFill>
              </w:rPr>
              <w:t>成都市、泸州市、德阳市、绵阳市、乐山市、南充市、宜宾市、达州市除外</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；涉及世界自然和文化遗产保护区、国家级自然保护区的编制环境影响报告书的旅游开发项目；由国务院或国务院授权相关部门审批的应编制环境影响报告书的卫生项目；高尔夫球场。</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八</w:t>
            </w:r>
            <w:r>
              <w:rPr>
                <w:color w:val="000000" w:themeColor="text1"/>
                <w14:textFill>
                  <w14:solidFill>
                    <w14:schemeClr w14:val="tx1"/>
                  </w14:solidFill>
                </w14:textFill>
              </w:rPr>
              <w:t>）水利</w:t>
            </w:r>
          </w:p>
        </w:tc>
        <w:tc>
          <w:tcPr>
            <w:tcW w:w="6145"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国务院或国务院授权有关部门审批的应编制环境影响报告书的不含水库的防洪治涝工程，不含水库的灌区工程；应编制环境影响报告书的水库；涉及跨市（州）水资源配置调整的且编制环境影响报告书的其他水事工程。</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454"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（十</w:t>
            </w:r>
            <w:r>
              <w:rPr>
                <w:rFonts w:hint="eastAsia"/>
                <w:color w:val="000000" w:themeColor="text1"/>
                <w:lang w:eastAsia="zh-CN"/>
                <w14:textFill>
                  <w14:solidFill>
                    <w14:schemeClr w14:val="tx1"/>
                  </w14:solidFill>
                </w14:textFill>
              </w:rPr>
              <w:t>九</w:t>
            </w:r>
            <w:r>
              <w:rPr>
                <w:color w:val="000000" w:themeColor="text1"/>
                <w14:textFill>
                  <w14:solidFill>
                    <w14:schemeClr w14:val="tx1"/>
                  </w14:solidFill>
                </w14:textFill>
              </w:rPr>
              <w:t>）交通运输业、管道运输业</w:t>
            </w:r>
          </w:p>
        </w:tc>
        <w:tc>
          <w:tcPr>
            <w:tcW w:w="6145"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生态环境部审批权限以外的新建（含增建）铁路（铁路专用线、联络线、货站、站场项目除外）；地铁；新建、迁建、</w:t>
            </w:r>
            <w:r>
              <w:rPr>
                <w:rFonts w:hint="eastAsia"/>
                <w:color w:val="000000" w:themeColor="text1"/>
                <w:lang w:eastAsia="zh-CN"/>
                <w14:textFill>
                  <w14:solidFill>
                    <w14:schemeClr w14:val="tx1"/>
                  </w14:solidFill>
                </w14:textFill>
              </w:rPr>
              <w:t>增加航空业务量的飞行区扩建</w:t>
            </w:r>
            <w:r>
              <w:rPr>
                <w:color w:val="000000" w:themeColor="text1"/>
                <w14:textFill>
                  <w14:solidFill>
                    <w14:schemeClr w14:val="tx1"/>
                  </w14:solidFill>
                </w14:textFill>
              </w:rPr>
              <w:t>运输机场；新建一类通用机场（</w:t>
            </w:r>
            <w:r>
              <w:rPr>
                <w:rFonts w:hint="eastAsia"/>
                <w:color w:val="000000" w:themeColor="text1"/>
                <w14:textFill>
                  <w14:solidFill>
                    <w14:schemeClr w14:val="tx1"/>
                  </w14:solidFill>
                </w14:textFill>
              </w:rPr>
              <w:t>成都市、泸州市、德阳市、绵阳市、乐山市、南充市、宜宾市、达州市除外</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；新建编制环境影响报告书的跨市（州）高速公路；涉及危险品、化学品的集装箱专用码头；跨市（州）的航电枢纽工程；编制环境影响报告书的跨市（州）输油（气）管线。</w:t>
            </w:r>
          </w:p>
        </w:tc>
      </w:tr>
      <w:tr>
        <w:tblPrEx>
          <w:tblBorders>
            <w:top w:val="single" w:color="auto" w:sz="4" w:space="0"/>
            <w:left w:val="single" w:color="auto" w:sz="2" w:space="0"/>
            <w:bottom w:val="single" w:color="auto" w:sz="4" w:space="0"/>
            <w:right w:val="single" w:color="auto" w:sz="2" w:space="0"/>
            <w:insideH w:val="single" w:color="auto" w:sz="4" w:space="0"/>
            <w:insideV w:val="single" w:color="auto" w:sz="4" w:space="0"/>
          </w:tblBorders>
          <w:tblCellMar>
            <w:top w:w="15" w:type="dxa"/>
            <w:left w:w="15" w:type="dxa"/>
            <w:bottom w:w="15" w:type="dxa"/>
            <w:right w:w="15" w:type="dxa"/>
          </w:tblCellMar>
        </w:tblPrEx>
        <w:trPr>
          <w:trHeight w:val="567" w:hRule="atLeast"/>
          <w:jc w:val="center"/>
        </w:trPr>
        <w:tc>
          <w:tcPr>
            <w:tcW w:w="2823" w:type="dxa"/>
            <w:vAlign w:val="center"/>
          </w:tcPr>
          <w:p>
            <w:pPr>
              <w:pStyle w:val="28"/>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二</w:t>
            </w:r>
            <w:r>
              <w:rPr>
                <w:color w:val="000000" w:themeColor="text1"/>
                <w14:textFill>
                  <w14:solidFill>
                    <w14:schemeClr w14:val="tx1"/>
                  </w14:solidFill>
                </w14:textFill>
              </w:rPr>
              <w:t>十）核与辐射</w:t>
            </w:r>
          </w:p>
        </w:tc>
        <w:tc>
          <w:tcPr>
            <w:tcW w:w="6145" w:type="dxa"/>
            <w:vAlign w:val="center"/>
          </w:tcPr>
          <w:p>
            <w:pPr>
              <w:pStyle w:val="28"/>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生态环境部审批权限以外的</w:t>
            </w:r>
            <w:r>
              <w:rPr>
                <w:color w:val="000000" w:themeColor="text1"/>
                <w14:textFill>
                  <w14:solidFill>
                    <w14:schemeClr w14:val="tx1"/>
                  </w14:solidFill>
                </w14:textFill>
              </w:rPr>
              <w:t>500千伏及以上输变电工程；生态环境部审批权限以外，编制环境影响报告书的广播电台、差转台，电视塔台，卫星地球上行站，雷达；生态环境部审批权限以外的伴生放射性矿产资源的采选、冶炼及废渣再利用；生产放射性同位素的，甲级、乙级非密封放射性物质工作场所，使用Ⅰ</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Ⅱ类放射源的，销售（含建造）、使用Ⅰ类射线装置的，生产、使用Ⅱ类射线装置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使用血管造影</w:t>
            </w:r>
            <w:r>
              <w:rPr>
                <w:rFonts w:hint="eastAsia"/>
                <w:color w:val="000000" w:themeColor="text1"/>
                <w:lang w:eastAsia="zh-CN"/>
                <w14:textFill>
                  <w14:solidFill>
                    <w14:schemeClr w14:val="tx1"/>
                  </w14:solidFill>
                </w14:textFill>
              </w:rPr>
              <w:t>用</w:t>
            </w:r>
            <w:r>
              <w:rPr>
                <w:color w:val="000000" w:themeColor="text1"/>
                <w14:textFill>
                  <w14:solidFill>
                    <w14:schemeClr w14:val="tx1"/>
                  </w14:solidFill>
                </w14:textFill>
              </w:rPr>
              <w:t>X射线装置</w:t>
            </w:r>
            <w:r>
              <w:rPr>
                <w:rFonts w:hint="eastAsia"/>
                <w:color w:val="000000" w:themeColor="text1"/>
                <w:lang w:eastAsia="zh-CN"/>
                <w14:textFill>
                  <w14:solidFill>
                    <w14:schemeClr w14:val="tx1"/>
                  </w14:solidFill>
                </w14:textFill>
              </w:rPr>
              <w:t>、术中放射治疗装置、X射线治疗机</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深部、浅部</w:t>
            </w:r>
            <w:r>
              <w:rPr>
                <w:color w:val="000000" w:themeColor="text1"/>
                <w14:textFill>
                  <w14:solidFill>
                    <w14:schemeClr w14:val="tx1"/>
                  </w14:solidFill>
                </w14:textFill>
              </w:rPr>
              <w:t>）除外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的核技术利用项目及相应需要退役的项目；在野外进行放射性同位素示踪试验项目。</w:t>
            </w:r>
          </w:p>
        </w:tc>
      </w:tr>
    </w:tbl>
    <w:p>
      <w:pPr>
        <w:pStyle w:val="26"/>
        <w:ind w:firstLine="562"/>
        <w:rPr>
          <w:rFonts w:hint="eastAsia"/>
          <w:color w:val="000000" w:themeColor="text1"/>
          <w14:textFill>
            <w14:solidFill>
              <w14:schemeClr w14:val="tx1"/>
            </w14:solidFill>
          </w14:textFill>
        </w:rPr>
      </w:pPr>
      <w:bookmarkStart w:id="7" w:name="_Toc22472"/>
    </w:p>
    <w:p>
      <w:pPr>
        <w:pStyle w:val="26"/>
        <w:ind w:firstLine="562"/>
        <w:rPr>
          <w:rFonts w:hint="eastAsia"/>
          <w:color w:val="000000" w:themeColor="text1"/>
          <w14:textFill>
            <w14:solidFill>
              <w14:schemeClr w14:val="tx1"/>
            </w14:solidFill>
          </w14:textFill>
        </w:rPr>
      </w:pPr>
    </w:p>
    <w:p>
      <w:pPr>
        <w:pStyle w:val="26"/>
        <w:ind w:firstLine="562"/>
        <w:rPr>
          <w:rFonts w:hint="eastAsia"/>
          <w:color w:val="000000" w:themeColor="text1"/>
          <w14:textFill>
            <w14:solidFill>
              <w14:schemeClr w14:val="tx1"/>
            </w14:solidFill>
          </w14:textFill>
        </w:rPr>
      </w:pPr>
    </w:p>
    <w:p>
      <w:pPr>
        <w:pStyle w:val="26"/>
        <w:ind w:firstLine="562"/>
        <w:rPr>
          <w:rFonts w:hint="eastAsia"/>
          <w:color w:val="000000" w:themeColor="text1"/>
          <w14:textFill>
            <w14:solidFill>
              <w14:schemeClr w14:val="tx1"/>
            </w14:solidFill>
          </w14:textFill>
        </w:rPr>
      </w:pPr>
    </w:p>
    <w:p>
      <w:pPr>
        <w:pStyle w:val="26"/>
        <w:ind w:firstLine="562"/>
        <w:rPr>
          <w:rFonts w:hint="eastAsia"/>
          <w:color w:val="000000" w:themeColor="text1"/>
          <w14:textFill>
            <w14:solidFill>
              <w14:schemeClr w14:val="tx1"/>
            </w14:solidFill>
          </w14:textFill>
        </w:rPr>
      </w:pPr>
    </w:p>
    <w:p>
      <w:pPr>
        <w:pStyle w:val="26"/>
        <w:ind w:firstLine="562"/>
        <w:rPr>
          <w:rFonts w:hint="eastAsia"/>
          <w:color w:val="000000" w:themeColor="text1"/>
          <w14:textFill>
            <w14:solidFill>
              <w14:schemeClr w14:val="tx1"/>
            </w14:solidFill>
          </w14:textFill>
        </w:rPr>
      </w:pPr>
    </w:p>
    <w:p>
      <w:pPr>
        <w:pStyle w:val="26"/>
        <w:ind w:firstLine="562"/>
        <w:rPr>
          <w:rFonts w:hint="eastAsia"/>
          <w:color w:val="000000" w:themeColor="text1"/>
          <w14:textFill>
            <w14:solidFill>
              <w14:schemeClr w14:val="tx1"/>
            </w14:solidFill>
          </w14:textFill>
        </w:rPr>
      </w:pPr>
    </w:p>
    <w:p>
      <w:pPr>
        <w:pStyle w:val="26"/>
        <w:ind w:firstLine="562"/>
        <w:rPr>
          <w:color w:val="000000" w:themeColor="text1"/>
          <w14:textFill>
            <w14:solidFill>
              <w14:schemeClr w14:val="tx1"/>
            </w14:solidFill>
          </w14:textFill>
        </w:rPr>
      </w:pPr>
      <w:r>
        <w:rPr>
          <w:rFonts w:hint="eastAsia"/>
          <w:color w:val="000000" w:themeColor="text1"/>
          <w14:textFill>
            <w14:solidFill>
              <w14:schemeClr w14:val="tx1"/>
            </w14:solidFill>
          </w14:textFill>
        </w:rPr>
        <w:t>（三）攀枝花市生态环境局审批建设项目</w:t>
      </w:r>
      <w:bookmarkEnd w:id="7"/>
    </w:p>
    <w:p>
      <w:pPr>
        <w:pStyle w:val="27"/>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市级生态环境部门负责审批除生态环境部、生态环境厅审批的项目外</w:t>
      </w:r>
      <w:r>
        <w:rPr>
          <w:rFonts w:hint="eastAsia"/>
          <w:color w:val="000000" w:themeColor="text1"/>
          <w:kern w:val="0"/>
          <w:lang w:eastAsia="zh-CN"/>
          <w14:textFill>
            <w14:solidFill>
              <w14:schemeClr w14:val="tx1"/>
            </w14:solidFill>
          </w14:textFill>
        </w:rPr>
        <w:t>其他</w:t>
      </w:r>
      <w:r>
        <w:rPr>
          <w:rFonts w:hint="eastAsia"/>
          <w:color w:val="000000" w:themeColor="text1"/>
          <w:kern w:val="0"/>
          <w14:textFill>
            <w14:solidFill>
              <w14:schemeClr w14:val="tx1"/>
            </w14:solidFill>
          </w14:textFill>
        </w:rPr>
        <w:t>建设项目环境影响评价文件。</w:t>
      </w:r>
    </w:p>
    <w:p>
      <w:pPr>
        <w:pStyle w:val="25"/>
        <w:rPr>
          <w:rFonts w:hint="eastAsia"/>
          <w:color w:val="000000" w:themeColor="text1"/>
          <w14:textFill>
            <w14:solidFill>
              <w14:schemeClr w14:val="tx1"/>
            </w14:solidFill>
          </w14:textFill>
        </w:rPr>
      </w:pPr>
      <w:bookmarkStart w:id="8" w:name="_Toc28900"/>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p>
      <w:pPr>
        <w:pStyle w:val="25"/>
        <w:rPr>
          <w:rFonts w:hint="eastAsia"/>
          <w:color w:val="000000" w:themeColor="text1"/>
          <w14:textFill>
            <w14:solidFill>
              <w14:schemeClr w14:val="tx1"/>
            </w14:solidFill>
          </w14:textFill>
        </w:rPr>
      </w:pPr>
    </w:p>
    <w:bookmarkEnd w:id="8"/>
    <w:p>
      <w:pPr>
        <w:pStyle w:val="2"/>
        <w:rPr>
          <w:rFonts w:ascii="Times New Roman" w:hAnsi="Times New Roman" w:eastAsia="黑体"/>
          <w:color w:val="000000" w:themeColor="text1"/>
          <w:sz w:val="28"/>
          <w:szCs w:val="28"/>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40" w:lineRule="exact"/>
        <w:ind w:firstLine="600" w:firstLineChars="200"/>
        <w:textAlignment w:val="auto"/>
        <w:outlineLvl w:val="0"/>
        <w:rPr>
          <w:rFonts w:hint="eastAsia" w:ascii="方正黑体_GBK" w:hAnsi="Times New Roman" w:eastAsia="方正黑体_GBK"/>
          <w:color w:val="000000" w:themeColor="text1"/>
          <w:sz w:val="30"/>
          <w:szCs w:val="30"/>
          <w:lang w:val="en-US" w:eastAsia="zh-CN"/>
          <w14:textFill>
            <w14:solidFill>
              <w14:schemeClr w14:val="tx1"/>
            </w14:solidFill>
          </w14:textFill>
        </w:rPr>
      </w:pPr>
      <w:r>
        <w:rPr>
          <w:rFonts w:hint="eastAsia" w:ascii="方正黑体_GBK" w:hAnsi="Times New Roman" w:eastAsia="方正黑体_GBK"/>
          <w:color w:val="000000" w:themeColor="text1"/>
          <w:sz w:val="30"/>
          <w:szCs w:val="30"/>
          <w:lang w:val="en-US" w:eastAsia="zh-CN"/>
          <w14:textFill>
            <w14:solidFill>
              <w14:schemeClr w14:val="tx1"/>
            </w14:solidFill>
          </w14:textFill>
        </w:rPr>
        <w:t>五、小微企业</w:t>
      </w:r>
      <w:r>
        <w:rPr>
          <w:rFonts w:hint="eastAsia" w:ascii="方正黑体_GBK" w:hAnsi="Times New Roman" w:eastAsia="方正黑体_GBK"/>
          <w:color w:val="000000" w:themeColor="text1"/>
          <w:sz w:val="30"/>
          <w:szCs w:val="30"/>
          <w:lang w:val="en" w:eastAsia="zh-CN"/>
          <w14:textFill>
            <w14:solidFill>
              <w14:schemeClr w14:val="tx1"/>
            </w14:solidFill>
          </w14:textFill>
        </w:rPr>
        <w:t>“</w:t>
      </w:r>
      <w:r>
        <w:rPr>
          <w:rFonts w:hint="eastAsia" w:ascii="方正黑体_GBK" w:hAnsi="Times New Roman" w:eastAsia="方正黑体_GBK"/>
          <w:color w:val="000000" w:themeColor="text1"/>
          <w:sz w:val="30"/>
          <w:szCs w:val="30"/>
          <w:lang w:val="en-US" w:eastAsia="zh-CN"/>
          <w14:textFill>
            <w14:solidFill>
              <w14:schemeClr w14:val="tx1"/>
            </w14:solidFill>
          </w14:textFill>
        </w:rPr>
        <w:t>三个一</w:t>
      </w:r>
      <w:r>
        <w:rPr>
          <w:rFonts w:hint="eastAsia" w:ascii="方正黑体_GBK" w:hAnsi="Times New Roman" w:eastAsia="方正黑体_GBK"/>
          <w:color w:val="000000" w:themeColor="text1"/>
          <w:sz w:val="30"/>
          <w:szCs w:val="30"/>
          <w:lang w:val="en" w:eastAsia="zh-CN"/>
          <w14:textFill>
            <w14:solidFill>
              <w14:schemeClr w14:val="tx1"/>
            </w14:solidFill>
          </w14:textFill>
        </w:rPr>
        <w:t>”</w:t>
      </w:r>
      <w:r>
        <w:rPr>
          <w:rFonts w:hint="eastAsia" w:ascii="方正黑体_GBK" w:hAnsi="Times New Roman" w:eastAsia="方正黑体_GBK"/>
          <w:color w:val="000000" w:themeColor="text1"/>
          <w:sz w:val="30"/>
          <w:szCs w:val="30"/>
          <w:lang w:val="en-US" w:eastAsia="zh-CN"/>
          <w14:textFill>
            <w14:solidFill>
              <w14:schemeClr w14:val="tx1"/>
            </w14:solidFill>
          </w14:textFill>
        </w:rPr>
        <w:t>环保服务工作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在全市范围内开展小微企业“三个一”环保服务工作，即开通一个咨询电话，每周固定一个服务企业接待日，每月集中开展一次小微企业服务，对全市小微企业环评及排污许可手续办理进行服务指导，确保小微企业在办理环评及排污许可手续时政策有人讲解、疑问有人答复、困难有人帮助，切实减轻小微企业负担。</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jc w:val="both"/>
        <w:textAlignment w:val="auto"/>
        <w:rPr>
          <w:rFonts w:hint="eastAsia" w:ascii="Times New Roman" w:hAnsi="Times New Roman" w:eastAsia="楷体" w:cs="Times New Roman"/>
          <w:b/>
          <w:color w:val="000000" w:themeColor="text1"/>
          <w:kern w:val="2"/>
          <w:sz w:val="28"/>
          <w:szCs w:val="28"/>
          <w:lang w:val="en-US" w:eastAsia="zh-CN" w:bidi="ar-SA"/>
          <w14:textFill>
            <w14:solidFill>
              <w14:schemeClr w14:val="tx1"/>
            </w14:solidFill>
          </w14:textFill>
        </w:rPr>
      </w:pPr>
      <w:r>
        <w:rPr>
          <w:rFonts w:hint="eastAsia" w:ascii="Times New Roman" w:hAnsi="Times New Roman" w:eastAsia="楷体" w:cs="Times New Roman"/>
          <w:b/>
          <w:color w:val="000000" w:themeColor="text1"/>
          <w:kern w:val="2"/>
          <w:sz w:val="28"/>
          <w:szCs w:val="28"/>
          <w:lang w:val="en-US" w:eastAsia="zh-CN" w:bidi="ar-SA"/>
          <w14:textFill>
            <w14:solidFill>
              <w14:schemeClr w14:val="tx1"/>
            </w14:solidFill>
          </w14:textFill>
        </w:rPr>
        <w:t>（一）开通一个咨询电话。</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市生态环境局通过官方网站、微信公众号等途径，公开环评和排污许可手续办理咨询电话以及服务时间，咨询电话专人负责接听并解答小微企业提出的环评、排污许可手续办理等问题。</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环评手续、排污许可手续咨询电话：0812-3318159</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服务时间：星期一至星期五上午9:00-12:00，下午13:30-17:00</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Times New Roman" w:hAnsi="Times New Roman" w:eastAsia="楷体" w:cs="Times New Roman"/>
          <w:b/>
          <w:color w:val="000000" w:themeColor="text1"/>
          <w:kern w:val="2"/>
          <w:sz w:val="28"/>
          <w:szCs w:val="28"/>
          <w:lang w:val="en-US" w:eastAsia="zh-CN" w:bidi="ar-SA"/>
          <w14:textFill>
            <w14:solidFill>
              <w14:schemeClr w14:val="tx1"/>
            </w14:solidFill>
          </w14:textFill>
        </w:rPr>
      </w:pPr>
      <w:r>
        <w:rPr>
          <w:rFonts w:hint="eastAsia" w:ascii="Times New Roman" w:hAnsi="Times New Roman" w:eastAsia="楷体" w:cs="Times New Roman"/>
          <w:b/>
          <w:color w:val="000000" w:themeColor="text1"/>
          <w:kern w:val="2"/>
          <w:sz w:val="28"/>
          <w:szCs w:val="28"/>
          <w:lang w:val="en-US" w:eastAsia="zh-CN" w:bidi="ar-SA"/>
          <w14:textFill>
            <w14:solidFill>
              <w14:schemeClr w14:val="tx1"/>
            </w14:solidFill>
          </w14:textFill>
        </w:rPr>
        <w:t>（二）每周固定一个服务企业接待日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将每周五固定为小微企业接待日，在攀枝花市仁和区三线大道69号攀西科技城（新市政务中心）4楼C4</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04办公室</w:t>
      </w: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定点进行接待服务，有意愿参加接待日的企业，可提前一个工作日通过咨询电话告知需要咨询的环评、排污许可手续办理的有关事项，在固定接待日将由专人进行一对一讲解。</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Times New Roman" w:hAnsi="Times New Roman" w:eastAsia="楷体" w:cs="Times New Roman"/>
          <w:b/>
          <w:color w:val="000000" w:themeColor="text1"/>
          <w:kern w:val="2"/>
          <w:sz w:val="28"/>
          <w:szCs w:val="28"/>
          <w:lang w:val="en-US" w:eastAsia="zh-CN" w:bidi="ar-SA"/>
          <w14:textFill>
            <w14:solidFill>
              <w14:schemeClr w14:val="tx1"/>
            </w14:solidFill>
          </w14:textFill>
        </w:rPr>
      </w:pPr>
      <w:r>
        <w:rPr>
          <w:rFonts w:hint="eastAsia" w:ascii="Times New Roman" w:hAnsi="Times New Roman" w:eastAsia="楷体" w:cs="Times New Roman"/>
          <w:b/>
          <w:color w:val="000000" w:themeColor="text1"/>
          <w:kern w:val="2"/>
          <w:sz w:val="28"/>
          <w:szCs w:val="28"/>
          <w:lang w:val="en-US" w:eastAsia="zh-CN" w:bidi="ar-SA"/>
          <w14:textFill>
            <w14:solidFill>
              <w14:schemeClr w14:val="tx1"/>
            </w14:solidFill>
          </w14:textFill>
        </w:rPr>
        <w:t>（三）每月开展一次小微企业服务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 w:eastAsia="zh-CN" w:bidi="ar-SA"/>
          <w14:textFill>
            <w14:solidFill>
              <w14:schemeClr w14:val="tx1"/>
            </w14:solidFill>
          </w14:textFill>
        </w:rPr>
        <w:t>将每月最后一周某个工作日作为集中送服务活动日，针对小微企业在日常工作中咨询较多的问题，由市生态环境局行政审批科牵头，组织有关科室、各县（区）生态环境局、相关专家组成服务小组，集中开展为小微企业送服务活动。</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ind w:firstLine="480" w:firstLineChars="200"/>
        <w:jc w:val="both"/>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p>
    <w:p>
      <w:pPr>
        <w:numPr>
          <w:ilvl w:val="0"/>
          <w:numId w:val="0"/>
        </w:numPr>
        <w:spacing w:beforeLines="0" w:afterLines="0" w:line="600" w:lineRule="exact"/>
        <w:jc w:val="both"/>
        <w:rPr>
          <w:rFonts w:hint="default" w:ascii="楷体_GB2312" w:hAnsi="楷体_GB2312" w:eastAsia="楷体_GB2312" w:cs="楷体_GB2312"/>
          <w:b/>
          <w:color w:val="000000" w:themeColor="text1"/>
          <w:sz w:val="32"/>
          <w:szCs w:val="32"/>
          <w:lang w:val="en-US" w:eastAsia="zh-CN"/>
          <w14:textFill>
            <w14:solidFill>
              <w14:schemeClr w14:val="tx1"/>
            </w14:solidFill>
          </w14:textFill>
        </w:rPr>
      </w:pPr>
    </w:p>
    <w:p>
      <w:pPr>
        <w:numPr>
          <w:ilvl w:val="0"/>
          <w:numId w:val="0"/>
        </w:numPr>
        <w:spacing w:beforeLines="0" w:afterLines="0" w:line="600" w:lineRule="exact"/>
        <w:jc w:val="both"/>
        <w:rPr>
          <w:rFonts w:hint="default" w:ascii="楷体_GB2312" w:hAnsi="楷体_GB2312" w:eastAsia="楷体_GB2312" w:cs="楷体_GB2312"/>
          <w:b/>
          <w:color w:val="000000" w:themeColor="text1"/>
          <w:sz w:val="32"/>
          <w:szCs w:val="32"/>
          <w:lang w:val="en-US" w:eastAsia="zh-CN"/>
          <w14:textFill>
            <w14:solidFill>
              <w14:schemeClr w14:val="tx1"/>
            </w14:solidFill>
          </w14:textFill>
        </w:rPr>
      </w:pPr>
    </w:p>
    <w:p>
      <w:pPr>
        <w:pStyle w:val="2"/>
        <w:rPr>
          <w:rFonts w:hint="default" w:ascii="楷体_GB2312" w:hAnsi="楷体_GB2312" w:eastAsia="楷体_GB2312" w:cs="楷体_GB2312"/>
          <w:b/>
          <w:color w:val="000000" w:themeColor="text1"/>
          <w:sz w:val="32"/>
          <w:szCs w:val="32"/>
          <w:lang w:val="en-US" w:eastAsia="zh-CN"/>
          <w14:textFill>
            <w14:solidFill>
              <w14:schemeClr w14:val="tx1"/>
            </w14:solidFill>
          </w14:textFill>
        </w:rPr>
      </w:pPr>
    </w:p>
    <w:p>
      <w:pPr>
        <w:rPr>
          <w:rFonts w:hint="default" w:ascii="楷体_GB2312" w:hAnsi="楷体_GB2312" w:eastAsia="楷体_GB2312" w:cs="楷体_GB2312"/>
          <w:b/>
          <w:color w:val="000000" w:themeColor="text1"/>
          <w:sz w:val="32"/>
          <w:szCs w:val="32"/>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40" w:lineRule="exact"/>
        <w:ind w:left="0" w:leftChars="0" w:firstLine="600" w:firstLineChars="200"/>
        <w:textAlignment w:val="auto"/>
        <w:outlineLvl w:val="0"/>
        <w:rPr>
          <w:rFonts w:hint="default" w:ascii="方正黑体_GBK" w:hAnsi="Times New Roman" w:eastAsia="方正黑体_GBK"/>
          <w:color w:val="000000" w:themeColor="text1"/>
          <w:sz w:val="30"/>
          <w:szCs w:val="30"/>
          <w:lang w:val="en-US" w:eastAsia="zh-CN"/>
          <w14:textFill>
            <w14:solidFill>
              <w14:schemeClr w14:val="tx1"/>
            </w14:solidFill>
          </w14:textFill>
        </w:rPr>
      </w:pPr>
      <w:r>
        <w:rPr>
          <w:rFonts w:hint="eastAsia" w:ascii="方正黑体_GBK" w:hAnsi="Times New Roman" w:eastAsia="方正黑体_GBK"/>
          <w:color w:val="000000" w:themeColor="text1"/>
          <w:sz w:val="30"/>
          <w:szCs w:val="30"/>
          <w:lang w:val="en-US" w:eastAsia="zh-CN"/>
          <w14:textFill>
            <w14:solidFill>
              <w14:schemeClr w14:val="tx1"/>
            </w14:solidFill>
          </w14:textFill>
        </w:rPr>
        <w:t>六</w:t>
      </w:r>
      <w:r>
        <w:rPr>
          <w:rFonts w:hint="default" w:ascii="方正黑体_GBK" w:hAnsi="Times New Roman" w:eastAsia="方正黑体_GBK"/>
          <w:color w:val="000000" w:themeColor="text1"/>
          <w:sz w:val="30"/>
          <w:szCs w:val="30"/>
          <w:lang w:val="en-US" w:eastAsia="zh-CN"/>
          <w14:textFill>
            <w14:solidFill>
              <w14:schemeClr w14:val="tx1"/>
            </w14:solidFill>
          </w14:textFill>
        </w:rPr>
        <w:t>、</w:t>
      </w:r>
      <w:r>
        <w:rPr>
          <w:rFonts w:hint="eastAsia" w:ascii="方正黑体_GBK" w:hAnsi="Times New Roman" w:eastAsia="方正黑体_GBK"/>
          <w:color w:val="000000" w:themeColor="text1"/>
          <w:sz w:val="30"/>
          <w:szCs w:val="30"/>
          <w:lang w:val="en-US" w:eastAsia="zh-CN"/>
          <w14:textFill>
            <w14:solidFill>
              <w14:schemeClr w14:val="tx1"/>
            </w14:solidFill>
          </w14:textFill>
        </w:rPr>
        <w:t>重点项目环评预审制</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(一)受理。</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项目建设单位或党政部门提出环评预审服务的书面申请和相关资料后，行政审批</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科</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提出意见，报分管</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局</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领导</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审定</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(二)预评估。</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委托</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生态环境信息与技术评估服务中心</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开展预评估，一般应在5个工作日内完成，并出具书面预评估意见。</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(三)出具意见。</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行政审批</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科</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根据</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生态环境信息与技术评估服务中心</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预评估意见，出具预审意见。</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p>
    <w:p>
      <w:pPr>
        <w:keepNext w:val="0"/>
        <w:keepLines w:val="0"/>
        <w:pageBreakBefore w:val="0"/>
        <w:numPr>
          <w:ilvl w:val="0"/>
          <w:numId w:val="0"/>
        </w:numPr>
        <w:kinsoku/>
        <w:wordWrap/>
        <w:overflowPunct/>
        <w:topLinePunct w:val="0"/>
        <w:autoSpaceDE/>
        <w:autoSpaceDN/>
        <w:bidi w:val="0"/>
        <w:adjustRightInd/>
        <w:snapToGrid/>
        <w:spacing w:line="440" w:lineRule="exact"/>
        <w:ind w:left="0" w:leftChars="0" w:firstLine="642" w:firstLineChars="200"/>
        <w:jc w:val="both"/>
        <w:textAlignment w:val="auto"/>
        <w:rPr>
          <w:rFonts w:hint="eastAsia" w:ascii="楷体_GB2312" w:hAnsi="楷体_GB2312" w:eastAsia="楷体_GB2312" w:cs="楷体_GB2312"/>
          <w:b/>
          <w:color w:val="000000" w:themeColor="text1"/>
          <w:sz w:val="32"/>
          <w:szCs w:val="32"/>
          <w:lang w:val="en-US" w:eastAsia="zh-CN"/>
          <w14:textFill>
            <w14:solidFill>
              <w14:schemeClr w14:val="tx1"/>
            </w14:solidFill>
          </w14:textFill>
        </w:rPr>
      </w:pPr>
    </w:p>
    <w:p>
      <w:pPr>
        <w:pStyle w:val="2"/>
        <w:rPr>
          <w:rFonts w:hint="eastAsia" w:ascii="楷体_GB2312" w:hAnsi="楷体_GB2312" w:eastAsia="楷体_GB2312" w:cs="楷体_GB2312"/>
          <w:b/>
          <w:color w:val="000000" w:themeColor="text1"/>
          <w:sz w:val="32"/>
          <w:szCs w:val="32"/>
          <w:lang w:val="en-US" w:eastAsia="zh-CN"/>
          <w14:textFill>
            <w14:solidFill>
              <w14:schemeClr w14:val="tx1"/>
            </w14:solidFill>
          </w14:textFill>
        </w:rPr>
      </w:pPr>
    </w:p>
    <w:p>
      <w:pPr>
        <w:rPr>
          <w:rFonts w:hint="eastAsia" w:ascii="楷体_GB2312" w:hAnsi="楷体_GB2312" w:eastAsia="楷体_GB2312" w:cs="楷体_GB2312"/>
          <w:b/>
          <w:color w:val="000000" w:themeColor="text1"/>
          <w:sz w:val="32"/>
          <w:szCs w:val="32"/>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pStyle w:val="2"/>
        <w:keepNext w:val="0"/>
        <w:keepLines w:val="0"/>
        <w:pageBreakBefore w:val="0"/>
        <w:kinsoku/>
        <w:wordWrap/>
        <w:overflowPunct/>
        <w:topLinePunct w:val="0"/>
        <w:autoSpaceDE/>
        <w:autoSpaceDN/>
        <w:bidi w:val="0"/>
        <w:adjustRightInd/>
        <w:snapToGrid/>
        <w:spacing w:line="440" w:lineRule="exact"/>
        <w:ind w:left="0" w:leftChars="0" w:firstLine="420" w:firstLineChars="200"/>
        <w:textAlignment w:val="auto"/>
        <w:rPr>
          <w:rFonts w:hint="eastAsia"/>
          <w:color w:val="000000" w:themeColor="text1"/>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40" w:lineRule="exact"/>
        <w:ind w:left="0" w:leftChars="0" w:firstLine="600" w:firstLineChars="200"/>
        <w:textAlignment w:val="auto"/>
        <w:outlineLvl w:val="0"/>
        <w:rPr>
          <w:rFonts w:hint="eastAsia" w:ascii="方正黑体_GBK" w:hAnsi="Times New Roman" w:eastAsia="方正黑体_GBK"/>
          <w:color w:val="000000" w:themeColor="text1"/>
          <w:sz w:val="30"/>
          <w:szCs w:val="30"/>
          <w:lang w:val="en-US" w:eastAsia="zh-CN"/>
          <w14:textFill>
            <w14:solidFill>
              <w14:schemeClr w14:val="tx1"/>
            </w14:solidFill>
          </w14:textFill>
        </w:rPr>
      </w:pPr>
      <w:r>
        <w:rPr>
          <w:rFonts w:hint="eastAsia" w:ascii="方正黑体_GBK" w:hAnsi="Times New Roman" w:eastAsia="方正黑体_GBK"/>
          <w:color w:val="000000" w:themeColor="text1"/>
          <w:sz w:val="30"/>
          <w:szCs w:val="30"/>
          <w:lang w:val="en-US" w:eastAsia="zh-CN"/>
          <w14:textFill>
            <w14:solidFill>
              <w14:schemeClr w14:val="tx1"/>
            </w14:solidFill>
          </w14:textFill>
        </w:rPr>
        <w:t>七、攀枝花市建设项目环境影响报告表承诺制审批</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（一）实施原则。</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采取自愿原则，建设单位可根据承诺制审批名录的项目类别自主选择是否按照承诺制办理项目环评审批手续，对不愿开展承诺制审批的建设单位，按照原有先审查再审批的程序办理项目环评审批手续。</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ascii="Times New Roman" w:hAnsi="Times New Roman" w:eastAsia="楷体_GB2312"/>
          <w:bCs/>
          <w:color w:val="000000" w:themeColor="text1"/>
          <w:sz w:val="32"/>
          <w:szCs w:val="32"/>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（二）实施范围。</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市域内已完成规划环评或跟踪评价的产业园区及开发建设区域</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相关规划及规划环评情况由市生态环境局在其网站上予以公开，并进行动态调整。</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（三）实施对象。</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按照《建设项目环境影响评价分类管理》规定，应当编制环境影响报告表的部分项目</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ascii="Times New Roman" w:hAnsi="Times New Roman" w:eastAsia="楷体_GB2312"/>
          <w:bCs/>
          <w:color w:val="000000" w:themeColor="text1"/>
          <w:sz w:val="32"/>
          <w:szCs w:val="32"/>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（四）实施条件。</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建设单位完成工商注册</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项目位于已完成规划环评或跟踪评价的产业园区及开发建设区域内；项目环评文件审批权限属于市级生态环境主管部门</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不包括关系国家安全、涉及重大公共利益的建设项目。</w:t>
      </w:r>
    </w:p>
    <w:p>
      <w:pPr>
        <w:keepNext w:val="0"/>
        <w:keepLines w:val="0"/>
        <w:pageBreakBefore w:val="0"/>
        <w:kinsoku/>
        <w:wordWrap/>
        <w:overflowPunct/>
        <w:topLinePunct w:val="0"/>
        <w:autoSpaceDE/>
        <w:autoSpaceDN/>
        <w:bidi w:val="0"/>
        <w:adjustRightInd/>
        <w:snapToGrid/>
        <w:spacing w:line="440" w:lineRule="exact"/>
        <w:ind w:left="0" w:leftChars="0" w:firstLine="562" w:firstLineChars="200"/>
        <w:textAlignment w:val="auto"/>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pPr>
      <w:r>
        <w:rPr>
          <w:rFonts w:hint="default" w:ascii="Times New Roman" w:hAnsi="Times New Roman" w:eastAsia="楷体" w:cs="Times New Roman"/>
          <w:b/>
          <w:color w:val="000000" w:themeColor="text1"/>
          <w:kern w:val="2"/>
          <w:sz w:val="28"/>
          <w:szCs w:val="28"/>
          <w:lang w:val="en-US" w:eastAsia="zh-CN" w:bidi="ar-SA"/>
          <w14:textFill>
            <w14:solidFill>
              <w14:schemeClr w14:val="tx1"/>
            </w14:solidFill>
          </w14:textFill>
        </w:rPr>
        <w:t>（五）办理程序。</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1.建设单位可以委托环评编制单位对其建设项目开展环境影响评价，编制建设项目环境影响报告表；建设单位具备环境影响评价技术能力，可以自行对其建设项目开展环境影响评价，编制建设项目环境影响报告表。并在项目开工建设前，报具有审批权限的生态环境部门审批，同时报送《建设项目环境影响评价文件报批承诺书》。</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2.</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自行</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编制建设项目环境影响报告表的建设单位或接受委托的环评编制单位，应严格按照国家有关法律法规、政策、技术导则、标准等要求编制环境影响报告表，提出科学客观的环评结论，环评结论应当明确项目环评与规划环评的相符性，环评结论将作为项目审批的重要依据。</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3.建设单位申报后，生态环境部门对其申报资料进行初步审查，对明显不符合有关环保法律、法规、政策要求或明显不符合规划选址及区域环评要求的建设项目，不予受理、审批。</w:t>
      </w:r>
    </w:p>
    <w:p>
      <w:pPr>
        <w:keepNext w:val="0"/>
        <w:keepLines w:val="0"/>
        <w:pageBreakBefore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对符合承诺制审批要求的建设项目，生态环境部门</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立即</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对其环评文件进行公示，公示期不少于5个工作日（含受理公示和拟审批公示）。若在公示期间社会各界、组织对环境影响报告表提出重大异议时，生态环境部门应立即撤销受理公示，并立即告知建设单位，进行退件处理，将其纳入实质性审查</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若在公示期间未收到群众反对意见，生态环境部门在公示期结束后2个工作日内出具批复文件。</w:t>
      </w:r>
    </w:p>
    <w:p>
      <w:pPr>
        <w:pStyle w:val="2"/>
        <w:keepNext w:val="0"/>
        <w:keepLines w:val="0"/>
        <w:pageBreakBefore w:val="0"/>
        <w:kinsoku/>
        <w:wordWrap/>
        <w:overflowPunct/>
        <w:topLinePunct w:val="0"/>
        <w:autoSpaceDE/>
        <w:autoSpaceDN/>
        <w:bidi w:val="0"/>
        <w:adjustRightInd/>
        <w:snapToGrid/>
        <w:spacing w:line="440" w:lineRule="exact"/>
        <w:ind w:left="0" w:leftChars="0" w:firstLine="420" w:firstLineChars="200"/>
        <w:textAlignment w:val="auto"/>
        <w:rPr>
          <w:rFonts w:hint="eastAsia"/>
          <w:color w:val="000000" w:themeColor="text1"/>
          <w:lang w:val="en-US" w:eastAsia="zh-CN"/>
          <w14:textFill>
            <w14:solidFill>
              <w14:schemeClr w14:val="tx1"/>
            </w14:solidFill>
          </w14:textFill>
        </w:rPr>
      </w:pPr>
    </w:p>
    <w:p>
      <w:pPr>
        <w:pStyle w:val="2"/>
        <w:keepNext w:val="0"/>
        <w:keepLines w:val="0"/>
        <w:pageBreakBefore w:val="0"/>
        <w:kinsoku/>
        <w:wordWrap/>
        <w:overflowPunct/>
        <w:topLinePunct w:val="0"/>
        <w:autoSpaceDE/>
        <w:autoSpaceDN/>
        <w:bidi w:val="0"/>
        <w:adjustRightInd/>
        <w:snapToGrid/>
        <w:spacing w:line="440" w:lineRule="exact"/>
        <w:ind w:left="0" w:leftChars="0" w:firstLine="420" w:firstLineChars="200"/>
        <w:textAlignment w:val="auto"/>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rPr>
          <w:rFonts w:hint="eastAsia"/>
          <w:color w:val="000000" w:themeColor="text1"/>
          <w:lang w:val="en-US" w:eastAsia="zh-CN"/>
          <w14:textFill>
            <w14:solidFill>
              <w14:schemeClr w14:val="tx1"/>
            </w14:solidFill>
          </w14:textFill>
        </w:rPr>
      </w:pPr>
    </w:p>
    <w:p>
      <w:pPr>
        <w:pStyle w:val="2"/>
        <w:rPr>
          <w:rFonts w:hint="eastAsia"/>
          <w:color w:val="000000" w:themeColor="text1"/>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440" w:lineRule="exact"/>
        <w:ind w:left="0" w:leftChars="0" w:firstLine="600" w:firstLineChars="200"/>
        <w:textAlignment w:val="auto"/>
        <w:outlineLvl w:val="0"/>
        <w:rPr>
          <w:rFonts w:hint="eastAsia" w:ascii="方正黑体_GBK" w:hAnsi="Times New Roman" w:eastAsia="方正黑体_GBK"/>
          <w:color w:val="000000" w:themeColor="text1"/>
          <w:sz w:val="30"/>
          <w:szCs w:val="30"/>
          <w:lang w:val="en-US" w:eastAsia="zh-CN"/>
          <w14:textFill>
            <w14:solidFill>
              <w14:schemeClr w14:val="tx1"/>
            </w14:solidFill>
          </w14:textFill>
        </w:rPr>
      </w:pPr>
      <w:r>
        <w:rPr>
          <w:rFonts w:hint="eastAsia" w:ascii="方正黑体_GBK" w:hAnsi="Times New Roman" w:eastAsia="方正黑体_GBK"/>
          <w:color w:val="000000" w:themeColor="text1"/>
          <w:sz w:val="30"/>
          <w:szCs w:val="30"/>
          <w:lang w:val="en-US" w:eastAsia="zh-CN"/>
          <w14:textFill>
            <w14:solidFill>
              <w14:schemeClr w14:val="tx1"/>
            </w14:solidFill>
          </w14:textFill>
        </w:rPr>
        <w:t>八、排污许可管理办法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《排污许可管理办法》已于2023年12月25日由生态环境部2023年第4次部务会议审议通过，现予公布，自2024年7月1日起施行。</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0" w:firstLineChars="0"/>
        <w:jc w:val="center"/>
        <w:textAlignment w:val="auto"/>
        <w:rPr>
          <w:rFonts w:hint="eastAsia" w:ascii="黑体" w:hAnsi="黑体" w:eastAsia="黑体" w:cs="黑体"/>
          <w:color w:val="000000" w:themeColor="text1"/>
          <w:kern w:val="2"/>
          <w:sz w:val="28"/>
          <w:szCs w:val="28"/>
          <w:lang w:val="en-US" w:eastAsia="zh-CN" w:bidi="ar-SA"/>
          <w14:textFill>
            <w14:solidFill>
              <w14:schemeClr w14:val="tx1"/>
            </w14:solidFill>
          </w14:textFill>
        </w:rPr>
      </w:pPr>
      <w:r>
        <w:rPr>
          <w:rFonts w:hint="eastAsia" w:ascii="黑体" w:hAnsi="黑体" w:eastAsia="黑体" w:cs="黑体"/>
          <w:color w:val="000000" w:themeColor="text1"/>
          <w:kern w:val="2"/>
          <w:sz w:val="28"/>
          <w:szCs w:val="28"/>
          <w:lang w:val="en-US" w:eastAsia="zh-CN" w:bidi="ar-SA"/>
          <w14:textFill>
            <w14:solidFill>
              <w14:schemeClr w14:val="tx1"/>
            </w14:solidFill>
          </w14:textFill>
        </w:rPr>
        <w:t>总则</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第一条</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为了规范排污许可管理，根据《中华人民共和国环境保护法》《中华人民共和国海洋环境保护法》和大气、水、固体废物、土壤、噪声等专项污染防治法律，以及《排污许可管理条例》（以下简称《条例》），制定本办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第二条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排污许可证的申请、审批、执行以及与排污许可相关的监督管理等行为，适用本办法。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第三条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依照法律规定实行排污许可管理的企业事业单位和其他生产经营者（以下简称排污单位），应当依法申请取得排污许可证，并按照排污许可证的规定排放污染物；未取得排污许可证的，不得排放污染物。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依法需要填报排污登记表的企业事业单位和其他生产经营者（以下简称排污登记单位），应当在全国排污许可证管理信息平台进行排污登记。</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第四条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根据污染物产生量、排放量、对环境的影响程度等因素，对企业事业单位和其他生产经营者实行排污许可重点管理、简化管理和排污登记管理。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实行排污许可重点管理、简化管理的排污单位具体范围，依照固定污染源排污许可分类管理名录规定执行。实行排污登记管理的排污登记单位具体范围由国务院生态环境主管部门制定并公布。</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第五条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国务院生态环境主管部门负责全国排污许可的统一监督管理。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省级生态环境主管部门和设区的市级生态环境主管部门负责本行政区域排污许可的监督管理。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第六条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生态环境主管部门对排污单位的大气污染物、水污染物、工业固体废物、工业噪声等污染物排放行为实行综合许可管理。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第七条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国务院生态环境主管部门对排污单位及其生产设施、污染防治设施和排放口实行统一编码管理。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第八条</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国务院生态环境主管部门负责建设、运行、维护、管理全国排污许可证管理信息平台。</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排污许可证的申请、受理、审查、审批决定、变更、延续、注销、撤销、信息公开等应当通过全国排污许可证管理信息平台办理。排污单位申请取得排污许可证的，也可以通过信函等方式提交书面申请。</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全国排污许可证管理信息平台中记录的排污许可证相关电子信息与排污许可证正本、副本记载的信息依法具有同等效力。</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第九条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排污许可证执行报告中报告的污染物实际排放量，可以作为开展年度生态环境统计、重点污染物排放总量考核、污染源排放清单编制等工作的依据。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排污许可证应当作为排污权的确认凭证和排污权交易的管理载体。</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0" w:firstLineChars="0"/>
        <w:jc w:val="center"/>
        <w:textAlignment w:val="auto"/>
        <w:rPr>
          <w:rFonts w:hint="default" w:ascii="黑体" w:hAnsi="黑体" w:eastAsia="黑体" w:cs="黑体"/>
          <w:color w:val="000000" w:themeColor="text1"/>
          <w:kern w:val="2"/>
          <w:sz w:val="28"/>
          <w:szCs w:val="28"/>
          <w:lang w:val="en-US" w:eastAsia="zh-CN" w:bidi="ar-SA"/>
          <w14:textFill>
            <w14:solidFill>
              <w14:schemeClr w14:val="tx1"/>
            </w14:solidFill>
          </w14:textFill>
        </w:rPr>
      </w:pPr>
      <w:r>
        <w:rPr>
          <w:rFonts w:hint="default" w:ascii="黑体" w:hAnsi="黑体" w:eastAsia="黑体" w:cs="黑体"/>
          <w:color w:val="000000" w:themeColor="text1"/>
          <w:kern w:val="2"/>
          <w:sz w:val="28"/>
          <w:szCs w:val="28"/>
          <w:lang w:val="en-US" w:eastAsia="zh-CN" w:bidi="ar-SA"/>
          <w14:textFill>
            <w14:solidFill>
              <w14:schemeClr w14:val="tx1"/>
            </w14:solidFill>
          </w14:textFill>
        </w:rPr>
        <w:t>排污许可证和排污登记表内容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第十条</w:t>
      </w: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排污许可证由正本和副本构成。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设区的市级以上地方人民政府生态环境主管部门可以依据地方性法规，增加需要在排污许可证中记载的内容。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第十一条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排污许可证正本应当记载《条例》第十三条第一、二项规定的基本信息，排污许可证副本应当记载《条例》第十三条规定的所有信息。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法律法规规定的排污单位应当遵守的大气污染物、水污染物、工业固体废物、工业噪声等控制污染物排放的要求，重污染天气等特殊时段禁止或者限制污染物排放的要求，以及土壤污染重点监管单位的控制有毒有害物质排放、土壤污染隐患排查、自行监测等要求，应当在排污许可证副本中记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第十二条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排污单位承诺执行更加严格的排放限值的，应当在排污许可证副本中记载。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第十三条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排污登记表应当记载下列信息：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（一）排污登记单位名称、统一社会信用代码、生产经营场所所在地、行业类别、法定代表人或者实际负责人等基本信息；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（二）污染物排放去向、执行的污染物排放标准及采取的污染防治措施等。</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rPr>
          <w:rFonts w:hint="default" w:ascii="宋体" w:hAnsi="宋体" w:eastAsia="仿宋_GB2312" w:cs="Times New Roman"/>
          <w:color w:val="000000" w:themeColor="text1"/>
          <w:kern w:val="2"/>
          <w:sz w:val="22"/>
          <w:szCs w:val="24"/>
          <w:lang w:val="en-US" w:eastAsia="zh-CN" w:bidi="ar-SA"/>
          <w14:textFill>
            <w14:solidFill>
              <w14:schemeClr w14:val="tx1"/>
            </w14:solidFill>
          </w14:textFill>
        </w:rPr>
      </w:pPr>
      <w:r>
        <w:rPr>
          <w:rFonts w:hint="default" w:ascii="黑体" w:hAnsi="黑体" w:eastAsia="黑体" w:cs="黑体"/>
          <w:color w:val="000000" w:themeColor="text1"/>
          <w:kern w:val="2"/>
          <w:sz w:val="28"/>
          <w:szCs w:val="28"/>
          <w:lang w:val="en-US" w:eastAsia="zh-CN" w:bidi="ar-SA"/>
          <w14:textFill>
            <w14:solidFill>
              <w14:schemeClr w14:val="tx1"/>
            </w14:solidFill>
          </w14:textFill>
        </w:rPr>
        <w:t>第三章 申请与审批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第十四条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排污单位应当在实际排污行为发生之前，向其生产经营场所所在地设区的市级以上地方人民政府生态环境主管部门（以下简称审批部门）申请取得排污许可证。</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海洋工程排污单位申请取得排污许可证的，依照有关法律、行政法规的规定执行。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第十五条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排污单位有两个以上生产经营场所排放污染物的，应当分别向生产经营场所所在地的审批部门申请取得排污许可证。</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第十六条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实行排污许可重点管理的排污单位在提交排污许可证首次申请或者重新申请材料前，应当通过全国排污许可证管理信息平台向社会公开基本信息和拟申请许可事项，并提交说明材料。公开时间不得少于五个工作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第十七条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在填报排污许可证申请表时，应当承诺排污许可证申请材料的完整性、真实性和合法性，承诺按照排污许可证的规定排放污染物，落实排污许可证规定的环境管理要求，并由法定代表人或者主要负责人签字或者盖章。</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第十八条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排污单位应当依照《条例》第七条、第八条规定提交相应材料，并可以对申请材料进行补充说明，一并提交审批部门。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排污单位申请许可排放量的，应当一并提交排放量限值计算过程。重点污染物排放总量控制指标通过排污权交易获取的，还应当提交排污权交易指标的证明材料。</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污染物排放口已经建成的排污单位，应当提交有关排放口规范化的情况说明。</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第十九条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排污单位在申请排污许可证时，应当按照自行监测技术指南，编制自行监测方案。</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自行监测方案应当包括以下内容：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（一）监测点位及示意图、监测指标、监测频次；</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（二）使用的监测分析方法；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（三）监测质量保证与质量控制要求；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（四）监测数据记录、整理、存档要求；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（五）监测数据信息公开要求。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第二十条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审批部门收到排污单位提交的申请材料后，依照《条例》第九条、第十条要求作出处理。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审批部门可以组织技术机构对排污许可证申请材料进行技术评估，并承担相应费用。技术机构应当遵循科学、客观、公正的原则，提出技术评估意见，并对技术评估意见负责，不得向排污单位收取任何费用。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技术机构开展技术评估应当遵守国家相关法律法规、标准规范，保守排污单位商业秘密。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第二十一条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采用相应污染防治可行技术的，或者新建、改建、扩建建设项目排污单位采用环境影响报告书（表）批准文件要求的污染防治技术的，审批部门可以认为排污单位采用的污染防治设施或者措施能够达到许可排放浓度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不符合前款规定情形的，排污单位可以通过提供监测数据证明其采用的污染防治设施可以达到许可排放浓度要求。监测数据应当通过使用符合国家有关环境监测、计量认证规定和技术规范的监测设备取得；对于国内首次采用的污染防治技术，应当提供工程试验数据予以证明。</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第二十二条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对具备下列条件的排污单位，颁发排污许可证：</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（一）依法取得建设项目环境影响报告书（表）批准文件，或者已经办理环境影响登记表备案手续；</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二）污染物排放符合污染物排放标准要求，重点污染物排放符合排污许可证申请与核发技术规范、环境影响报告书（表）批准文件、重点污染物排放总量控制要求；其中，排污单位生产经营场所位于未达到国家环境质量标准的重点区域、流域的，还应当符合有关地方人民政府关于改善生态环境质量的特别要求；</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（三）采用污染防治设施可以达到许可排放浓度要求或者符合污染防治可行技术；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（四）自行监测方案的监测点位、指标、频次等符合国家自行监测规范。</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第二十三条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审批部门应当在法定审批期限内作出审批决定，对符合条件的颁发排污许可证；对不符合条件的应当出具不予许可决定书，书面告知排污单位不予许可的理由，以及依法申请行政复议或者提起行政诉讼的权利。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依法需要听证、检验、检测、专家评审的，所需时间不计算在审批期限内，审批部门应当将所需时间书面告知排污单位。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第二十四条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排污单位依照《条例》第十四条第二款规定提出延续排污许可证时，应当按照规定提交延续申请表。审批部门作出延续排污许可证决定的，延续后的排污许可证有效期自原排污许可证有效期届满的次日起计算。</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未依照《条例》第十四条第二款规定提前六十日提交延续申请表，审批部门依法在原排污许可证有效期届满之后作出延续排污许可证决定的，延续后的排污许可证有效期自作出延续决定之日起计算；审批部门依法在原排污许可证有效期届满之前作出延续排污许可证决定的，延续后的排污许可证有效期自原排污许可证有效期届满的次日起计算。</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第二十五条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对符合《条例》第十五条规定的应当重新申请排污许可证情形的，排污单位应当在实际排污行为变化之前重新申请取得排污许可证。排污单位应当提交排污许可证申请表、由排污单位法定代表人或者主要负责人签字或者盖章的承诺书以及与重新申请排污许可证有关的其他材料，并说明重新申请原因。</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重新申请的排污许可证有效期自审批部门作出重新申请审批决定之日起计算。</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第二十六条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名称、住所、法定代表人或者主要负责人等排污许可证正本中记载的基本信息发生变更的，排污单位应当自变更之日起三十日内，向审批部门提交变更排污许可证申请表以及与变更排污许可证有关的其他材料。</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审批部门应当自受理之日起十个工作日内作出变更决定，按规定换发排污许可证正本，相关变更内容载入排污许可证副本中的变更、延续记录。</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排污许可证记载信息的变更，不影响排污许可证的有效期。</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第二十七条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排污单位适用的污染物排放标准、重点污染物排放总量控制要求发生变化，需要对排污许可证进行变更的，审批部门应当在标准生效之前和总量控制指标变化后依法对排污许可证相应事项进行变更。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第二十八条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除本办法第二十五条、第二十六条、第二十七条规定情形外，排污许可证记载内容发生变化的，排污单位可以主动向审批部门提出调整排污许可证内容的申请，审批部门应当及时对排污许可证记载内容进行调整。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第二十九条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有下列情形之一的，审批部门应当依法办理排污许可证的注销手续，并在全国排污许可证管理信息平台上公告：</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（一）排污许可证有效期届满未延续的；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（二）排污单位依法终止的；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（三）排污许可证依法被撤销、吊销的；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（四）应当注销的其他情形。</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第三十条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有下列情形之一的，可以依法撤销排污许可证，并在全国排污许可证管理信息平台上公告：</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（一）超越法定职权审批排污许可证的；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（二）违反法定程序审批排污许可证的；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（三）审批部门工作人员滥用职权、玩忽职守审批排污许可证的；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（四）对不具备申请资格或者不符合法定条件的排污单位审批排污许可证的；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（五）依法可以撤销排污许可证的其他情形。</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排污单位以欺骗、贿赂等不正当手段取得排污许可证的，应当依法予以撤销。</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第三十一条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上级生态环境主管部门可以对具有审批权限的下级生态环境主管部门的排污许可证审批和执行情况进行监督检查和指导，发现属于《条例》第三十二条规定违法情形的，上级生态环境主管部门应当责令改正。</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第三十二条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排污许可证发生遗失、损毁的，排污单位可以向审批部门申请补领。已经办理排污许可证电子证照的排污单位可以根据需要自行打印排污许可证。</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rPr>
          <w:rFonts w:hint="default" w:ascii="黑体" w:hAnsi="黑体" w:eastAsia="黑体" w:cs="黑体"/>
          <w:color w:val="000000" w:themeColor="text1"/>
          <w:kern w:val="2"/>
          <w:sz w:val="32"/>
          <w:szCs w:val="32"/>
          <w:lang w:val="en-US" w:eastAsia="zh-CN" w:bidi="ar-SA"/>
          <w14:textFill>
            <w14:solidFill>
              <w14:schemeClr w14:val="tx1"/>
            </w14:solidFill>
          </w14:textFill>
        </w:rPr>
      </w:pPr>
      <w:r>
        <w:rPr>
          <w:rFonts w:hint="default" w:ascii="黑体" w:hAnsi="黑体" w:eastAsia="黑体" w:cs="黑体"/>
          <w:color w:val="000000" w:themeColor="text1"/>
          <w:kern w:val="2"/>
          <w:sz w:val="28"/>
          <w:szCs w:val="28"/>
          <w:lang w:val="en-US" w:eastAsia="zh-CN" w:bidi="ar-SA"/>
          <w14:textFill>
            <w14:solidFill>
              <w14:schemeClr w14:val="tx1"/>
            </w14:solidFill>
          </w14:textFill>
        </w:rPr>
        <w:t>第四章 排污管理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第三十三条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排污单位应当依照《条例》规定，严格落实环境保护主体责任，建立健全环境管理制度，按照排污许可证规定严格控制污染物排放。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排污登记单位应当依照国家生态环境保护法律法规规章等管理规定运行和维护污染防治设施，建设规范化排放口，落实排污主体责任，控制污染物排放。</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第三十四条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排污单位应当按照排污许可证规定和有关标准规范，依法开展自行监测，保存原始监测记录。原始监测记录保存期限不得少于五年。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排污单位对自行监测数据的真实性、准确性负责，不得篡改、伪造。</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第三十五条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实行排污许可重点管理的排污单位，应当依法安装、使用、维护污染物排放自动监测设备，并与生态环境主管部门的监控设备联网。</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排污单位发现污染物排放自动监测设备传输数据异常的，应当及时报告生态环境主管部门，并进行检查、修复。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第三十六条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排污单位应当按照排污许可证规定的格式、内容和频次要求记录环境管理台账，主要包括以下内容：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（一）与污染物排放相关的主要生产设施运行情况；发生异常情况的，应当记录原因和采取的措施。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（二）污染防治设施运行情况及管理信息；发生异常情况的，应当记录原因和采取的措施。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（三）污染物实际排放浓度和排放量；发生超标排放情况的，应当记录超标原因和采取的措施。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（四）其他按照相关技术规范应当记录的信息。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环境管理台账记录保存期限不得少于五年。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第三十七条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排污单位应当按照排污许可证规定的执行报告内容、频次和时间要求，在全国排污许可证管理信息平台上填报、提交排污许可证执行报告。</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排污许可证执行报告包括年度执行报告、季度执行报告和月执行报告。</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季度执行报告和月执行报告应当包括以下内容：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（一）根据自行监测结果说明污染物实际排放浓度和排放量及达标判定分析；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（二）排污单位超标排放或者污染防治设施异常情况的说明。</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年度执行报告可以替代当季度或者当月的执行报告，并增加以下内容：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（一）排污单位基本生产信息；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（二）污染防治设施运行情况；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（三）自行监测执行情况；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（四）环境管理台账记录执行情况；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（五）信息公开情况；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（六）排污单位内部环境管理体系建设与运行情况；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（七）其他排污许可证规定的内容执行情况。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建设项目竣工环境保护设施验收报告中污染源监测数据等与污染物排放相关的主要内容，应当由排污单位记载在该项目竣工环境保护设施验收完成当年的排污许可证年度执行报告中。排污许可证执行情况应当作为环境影响后评价的重要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排污单位发生污染事故排放时，应当依照相关法律法规规章的规定及时报告。</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第三十八条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排污单位应当按照排污许可证规定，如实在全国排污许可证管理信息平台上公开污染物排放信息。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污染物排放信息应当包括污染物排放种类、排放浓度和排放量，以及污染防治设施的建设运行情况、排污许可证执行报告、自行监测数据等；水污染物排入市政排水管网的，还应当包括污水接入市政排水管网位置、排放方式等信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第三十九条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登记单位应当在实际排污行为发生之前，通过全国排污许可证管理信息平台填报排污登记表，提交后即时生成登记编号和回执，由排污登记单位自行留存。排污登记单位应当对填报信息的真实性、准确性、完整性负责。</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排污登记表自获得登记编号之日起生效，有效期限依照相关法律法规规定执行。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排污登记信息发生变动的，排污登记单位应当自发生变动之日起二十日内进行变更登记。</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排污登记单位因关闭等原因不再排污的，应当及时在全国排污许可证管理信息平台注销排污登记表。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排污登记单位因生产和排污情况发生变化等原因，依法需要申领排污许可证的，应当依照相关法律法规和本办法的规定及时申请取得排污许可证并注销排污登记表。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rPr>
          <w:rFonts w:hint="default" w:ascii="宋体" w:hAnsi="宋体" w:eastAsia="仿宋_GB2312" w:cs="Times New Roman"/>
          <w:color w:val="000000" w:themeColor="text1"/>
          <w:kern w:val="2"/>
          <w:sz w:val="22"/>
          <w:szCs w:val="24"/>
          <w:lang w:val="en-US" w:eastAsia="zh-CN" w:bidi="ar-SA"/>
          <w14:textFill>
            <w14:solidFill>
              <w14:schemeClr w14:val="tx1"/>
            </w14:solidFill>
          </w14:textFill>
        </w:rPr>
      </w:pPr>
      <w:r>
        <w:rPr>
          <w:rFonts w:hint="default" w:ascii="黑体" w:hAnsi="黑体" w:eastAsia="黑体" w:cs="黑体"/>
          <w:color w:val="000000" w:themeColor="text1"/>
          <w:kern w:val="2"/>
          <w:sz w:val="28"/>
          <w:szCs w:val="28"/>
          <w:lang w:val="en-US" w:eastAsia="zh-CN" w:bidi="ar-SA"/>
          <w14:textFill>
            <w14:solidFill>
              <w14:schemeClr w14:val="tx1"/>
            </w14:solidFill>
          </w14:textFill>
        </w:rPr>
        <w:t>第五章 监督检查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第四十条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生态环境主管部门应当将排污许可证和排污登记信息纳入执法监管数据库，将排污许可执法检查纳入生态环境执法年度计划，加强对排污许可证记载事项的清单式执法检查。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对未取得排污许可证排放污染物、不按照排污许可证要求排放污染物、未按规定填报排污登记表等违反排污许可管理的行为，依照相关法律法规和《条例》有关规定进行处理。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第四十一条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生态环境主管部门应当定期组织开展排污许可证执行报告落实情况的检查，重点检查排污单位提交执行报告的及时性、报告内容的完整性、排污行为的合规性、污染物排放量数据的准确性以及各项管理要求的落实情况等内容。</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排污许可证执行报告检查依托全国排污许可证管理信息平台开展。生态环境主管部门可以要求排污单位补充提供环境管理台账记录、自行监测数据等相关材料，必要时可以组织开展现场核查。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第四十二条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生态环境主管部门应当加强排污许可证质量管理，建立质量审核机制，定期开展排污许可证质量核查。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第四十三条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排污单位应当树立持证排污、按证排污意识，及时公开排污信息，自觉接受公众监督。</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eastAsia" w:ascii="宋体" w:hAnsi="宋体" w:eastAsia="仿宋_GB2312" w:cs="Times New Roman"/>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鼓励社会公众依法参与监督排污单位和排污登记单位排污行为。任何单位和个人对违反本办法规定的行为，均有权向生态环境主管部门举报。接到举报的生态环境主管部门应当依法处理，按照有关规定向举报人反馈处理结果，并为举报人保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0" w:firstLineChars="0"/>
        <w:jc w:val="center"/>
        <w:textAlignment w:val="auto"/>
        <w:rPr>
          <w:rFonts w:hint="default" w:ascii="黑体" w:hAnsi="黑体" w:eastAsia="黑体" w:cs="黑体"/>
          <w:color w:val="000000" w:themeColor="text1"/>
          <w:kern w:val="2"/>
          <w:sz w:val="28"/>
          <w:szCs w:val="28"/>
          <w:lang w:val="en-US" w:eastAsia="zh-CN" w:bidi="ar-SA"/>
          <w14:textFill>
            <w14:solidFill>
              <w14:schemeClr w14:val="tx1"/>
            </w14:solidFill>
          </w14:textFill>
        </w:rPr>
      </w:pPr>
      <w:r>
        <w:rPr>
          <w:rFonts w:hint="default" w:ascii="黑体" w:hAnsi="黑体" w:eastAsia="黑体" w:cs="黑体"/>
          <w:color w:val="000000" w:themeColor="text1"/>
          <w:kern w:val="2"/>
          <w:sz w:val="28"/>
          <w:szCs w:val="28"/>
          <w:lang w:val="en-US" w:eastAsia="zh-CN" w:bidi="ar-SA"/>
          <w14:textFill>
            <w14:solidFill>
              <w14:schemeClr w14:val="tx1"/>
            </w14:solidFill>
          </w14:textFill>
        </w:rPr>
        <w:t>第六章  附则</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第四十四条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排污许可证正本、副本、承诺书样本和申请、延续、变更排污许可证申请表格式，由国务院生态环境主管部门制定。</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第四十五条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排污单位涉及国家秘密的，其排污许可、排污登记及相关的监督管理等应当遵守国家有关保密法律法规的规定。</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1" w:firstLineChars="200"/>
        <w:textAlignment w:val="auto"/>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pPr>
      <w:r>
        <w:rPr>
          <w:rFonts w:hint="default" w:ascii="宋体" w:hAnsi="宋体" w:eastAsia="仿宋_GB2312" w:cs="Times New Roman"/>
          <w:b/>
          <w:bCs/>
          <w:color w:val="000000" w:themeColor="text1"/>
          <w:kern w:val="2"/>
          <w:sz w:val="24"/>
          <w:szCs w:val="28"/>
          <w:lang w:val="en-US" w:eastAsia="zh-CN" w:bidi="ar-SA"/>
          <w14:textFill>
            <w14:solidFill>
              <w14:schemeClr w14:val="tx1"/>
            </w14:solidFill>
          </w14:textFill>
        </w:rPr>
        <w:t>第四十六条</w:t>
      </w:r>
      <w:r>
        <w:rPr>
          <w:rFonts w:hint="eastAsia" w:ascii="宋体" w:hAnsi="宋体" w:eastAsia="仿宋_GB2312" w:cs="Times New Roman"/>
          <w:b/>
          <w:bCs/>
          <w:color w:val="000000" w:themeColor="text1"/>
          <w:kern w:val="2"/>
          <w:sz w:val="24"/>
          <w:szCs w:val="28"/>
          <w:lang w:val="en-US" w:eastAsia="zh-CN" w:bidi="ar-SA"/>
          <w14:textFill>
            <w14:solidFill>
              <w14:schemeClr w14:val="tx1"/>
            </w14:solidFill>
          </w14:textFill>
        </w:rPr>
        <w:t xml:space="preserve"> </w:t>
      </w:r>
      <w:r>
        <w:rPr>
          <w:rFonts w:hint="default" w:ascii="宋体" w:hAnsi="宋体" w:eastAsia="仿宋_GB2312" w:cs="Times New Roman"/>
          <w:color w:val="000000" w:themeColor="text1"/>
          <w:kern w:val="2"/>
          <w:sz w:val="24"/>
          <w:szCs w:val="28"/>
          <w:lang w:val="en-US" w:eastAsia="zh-CN" w:bidi="ar-SA"/>
          <w14:textFill>
            <w14:solidFill>
              <w14:schemeClr w14:val="tx1"/>
            </w14:solidFill>
          </w14:textFill>
        </w:rPr>
        <w:t>本办法自2024年7月1日起施行。原环境保护部发布的《排污许可管理办法（试行）》（环境保护部令第48号）同时废止。</w:t>
      </w:r>
    </w:p>
    <w:sectPr>
      <w:pgSz w:w="11907" w:h="8392" w:orient="landscape"/>
      <w:pgMar w:top="1247" w:right="1247" w:bottom="1247"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汉仪仿宋S"/>
    <w:panose1 w:val="00000000000000000000"/>
    <w:charset w:val="86"/>
    <w:family w:val="auto"/>
    <w:pitch w:val="default"/>
    <w:sig w:usb0="00000000" w:usb1="00000000" w:usb2="00000016" w:usb3="00000000" w:csb0="0004000F" w:csb1="00000000"/>
  </w:font>
  <w:font w:name="Cambria">
    <w:altName w:val="Noto Sans Syriac Eastern"/>
    <w:panose1 w:val="02040503050406030204"/>
    <w:charset w:val="00"/>
    <w:family w:val="roman"/>
    <w:pitch w:val="default"/>
    <w:sig w:usb0="00000000" w:usb1="00000000" w:usb2="00000000" w:usb3="00000000" w:csb0="2000019F" w:csb1="00000000"/>
  </w:font>
  <w:font w:name="方正黑体_GBK">
    <w:panose1 w:val="02000000000000000000"/>
    <w:charset w:val="86"/>
    <w:family w:val="script"/>
    <w:pitch w:val="default"/>
    <w:sig w:usb0="00000001" w:usb1="08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7"/>
      </w:rPr>
    </w:pPr>
    <w:r>
      <w:rPr>
        <w:rStyle w:val="17"/>
      </w:rPr>
      <w:fldChar w:fldCharType="begin"/>
    </w:r>
    <w:r>
      <w:rPr>
        <w:rStyle w:val="17"/>
      </w:rPr>
      <w:instrText xml:space="preserve">PAGE  </w:instrText>
    </w:r>
    <w:r>
      <w:rPr>
        <w:rStyle w:val="17"/>
      </w:rPr>
      <w:fldChar w:fldCharType="end"/>
    </w:r>
  </w:p>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7"/>
        <w:rFonts w:ascii="Times New Roman" w:hAnsi="Times New Roman"/>
        <w:sz w:val="24"/>
        <w:szCs w:val="24"/>
      </w:rPr>
    </w:pPr>
    <w:r>
      <w:rPr>
        <w:rStyle w:val="17"/>
        <w:rFonts w:ascii="Times New Roman" w:hAnsi="Times New Roman"/>
        <w:sz w:val="24"/>
        <w:szCs w:val="24"/>
      </w:rPr>
      <w:t xml:space="preserve">— </w:t>
    </w:r>
    <w:r>
      <w:rPr>
        <w:rStyle w:val="17"/>
        <w:rFonts w:ascii="Times New Roman" w:hAnsi="Times New Roman"/>
        <w:sz w:val="24"/>
        <w:szCs w:val="24"/>
      </w:rPr>
      <w:fldChar w:fldCharType="begin"/>
    </w:r>
    <w:r>
      <w:rPr>
        <w:rStyle w:val="17"/>
        <w:rFonts w:ascii="Times New Roman" w:hAnsi="Times New Roman"/>
        <w:sz w:val="24"/>
        <w:szCs w:val="24"/>
      </w:rPr>
      <w:instrText xml:space="preserve">PAGE  </w:instrText>
    </w:r>
    <w:r>
      <w:rPr>
        <w:rStyle w:val="17"/>
        <w:rFonts w:ascii="Times New Roman" w:hAnsi="Times New Roman"/>
        <w:sz w:val="24"/>
        <w:szCs w:val="24"/>
      </w:rPr>
      <w:fldChar w:fldCharType="separate"/>
    </w:r>
    <w:r>
      <w:rPr>
        <w:rStyle w:val="17"/>
        <w:rFonts w:ascii="Times New Roman" w:hAnsi="Times New Roman"/>
        <w:sz w:val="24"/>
        <w:szCs w:val="24"/>
      </w:rPr>
      <w:t>35</w:t>
    </w:r>
    <w:r>
      <w:rPr>
        <w:rStyle w:val="17"/>
        <w:rFonts w:ascii="Times New Roman" w:hAnsi="Times New Roman"/>
        <w:sz w:val="24"/>
        <w:szCs w:val="24"/>
      </w:rPr>
      <w:fldChar w:fldCharType="end"/>
    </w:r>
    <w:r>
      <w:rPr>
        <w:rStyle w:val="17"/>
        <w:rFonts w:ascii="Times New Roman" w:hAnsi="Times New Roman"/>
        <w:sz w:val="24"/>
        <w:szCs w:val="24"/>
      </w:rPr>
      <w:t xml:space="preserve"> —</w:t>
    </w:r>
  </w:p>
  <w:p>
    <w:pPr>
      <w:pStyle w:val="8"/>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C938E"/>
    <w:multiLevelType w:val="singleLevel"/>
    <w:tmpl w:val="BFFC938E"/>
    <w:lvl w:ilvl="0" w:tentative="0">
      <w:start w:val="8"/>
      <w:numFmt w:val="decimal"/>
      <w:lvlText w:val="%1."/>
      <w:lvlJc w:val="left"/>
      <w:pPr>
        <w:tabs>
          <w:tab w:val="left" w:pos="312"/>
        </w:tabs>
      </w:pPr>
    </w:lvl>
  </w:abstractNum>
  <w:abstractNum w:abstractNumId="1">
    <w:nsid w:val="7D76AC60"/>
    <w:multiLevelType w:val="singleLevel"/>
    <w:tmpl w:val="7D76AC60"/>
    <w:lvl w:ilvl="0" w:tentative="0">
      <w:start w:val="1"/>
      <w:numFmt w:val="chineseCounting"/>
      <w:suff w:val="space"/>
      <w:lvlText w:val="第%1章"/>
      <w:lvlJc w:val="left"/>
      <w:pPr>
        <w:ind w:left="630" w:leftChars="0" w:firstLine="0" w:firstLineChars="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23A"/>
    <w:rsid w:val="00003776"/>
    <w:rsid w:val="000073BD"/>
    <w:rsid w:val="000210EF"/>
    <w:rsid w:val="000279F9"/>
    <w:rsid w:val="000300FA"/>
    <w:rsid w:val="000C71A5"/>
    <w:rsid w:val="000D1504"/>
    <w:rsid w:val="000D6A6C"/>
    <w:rsid w:val="00155F0A"/>
    <w:rsid w:val="00162858"/>
    <w:rsid w:val="00174FC1"/>
    <w:rsid w:val="00184EE6"/>
    <w:rsid w:val="00186645"/>
    <w:rsid w:val="001A6EEA"/>
    <w:rsid w:val="001C3E40"/>
    <w:rsid w:val="001D4137"/>
    <w:rsid w:val="001D70F5"/>
    <w:rsid w:val="001E2FCA"/>
    <w:rsid w:val="001F006A"/>
    <w:rsid w:val="00294C51"/>
    <w:rsid w:val="002D454D"/>
    <w:rsid w:val="002E4AD7"/>
    <w:rsid w:val="00300454"/>
    <w:rsid w:val="003375E8"/>
    <w:rsid w:val="00347D33"/>
    <w:rsid w:val="00347E8F"/>
    <w:rsid w:val="00367DD8"/>
    <w:rsid w:val="00395828"/>
    <w:rsid w:val="00396456"/>
    <w:rsid w:val="003A51D4"/>
    <w:rsid w:val="0044699A"/>
    <w:rsid w:val="00461524"/>
    <w:rsid w:val="004768D0"/>
    <w:rsid w:val="00492A1C"/>
    <w:rsid w:val="004A3DFD"/>
    <w:rsid w:val="004A4A6D"/>
    <w:rsid w:val="004A4E58"/>
    <w:rsid w:val="004F328A"/>
    <w:rsid w:val="0050150E"/>
    <w:rsid w:val="005B5A58"/>
    <w:rsid w:val="005B7A04"/>
    <w:rsid w:val="005E1AC9"/>
    <w:rsid w:val="005F2364"/>
    <w:rsid w:val="00643073"/>
    <w:rsid w:val="00646A5D"/>
    <w:rsid w:val="00676C3C"/>
    <w:rsid w:val="00677161"/>
    <w:rsid w:val="00685EA2"/>
    <w:rsid w:val="00692E86"/>
    <w:rsid w:val="006F5847"/>
    <w:rsid w:val="00716B8A"/>
    <w:rsid w:val="0076437D"/>
    <w:rsid w:val="00784E35"/>
    <w:rsid w:val="00785363"/>
    <w:rsid w:val="00793FC0"/>
    <w:rsid w:val="007B36FD"/>
    <w:rsid w:val="007C4556"/>
    <w:rsid w:val="007E0F94"/>
    <w:rsid w:val="00817424"/>
    <w:rsid w:val="008237DA"/>
    <w:rsid w:val="008A3759"/>
    <w:rsid w:val="008A7D69"/>
    <w:rsid w:val="008B5511"/>
    <w:rsid w:val="0092462F"/>
    <w:rsid w:val="00966560"/>
    <w:rsid w:val="009A19D3"/>
    <w:rsid w:val="009B4C17"/>
    <w:rsid w:val="009B5304"/>
    <w:rsid w:val="00A030CA"/>
    <w:rsid w:val="00A12601"/>
    <w:rsid w:val="00A55978"/>
    <w:rsid w:val="00A6758D"/>
    <w:rsid w:val="00A97ECF"/>
    <w:rsid w:val="00AD4AAA"/>
    <w:rsid w:val="00AE423A"/>
    <w:rsid w:val="00AF0A9D"/>
    <w:rsid w:val="00B10D65"/>
    <w:rsid w:val="00BE33D7"/>
    <w:rsid w:val="00C1148B"/>
    <w:rsid w:val="00C47618"/>
    <w:rsid w:val="00CD1D9B"/>
    <w:rsid w:val="00CF1DD0"/>
    <w:rsid w:val="00CF3EFE"/>
    <w:rsid w:val="00D07621"/>
    <w:rsid w:val="00D14F83"/>
    <w:rsid w:val="00D62DEC"/>
    <w:rsid w:val="00D851BC"/>
    <w:rsid w:val="00DA5DBE"/>
    <w:rsid w:val="00DD1D70"/>
    <w:rsid w:val="00E11EB6"/>
    <w:rsid w:val="00E54D52"/>
    <w:rsid w:val="00EB0CC8"/>
    <w:rsid w:val="00ED73AC"/>
    <w:rsid w:val="00EE4B8D"/>
    <w:rsid w:val="00EF3F2A"/>
    <w:rsid w:val="00EF65B7"/>
    <w:rsid w:val="00FA1DA9"/>
    <w:rsid w:val="00FB59AE"/>
    <w:rsid w:val="012D10F1"/>
    <w:rsid w:val="013908A0"/>
    <w:rsid w:val="014547FB"/>
    <w:rsid w:val="014F0F5B"/>
    <w:rsid w:val="01502317"/>
    <w:rsid w:val="01A27361"/>
    <w:rsid w:val="01F279A2"/>
    <w:rsid w:val="01F53782"/>
    <w:rsid w:val="020362A3"/>
    <w:rsid w:val="021106C1"/>
    <w:rsid w:val="025A34E0"/>
    <w:rsid w:val="028311AF"/>
    <w:rsid w:val="02974F31"/>
    <w:rsid w:val="029E1F6B"/>
    <w:rsid w:val="02AA08E8"/>
    <w:rsid w:val="02EB6853"/>
    <w:rsid w:val="03111F43"/>
    <w:rsid w:val="032F0612"/>
    <w:rsid w:val="034D79FA"/>
    <w:rsid w:val="035F05D1"/>
    <w:rsid w:val="038345B4"/>
    <w:rsid w:val="03B7600E"/>
    <w:rsid w:val="04012352"/>
    <w:rsid w:val="041302F3"/>
    <w:rsid w:val="043401A4"/>
    <w:rsid w:val="043925D9"/>
    <w:rsid w:val="044B1B79"/>
    <w:rsid w:val="044D6882"/>
    <w:rsid w:val="046155A8"/>
    <w:rsid w:val="049823AA"/>
    <w:rsid w:val="04A0190D"/>
    <w:rsid w:val="04A822CE"/>
    <w:rsid w:val="04BB3B7B"/>
    <w:rsid w:val="04CD4BE6"/>
    <w:rsid w:val="04CE486B"/>
    <w:rsid w:val="052E5BA0"/>
    <w:rsid w:val="056A6A21"/>
    <w:rsid w:val="0591695A"/>
    <w:rsid w:val="05C66466"/>
    <w:rsid w:val="05C927DE"/>
    <w:rsid w:val="05DD118A"/>
    <w:rsid w:val="05DD4D89"/>
    <w:rsid w:val="05F54319"/>
    <w:rsid w:val="060071CB"/>
    <w:rsid w:val="061F7AE9"/>
    <w:rsid w:val="062B000A"/>
    <w:rsid w:val="065047E0"/>
    <w:rsid w:val="06663C42"/>
    <w:rsid w:val="06742A1E"/>
    <w:rsid w:val="068B01B3"/>
    <w:rsid w:val="06905F62"/>
    <w:rsid w:val="069935FA"/>
    <w:rsid w:val="06D059A9"/>
    <w:rsid w:val="06D64A1D"/>
    <w:rsid w:val="06E90AF8"/>
    <w:rsid w:val="070C084A"/>
    <w:rsid w:val="071E1C4E"/>
    <w:rsid w:val="072E1E59"/>
    <w:rsid w:val="07872360"/>
    <w:rsid w:val="08287993"/>
    <w:rsid w:val="085F38AB"/>
    <w:rsid w:val="08605B0D"/>
    <w:rsid w:val="087D1B90"/>
    <w:rsid w:val="08D44426"/>
    <w:rsid w:val="08DF109D"/>
    <w:rsid w:val="08EA5051"/>
    <w:rsid w:val="08FF4AC0"/>
    <w:rsid w:val="09000ACD"/>
    <w:rsid w:val="092F09CB"/>
    <w:rsid w:val="09341A54"/>
    <w:rsid w:val="098732DD"/>
    <w:rsid w:val="099348FB"/>
    <w:rsid w:val="09D53532"/>
    <w:rsid w:val="09FB0869"/>
    <w:rsid w:val="0A12094B"/>
    <w:rsid w:val="0A461544"/>
    <w:rsid w:val="0A7E51FC"/>
    <w:rsid w:val="0A86075E"/>
    <w:rsid w:val="0A93704B"/>
    <w:rsid w:val="0A954A7C"/>
    <w:rsid w:val="0AEF37B8"/>
    <w:rsid w:val="0B197574"/>
    <w:rsid w:val="0B635835"/>
    <w:rsid w:val="0B655070"/>
    <w:rsid w:val="0B8C434A"/>
    <w:rsid w:val="0BA23C55"/>
    <w:rsid w:val="0BAC4FEE"/>
    <w:rsid w:val="0BC9662F"/>
    <w:rsid w:val="0BF77D69"/>
    <w:rsid w:val="0BFD0B73"/>
    <w:rsid w:val="0C016661"/>
    <w:rsid w:val="0C6F57DB"/>
    <w:rsid w:val="0CA77DE8"/>
    <w:rsid w:val="0CAF4231"/>
    <w:rsid w:val="0CE548FB"/>
    <w:rsid w:val="0CF89725"/>
    <w:rsid w:val="0D664392"/>
    <w:rsid w:val="0D8D0E16"/>
    <w:rsid w:val="0D8F30C3"/>
    <w:rsid w:val="0DB27783"/>
    <w:rsid w:val="0DE87A58"/>
    <w:rsid w:val="0DFF836B"/>
    <w:rsid w:val="0E020A57"/>
    <w:rsid w:val="0E0D72AB"/>
    <w:rsid w:val="0E237588"/>
    <w:rsid w:val="0E31009C"/>
    <w:rsid w:val="0E393E8F"/>
    <w:rsid w:val="0E9D046B"/>
    <w:rsid w:val="0EC275D4"/>
    <w:rsid w:val="0EC35ABF"/>
    <w:rsid w:val="0EE01CAC"/>
    <w:rsid w:val="0EED288C"/>
    <w:rsid w:val="0F806672"/>
    <w:rsid w:val="0FA27AF9"/>
    <w:rsid w:val="0FB54560"/>
    <w:rsid w:val="0FBC146B"/>
    <w:rsid w:val="0FBF7E4F"/>
    <w:rsid w:val="0FF9EEEE"/>
    <w:rsid w:val="103B11D7"/>
    <w:rsid w:val="105A7687"/>
    <w:rsid w:val="1099707C"/>
    <w:rsid w:val="10B5101C"/>
    <w:rsid w:val="10C769C3"/>
    <w:rsid w:val="10FC49E3"/>
    <w:rsid w:val="110049F9"/>
    <w:rsid w:val="111350A6"/>
    <w:rsid w:val="11224062"/>
    <w:rsid w:val="112674D1"/>
    <w:rsid w:val="114A0384"/>
    <w:rsid w:val="115E6CA8"/>
    <w:rsid w:val="11980798"/>
    <w:rsid w:val="11E33498"/>
    <w:rsid w:val="11F040DD"/>
    <w:rsid w:val="11FB745D"/>
    <w:rsid w:val="11FC337B"/>
    <w:rsid w:val="12161AEB"/>
    <w:rsid w:val="12255762"/>
    <w:rsid w:val="1236187B"/>
    <w:rsid w:val="1266525D"/>
    <w:rsid w:val="12AB057E"/>
    <w:rsid w:val="12C05E74"/>
    <w:rsid w:val="12D768CE"/>
    <w:rsid w:val="130B7A29"/>
    <w:rsid w:val="13217CFC"/>
    <w:rsid w:val="13311981"/>
    <w:rsid w:val="13601245"/>
    <w:rsid w:val="13D529D4"/>
    <w:rsid w:val="13DC3547"/>
    <w:rsid w:val="140048EF"/>
    <w:rsid w:val="140D2BEC"/>
    <w:rsid w:val="141C267B"/>
    <w:rsid w:val="141C7A97"/>
    <w:rsid w:val="142832D7"/>
    <w:rsid w:val="1452586D"/>
    <w:rsid w:val="147B4653"/>
    <w:rsid w:val="147D6293"/>
    <w:rsid w:val="148362AD"/>
    <w:rsid w:val="148A5123"/>
    <w:rsid w:val="14F06CC9"/>
    <w:rsid w:val="14F223AB"/>
    <w:rsid w:val="15046DBD"/>
    <w:rsid w:val="155665CF"/>
    <w:rsid w:val="156835F6"/>
    <w:rsid w:val="158D31A4"/>
    <w:rsid w:val="15CE5771"/>
    <w:rsid w:val="16080AD5"/>
    <w:rsid w:val="16BB00C4"/>
    <w:rsid w:val="16C2213E"/>
    <w:rsid w:val="16D33B77"/>
    <w:rsid w:val="16F0221B"/>
    <w:rsid w:val="16FB41A9"/>
    <w:rsid w:val="175B6F79"/>
    <w:rsid w:val="1799417E"/>
    <w:rsid w:val="17A17BF5"/>
    <w:rsid w:val="17B21B33"/>
    <w:rsid w:val="17BFB2DE"/>
    <w:rsid w:val="17CE5746"/>
    <w:rsid w:val="17EB0BBA"/>
    <w:rsid w:val="17EEFA76"/>
    <w:rsid w:val="17F94D4D"/>
    <w:rsid w:val="17FB5C5A"/>
    <w:rsid w:val="17FD39A1"/>
    <w:rsid w:val="180329C2"/>
    <w:rsid w:val="18124248"/>
    <w:rsid w:val="18273129"/>
    <w:rsid w:val="183E2432"/>
    <w:rsid w:val="183E7E5C"/>
    <w:rsid w:val="18530852"/>
    <w:rsid w:val="18C01BA6"/>
    <w:rsid w:val="18D90155"/>
    <w:rsid w:val="18DA3BDB"/>
    <w:rsid w:val="18FF4921"/>
    <w:rsid w:val="191207EF"/>
    <w:rsid w:val="19331260"/>
    <w:rsid w:val="19403208"/>
    <w:rsid w:val="19725B89"/>
    <w:rsid w:val="199D1A43"/>
    <w:rsid w:val="19ABE69E"/>
    <w:rsid w:val="19C6688C"/>
    <w:rsid w:val="19EE4DF1"/>
    <w:rsid w:val="19FC6A9A"/>
    <w:rsid w:val="1A0A1DFB"/>
    <w:rsid w:val="1A5621AD"/>
    <w:rsid w:val="1A6425CB"/>
    <w:rsid w:val="1ACD4999"/>
    <w:rsid w:val="1ADE6128"/>
    <w:rsid w:val="1AF3B16E"/>
    <w:rsid w:val="1B22150B"/>
    <w:rsid w:val="1B2B3FA5"/>
    <w:rsid w:val="1B3113EF"/>
    <w:rsid w:val="1B3C41E8"/>
    <w:rsid w:val="1B4270D2"/>
    <w:rsid w:val="1B517759"/>
    <w:rsid w:val="1B834F2B"/>
    <w:rsid w:val="1B907BB5"/>
    <w:rsid w:val="1B915944"/>
    <w:rsid w:val="1BA7A113"/>
    <w:rsid w:val="1BAC4039"/>
    <w:rsid w:val="1BB25322"/>
    <w:rsid w:val="1BC205DC"/>
    <w:rsid w:val="1BDE0160"/>
    <w:rsid w:val="1BE96322"/>
    <w:rsid w:val="1C067D8B"/>
    <w:rsid w:val="1C4B1016"/>
    <w:rsid w:val="1C6E01AF"/>
    <w:rsid w:val="1C7A6B8D"/>
    <w:rsid w:val="1C7C36F8"/>
    <w:rsid w:val="1CBF2A4A"/>
    <w:rsid w:val="1D147395"/>
    <w:rsid w:val="1D4C763B"/>
    <w:rsid w:val="1DB27E70"/>
    <w:rsid w:val="1DBB39EF"/>
    <w:rsid w:val="1DC34FFD"/>
    <w:rsid w:val="1DDF0E11"/>
    <w:rsid w:val="1DF321F9"/>
    <w:rsid w:val="1E383C9A"/>
    <w:rsid w:val="1E660961"/>
    <w:rsid w:val="1E88575D"/>
    <w:rsid w:val="1EA329F9"/>
    <w:rsid w:val="1EA91674"/>
    <w:rsid w:val="1EFC6618"/>
    <w:rsid w:val="1F2D8C55"/>
    <w:rsid w:val="1FA6672E"/>
    <w:rsid w:val="1FD79B17"/>
    <w:rsid w:val="1FFA90DF"/>
    <w:rsid w:val="20320BCD"/>
    <w:rsid w:val="203849CB"/>
    <w:rsid w:val="20666EF9"/>
    <w:rsid w:val="20762551"/>
    <w:rsid w:val="20C869D7"/>
    <w:rsid w:val="20D1543F"/>
    <w:rsid w:val="20E07384"/>
    <w:rsid w:val="21134268"/>
    <w:rsid w:val="21152A6A"/>
    <w:rsid w:val="21216EF3"/>
    <w:rsid w:val="212A548A"/>
    <w:rsid w:val="212F0E2A"/>
    <w:rsid w:val="21341992"/>
    <w:rsid w:val="217A0B58"/>
    <w:rsid w:val="217D4359"/>
    <w:rsid w:val="218C2FAD"/>
    <w:rsid w:val="21921AE8"/>
    <w:rsid w:val="21C42462"/>
    <w:rsid w:val="220418C2"/>
    <w:rsid w:val="22050BBA"/>
    <w:rsid w:val="22322332"/>
    <w:rsid w:val="2266772F"/>
    <w:rsid w:val="22CE6282"/>
    <w:rsid w:val="231C38D6"/>
    <w:rsid w:val="232C330C"/>
    <w:rsid w:val="23552B51"/>
    <w:rsid w:val="238C332B"/>
    <w:rsid w:val="2394647D"/>
    <w:rsid w:val="23AE6175"/>
    <w:rsid w:val="23D539BF"/>
    <w:rsid w:val="23D55424"/>
    <w:rsid w:val="240C096F"/>
    <w:rsid w:val="242A3504"/>
    <w:rsid w:val="2484319B"/>
    <w:rsid w:val="24A17B46"/>
    <w:rsid w:val="24DF7796"/>
    <w:rsid w:val="25087FF3"/>
    <w:rsid w:val="251513BF"/>
    <w:rsid w:val="256169E9"/>
    <w:rsid w:val="25857604"/>
    <w:rsid w:val="259B520C"/>
    <w:rsid w:val="25A10605"/>
    <w:rsid w:val="25FDF986"/>
    <w:rsid w:val="26062DED"/>
    <w:rsid w:val="26320D04"/>
    <w:rsid w:val="26A40D7F"/>
    <w:rsid w:val="26E02B15"/>
    <w:rsid w:val="26EF011F"/>
    <w:rsid w:val="26EF03F4"/>
    <w:rsid w:val="27554BE0"/>
    <w:rsid w:val="276F3965"/>
    <w:rsid w:val="27C068F5"/>
    <w:rsid w:val="27DE540D"/>
    <w:rsid w:val="27F71532"/>
    <w:rsid w:val="27F92851"/>
    <w:rsid w:val="27FF9AE3"/>
    <w:rsid w:val="281419C7"/>
    <w:rsid w:val="28460BC1"/>
    <w:rsid w:val="2847361F"/>
    <w:rsid w:val="28CE1B8D"/>
    <w:rsid w:val="28DC7C01"/>
    <w:rsid w:val="28E25008"/>
    <w:rsid w:val="28F04D52"/>
    <w:rsid w:val="290A0A61"/>
    <w:rsid w:val="291A01DC"/>
    <w:rsid w:val="293E55E9"/>
    <w:rsid w:val="296B442C"/>
    <w:rsid w:val="298F3BC2"/>
    <w:rsid w:val="29945D7A"/>
    <w:rsid w:val="29AA044A"/>
    <w:rsid w:val="29AF600C"/>
    <w:rsid w:val="29F44793"/>
    <w:rsid w:val="2A3438CC"/>
    <w:rsid w:val="2A357309"/>
    <w:rsid w:val="2A4C10C4"/>
    <w:rsid w:val="2A5163A9"/>
    <w:rsid w:val="2ACA16FA"/>
    <w:rsid w:val="2AE50C82"/>
    <w:rsid w:val="2B062B1C"/>
    <w:rsid w:val="2B52358D"/>
    <w:rsid w:val="2B6A548D"/>
    <w:rsid w:val="2B910070"/>
    <w:rsid w:val="2BEB67D4"/>
    <w:rsid w:val="2C0A5391"/>
    <w:rsid w:val="2C226A7A"/>
    <w:rsid w:val="2C280915"/>
    <w:rsid w:val="2C296F86"/>
    <w:rsid w:val="2C3B0065"/>
    <w:rsid w:val="2C5B0892"/>
    <w:rsid w:val="2C674C7E"/>
    <w:rsid w:val="2CB30C46"/>
    <w:rsid w:val="2CDC5F8E"/>
    <w:rsid w:val="2CE70867"/>
    <w:rsid w:val="2CEE1D12"/>
    <w:rsid w:val="2CF34B9B"/>
    <w:rsid w:val="2D416A22"/>
    <w:rsid w:val="2D6F1323"/>
    <w:rsid w:val="2DAE61BC"/>
    <w:rsid w:val="2E5B5A2B"/>
    <w:rsid w:val="2E63539E"/>
    <w:rsid w:val="2E7D0337"/>
    <w:rsid w:val="2E9E2509"/>
    <w:rsid w:val="2EDE19D7"/>
    <w:rsid w:val="2EE43F2B"/>
    <w:rsid w:val="2EE945E7"/>
    <w:rsid w:val="2F291F79"/>
    <w:rsid w:val="2F2E1F06"/>
    <w:rsid w:val="2F414D7A"/>
    <w:rsid w:val="2F457FE5"/>
    <w:rsid w:val="2F533AAC"/>
    <w:rsid w:val="2F717ADD"/>
    <w:rsid w:val="2FA840BD"/>
    <w:rsid w:val="2FC019D8"/>
    <w:rsid w:val="2FF55019"/>
    <w:rsid w:val="2FFC7AD5"/>
    <w:rsid w:val="2FFF3A14"/>
    <w:rsid w:val="300970F3"/>
    <w:rsid w:val="30661104"/>
    <w:rsid w:val="30B632C6"/>
    <w:rsid w:val="31153E4A"/>
    <w:rsid w:val="3137337F"/>
    <w:rsid w:val="313B2E6F"/>
    <w:rsid w:val="315F60FC"/>
    <w:rsid w:val="316F35B1"/>
    <w:rsid w:val="317805A1"/>
    <w:rsid w:val="320025B3"/>
    <w:rsid w:val="320D5930"/>
    <w:rsid w:val="324745D4"/>
    <w:rsid w:val="32601A37"/>
    <w:rsid w:val="32824C1A"/>
    <w:rsid w:val="329B62DC"/>
    <w:rsid w:val="32B85C9C"/>
    <w:rsid w:val="32E38547"/>
    <w:rsid w:val="33046A42"/>
    <w:rsid w:val="33151C89"/>
    <w:rsid w:val="331E7CC5"/>
    <w:rsid w:val="332D7089"/>
    <w:rsid w:val="334F0D6B"/>
    <w:rsid w:val="335673D0"/>
    <w:rsid w:val="335F2FD2"/>
    <w:rsid w:val="337B8218"/>
    <w:rsid w:val="33F3C0AB"/>
    <w:rsid w:val="341B4014"/>
    <w:rsid w:val="341C0987"/>
    <w:rsid w:val="3421579C"/>
    <w:rsid w:val="34361E69"/>
    <w:rsid w:val="344D18F5"/>
    <w:rsid w:val="34565128"/>
    <w:rsid w:val="34584CB7"/>
    <w:rsid w:val="346D1387"/>
    <w:rsid w:val="34A12B1B"/>
    <w:rsid w:val="34A46BEB"/>
    <w:rsid w:val="34BE24B3"/>
    <w:rsid w:val="34C173A1"/>
    <w:rsid w:val="34C77F29"/>
    <w:rsid w:val="34DE00E3"/>
    <w:rsid w:val="34E96869"/>
    <w:rsid w:val="34F7C634"/>
    <w:rsid w:val="34FB7AC0"/>
    <w:rsid w:val="3507246B"/>
    <w:rsid w:val="351B1534"/>
    <w:rsid w:val="352C2CA5"/>
    <w:rsid w:val="357B75E0"/>
    <w:rsid w:val="357E29CE"/>
    <w:rsid w:val="357F40CB"/>
    <w:rsid w:val="359F5AFB"/>
    <w:rsid w:val="35BF16B7"/>
    <w:rsid w:val="35E001C7"/>
    <w:rsid w:val="361B1697"/>
    <w:rsid w:val="362624D9"/>
    <w:rsid w:val="363769B3"/>
    <w:rsid w:val="365E5422"/>
    <w:rsid w:val="36685374"/>
    <w:rsid w:val="36750352"/>
    <w:rsid w:val="36C33143"/>
    <w:rsid w:val="36EB5A34"/>
    <w:rsid w:val="36EE1811"/>
    <w:rsid w:val="36FD6994"/>
    <w:rsid w:val="372F67AF"/>
    <w:rsid w:val="377D4C75"/>
    <w:rsid w:val="378E53A9"/>
    <w:rsid w:val="37AD203E"/>
    <w:rsid w:val="37B818D8"/>
    <w:rsid w:val="37CD5894"/>
    <w:rsid w:val="37D77F62"/>
    <w:rsid w:val="384A2F01"/>
    <w:rsid w:val="386C6194"/>
    <w:rsid w:val="38703D53"/>
    <w:rsid w:val="38D96DB8"/>
    <w:rsid w:val="38DF222D"/>
    <w:rsid w:val="38E177CB"/>
    <w:rsid w:val="38F82B6B"/>
    <w:rsid w:val="38FECB04"/>
    <w:rsid w:val="390304E1"/>
    <w:rsid w:val="39102DE5"/>
    <w:rsid w:val="39791E8A"/>
    <w:rsid w:val="399500CC"/>
    <w:rsid w:val="39B04CE3"/>
    <w:rsid w:val="39B93EA9"/>
    <w:rsid w:val="39BFBB3A"/>
    <w:rsid w:val="39F7703C"/>
    <w:rsid w:val="39F79139"/>
    <w:rsid w:val="3A1C52CF"/>
    <w:rsid w:val="3A6F3836"/>
    <w:rsid w:val="3A7635A8"/>
    <w:rsid w:val="3A7D0540"/>
    <w:rsid w:val="3AA631A3"/>
    <w:rsid w:val="3AE6F8CF"/>
    <w:rsid w:val="3AEF31DA"/>
    <w:rsid w:val="3AFB7522"/>
    <w:rsid w:val="3BA035BA"/>
    <w:rsid w:val="3BEF1236"/>
    <w:rsid w:val="3BF927EF"/>
    <w:rsid w:val="3C3E3CCB"/>
    <w:rsid w:val="3C3F37A5"/>
    <w:rsid w:val="3CBB5161"/>
    <w:rsid w:val="3CC308D6"/>
    <w:rsid w:val="3CE7380A"/>
    <w:rsid w:val="3CEF54E2"/>
    <w:rsid w:val="3D016D36"/>
    <w:rsid w:val="3D325A79"/>
    <w:rsid w:val="3D365D95"/>
    <w:rsid w:val="3D377B0C"/>
    <w:rsid w:val="3D4E2BBF"/>
    <w:rsid w:val="3D6225B8"/>
    <w:rsid w:val="3D89027B"/>
    <w:rsid w:val="3DBA2F15"/>
    <w:rsid w:val="3DC66754"/>
    <w:rsid w:val="3DDD1DFE"/>
    <w:rsid w:val="3DE9782D"/>
    <w:rsid w:val="3DFA7011"/>
    <w:rsid w:val="3DFB2144"/>
    <w:rsid w:val="3E036B91"/>
    <w:rsid w:val="3E0A16F3"/>
    <w:rsid w:val="3E1802D4"/>
    <w:rsid w:val="3E1B1ACA"/>
    <w:rsid w:val="3E1E4AF8"/>
    <w:rsid w:val="3E55751C"/>
    <w:rsid w:val="3E624ABE"/>
    <w:rsid w:val="3E6F5C47"/>
    <w:rsid w:val="3E740256"/>
    <w:rsid w:val="3E7666AC"/>
    <w:rsid w:val="3EBF0322"/>
    <w:rsid w:val="3EC20A8C"/>
    <w:rsid w:val="3ED50DCC"/>
    <w:rsid w:val="3EDF9F55"/>
    <w:rsid w:val="3EE545D5"/>
    <w:rsid w:val="3EFFF05C"/>
    <w:rsid w:val="3F3B2D86"/>
    <w:rsid w:val="3F514185"/>
    <w:rsid w:val="3F8645FA"/>
    <w:rsid w:val="3FA04FD7"/>
    <w:rsid w:val="3FBF9130"/>
    <w:rsid w:val="3FD502D6"/>
    <w:rsid w:val="3FD6497C"/>
    <w:rsid w:val="3FE2E2DB"/>
    <w:rsid w:val="3FEE644C"/>
    <w:rsid w:val="3FF30B8A"/>
    <w:rsid w:val="3FF784D0"/>
    <w:rsid w:val="406854E0"/>
    <w:rsid w:val="407D437F"/>
    <w:rsid w:val="409F3AFD"/>
    <w:rsid w:val="40BC4680"/>
    <w:rsid w:val="40DF6E6F"/>
    <w:rsid w:val="412C3EC6"/>
    <w:rsid w:val="414F26FA"/>
    <w:rsid w:val="41564BF3"/>
    <w:rsid w:val="41895D5E"/>
    <w:rsid w:val="41E66CB5"/>
    <w:rsid w:val="42010DB2"/>
    <w:rsid w:val="42062AE1"/>
    <w:rsid w:val="42320002"/>
    <w:rsid w:val="424B6D9A"/>
    <w:rsid w:val="42832D21"/>
    <w:rsid w:val="429A24ED"/>
    <w:rsid w:val="42B4044C"/>
    <w:rsid w:val="42B654A2"/>
    <w:rsid w:val="42D65FA9"/>
    <w:rsid w:val="42F67E83"/>
    <w:rsid w:val="43127C0D"/>
    <w:rsid w:val="434A6ECC"/>
    <w:rsid w:val="43727993"/>
    <w:rsid w:val="437B2022"/>
    <w:rsid w:val="43D014BD"/>
    <w:rsid w:val="43E470BA"/>
    <w:rsid w:val="43EF3866"/>
    <w:rsid w:val="44065FA5"/>
    <w:rsid w:val="44323062"/>
    <w:rsid w:val="44420E2D"/>
    <w:rsid w:val="44C723B6"/>
    <w:rsid w:val="44EBEF4C"/>
    <w:rsid w:val="45144208"/>
    <w:rsid w:val="453E3C01"/>
    <w:rsid w:val="455E609B"/>
    <w:rsid w:val="457B1397"/>
    <w:rsid w:val="458B48FE"/>
    <w:rsid w:val="45945B0C"/>
    <w:rsid w:val="45C058EB"/>
    <w:rsid w:val="45EF275B"/>
    <w:rsid w:val="45F3013F"/>
    <w:rsid w:val="45FD513E"/>
    <w:rsid w:val="4651224A"/>
    <w:rsid w:val="46A46D86"/>
    <w:rsid w:val="46B71DF4"/>
    <w:rsid w:val="46DA4D50"/>
    <w:rsid w:val="46DB33F6"/>
    <w:rsid w:val="470167B7"/>
    <w:rsid w:val="473C216F"/>
    <w:rsid w:val="474045CF"/>
    <w:rsid w:val="477349A5"/>
    <w:rsid w:val="477E987F"/>
    <w:rsid w:val="47B15FBE"/>
    <w:rsid w:val="47C91B73"/>
    <w:rsid w:val="47E1121E"/>
    <w:rsid w:val="47E24441"/>
    <w:rsid w:val="47FE5E05"/>
    <w:rsid w:val="482D3456"/>
    <w:rsid w:val="485673BD"/>
    <w:rsid w:val="48756C20"/>
    <w:rsid w:val="488D01E0"/>
    <w:rsid w:val="48AC6307"/>
    <w:rsid w:val="48D23747"/>
    <w:rsid w:val="48E638BA"/>
    <w:rsid w:val="48FA219B"/>
    <w:rsid w:val="49073081"/>
    <w:rsid w:val="49293F59"/>
    <w:rsid w:val="49674008"/>
    <w:rsid w:val="49921275"/>
    <w:rsid w:val="4996051B"/>
    <w:rsid w:val="4A351A1B"/>
    <w:rsid w:val="4AAD3A52"/>
    <w:rsid w:val="4AB73A2B"/>
    <w:rsid w:val="4AB777B4"/>
    <w:rsid w:val="4ABDE9D6"/>
    <w:rsid w:val="4AD5310E"/>
    <w:rsid w:val="4AF33BA9"/>
    <w:rsid w:val="4B3F04E6"/>
    <w:rsid w:val="4B4D005E"/>
    <w:rsid w:val="4B5305DE"/>
    <w:rsid w:val="4B55228D"/>
    <w:rsid w:val="4BA30AB3"/>
    <w:rsid w:val="4BC11E14"/>
    <w:rsid w:val="4BD17B1F"/>
    <w:rsid w:val="4BE5653C"/>
    <w:rsid w:val="4BEF73C0"/>
    <w:rsid w:val="4C033B57"/>
    <w:rsid w:val="4C1C373B"/>
    <w:rsid w:val="4C734D26"/>
    <w:rsid w:val="4C817CD7"/>
    <w:rsid w:val="4CAB0B39"/>
    <w:rsid w:val="4CC62BC4"/>
    <w:rsid w:val="4CC8679F"/>
    <w:rsid w:val="4CC93D2D"/>
    <w:rsid w:val="4CCF33C0"/>
    <w:rsid w:val="4CD17D46"/>
    <w:rsid w:val="4CD80053"/>
    <w:rsid w:val="4CF43D86"/>
    <w:rsid w:val="4CFD404A"/>
    <w:rsid w:val="4D003165"/>
    <w:rsid w:val="4D1E5DD2"/>
    <w:rsid w:val="4D3D35E0"/>
    <w:rsid w:val="4D694DE6"/>
    <w:rsid w:val="4DB526C6"/>
    <w:rsid w:val="4DBA45E5"/>
    <w:rsid w:val="4DBF4464"/>
    <w:rsid w:val="4DD795EA"/>
    <w:rsid w:val="4DEA5E7A"/>
    <w:rsid w:val="4DF3498D"/>
    <w:rsid w:val="4E2A5859"/>
    <w:rsid w:val="4E7302F1"/>
    <w:rsid w:val="4E7F6484"/>
    <w:rsid w:val="4E80753C"/>
    <w:rsid w:val="4E9E1E12"/>
    <w:rsid w:val="4EA44A46"/>
    <w:rsid w:val="4EB16A96"/>
    <w:rsid w:val="4EBA5F91"/>
    <w:rsid w:val="4EC62A13"/>
    <w:rsid w:val="4ED41B4D"/>
    <w:rsid w:val="4ED54234"/>
    <w:rsid w:val="4F0240AA"/>
    <w:rsid w:val="4F0A2E01"/>
    <w:rsid w:val="4F0B5B50"/>
    <w:rsid w:val="4F17E6E7"/>
    <w:rsid w:val="4F6F03D9"/>
    <w:rsid w:val="4F7074AA"/>
    <w:rsid w:val="4FBF50D2"/>
    <w:rsid w:val="4FC922AB"/>
    <w:rsid w:val="506353E5"/>
    <w:rsid w:val="50915768"/>
    <w:rsid w:val="50F908BD"/>
    <w:rsid w:val="514018B2"/>
    <w:rsid w:val="51730A21"/>
    <w:rsid w:val="51830B41"/>
    <w:rsid w:val="518924AF"/>
    <w:rsid w:val="51975743"/>
    <w:rsid w:val="51D41041"/>
    <w:rsid w:val="523625F3"/>
    <w:rsid w:val="526E47C4"/>
    <w:rsid w:val="52AD31E1"/>
    <w:rsid w:val="52B00282"/>
    <w:rsid w:val="530F602D"/>
    <w:rsid w:val="532D0E59"/>
    <w:rsid w:val="5336486B"/>
    <w:rsid w:val="53E328D4"/>
    <w:rsid w:val="53FB7F37"/>
    <w:rsid w:val="54086A02"/>
    <w:rsid w:val="545300BB"/>
    <w:rsid w:val="54663F10"/>
    <w:rsid w:val="54781763"/>
    <w:rsid w:val="547FC660"/>
    <w:rsid w:val="54A67E5D"/>
    <w:rsid w:val="54BB62CA"/>
    <w:rsid w:val="54FE1B99"/>
    <w:rsid w:val="55125595"/>
    <w:rsid w:val="552B0DF9"/>
    <w:rsid w:val="55616852"/>
    <w:rsid w:val="556F7391"/>
    <w:rsid w:val="558D6ED0"/>
    <w:rsid w:val="55901C2E"/>
    <w:rsid w:val="55BA70F5"/>
    <w:rsid w:val="55D0372C"/>
    <w:rsid w:val="55F625A8"/>
    <w:rsid w:val="561E6F3D"/>
    <w:rsid w:val="569705BF"/>
    <w:rsid w:val="569900E1"/>
    <w:rsid w:val="56A11D0A"/>
    <w:rsid w:val="56E67D43"/>
    <w:rsid w:val="571157D6"/>
    <w:rsid w:val="575002E5"/>
    <w:rsid w:val="57642AB9"/>
    <w:rsid w:val="5767D215"/>
    <w:rsid w:val="579A6A3D"/>
    <w:rsid w:val="57A43123"/>
    <w:rsid w:val="57BE5F41"/>
    <w:rsid w:val="57CE352E"/>
    <w:rsid w:val="57D2086D"/>
    <w:rsid w:val="57F56031"/>
    <w:rsid w:val="58A64A1A"/>
    <w:rsid w:val="58D34D28"/>
    <w:rsid w:val="58D7252A"/>
    <w:rsid w:val="58DC6011"/>
    <w:rsid w:val="58F61D7E"/>
    <w:rsid w:val="58FA2C2D"/>
    <w:rsid w:val="594500A8"/>
    <w:rsid w:val="594578FA"/>
    <w:rsid w:val="594A748C"/>
    <w:rsid w:val="59677B3F"/>
    <w:rsid w:val="59B54D24"/>
    <w:rsid w:val="59C930D8"/>
    <w:rsid w:val="59CF7120"/>
    <w:rsid w:val="59D177E0"/>
    <w:rsid w:val="59DDD453"/>
    <w:rsid w:val="59E05CAB"/>
    <w:rsid w:val="59E919E6"/>
    <w:rsid w:val="59EC5DF3"/>
    <w:rsid w:val="5A174A87"/>
    <w:rsid w:val="5A314BF3"/>
    <w:rsid w:val="5AB77894"/>
    <w:rsid w:val="5ABE71FB"/>
    <w:rsid w:val="5AC237F3"/>
    <w:rsid w:val="5AC87FD0"/>
    <w:rsid w:val="5ACE1922"/>
    <w:rsid w:val="5ADA3B0F"/>
    <w:rsid w:val="5AF1412E"/>
    <w:rsid w:val="5AF73185"/>
    <w:rsid w:val="5B0423CE"/>
    <w:rsid w:val="5B1D7013"/>
    <w:rsid w:val="5B1F76E1"/>
    <w:rsid w:val="5BBB6735"/>
    <w:rsid w:val="5BDC47E1"/>
    <w:rsid w:val="5BE45EF4"/>
    <w:rsid w:val="5BF5B611"/>
    <w:rsid w:val="5C1754F2"/>
    <w:rsid w:val="5C374E0A"/>
    <w:rsid w:val="5C6627C2"/>
    <w:rsid w:val="5C6C0CEB"/>
    <w:rsid w:val="5CA375F5"/>
    <w:rsid w:val="5CAC394C"/>
    <w:rsid w:val="5CC6785E"/>
    <w:rsid w:val="5CD9A88A"/>
    <w:rsid w:val="5CE75FE6"/>
    <w:rsid w:val="5CEB7561"/>
    <w:rsid w:val="5D1F7629"/>
    <w:rsid w:val="5D531DC2"/>
    <w:rsid w:val="5D642E6C"/>
    <w:rsid w:val="5D896E36"/>
    <w:rsid w:val="5D947BCE"/>
    <w:rsid w:val="5DBEFC54"/>
    <w:rsid w:val="5DD443CB"/>
    <w:rsid w:val="5DDBE81F"/>
    <w:rsid w:val="5DDF3E83"/>
    <w:rsid w:val="5DE97E6F"/>
    <w:rsid w:val="5DF16292"/>
    <w:rsid w:val="5DFB0FD8"/>
    <w:rsid w:val="5E4F5CBE"/>
    <w:rsid w:val="5E7F1303"/>
    <w:rsid w:val="5EB8397B"/>
    <w:rsid w:val="5EBF85BB"/>
    <w:rsid w:val="5EC308E7"/>
    <w:rsid w:val="5F136165"/>
    <w:rsid w:val="5F346049"/>
    <w:rsid w:val="5F739014"/>
    <w:rsid w:val="5F814E66"/>
    <w:rsid w:val="5F9778B9"/>
    <w:rsid w:val="5F9DCBFC"/>
    <w:rsid w:val="5FAF4C1C"/>
    <w:rsid w:val="5FB556B4"/>
    <w:rsid w:val="5FC53A39"/>
    <w:rsid w:val="5FCF7205"/>
    <w:rsid w:val="5FDFDCA4"/>
    <w:rsid w:val="5FEEE85F"/>
    <w:rsid w:val="5FEF2CBC"/>
    <w:rsid w:val="5FF905E6"/>
    <w:rsid w:val="5FFB202D"/>
    <w:rsid w:val="5FFF8E5D"/>
    <w:rsid w:val="608C63A2"/>
    <w:rsid w:val="60BD09E6"/>
    <w:rsid w:val="60C36A09"/>
    <w:rsid w:val="60C57FA2"/>
    <w:rsid w:val="61026D2C"/>
    <w:rsid w:val="61363936"/>
    <w:rsid w:val="613F8D69"/>
    <w:rsid w:val="61812B53"/>
    <w:rsid w:val="618A3820"/>
    <w:rsid w:val="61BE16D0"/>
    <w:rsid w:val="61BF6D71"/>
    <w:rsid w:val="62014E36"/>
    <w:rsid w:val="622D4B15"/>
    <w:rsid w:val="62666992"/>
    <w:rsid w:val="62790E37"/>
    <w:rsid w:val="62902741"/>
    <w:rsid w:val="62986BC9"/>
    <w:rsid w:val="62C50751"/>
    <w:rsid w:val="62F97D87"/>
    <w:rsid w:val="631E7809"/>
    <w:rsid w:val="633619DE"/>
    <w:rsid w:val="63476A11"/>
    <w:rsid w:val="63687863"/>
    <w:rsid w:val="63E70D35"/>
    <w:rsid w:val="63F172F5"/>
    <w:rsid w:val="63FD77EC"/>
    <w:rsid w:val="644035CD"/>
    <w:rsid w:val="64414EA2"/>
    <w:rsid w:val="64EF7CD5"/>
    <w:rsid w:val="64F0622A"/>
    <w:rsid w:val="652140A0"/>
    <w:rsid w:val="65230A9A"/>
    <w:rsid w:val="653D55D9"/>
    <w:rsid w:val="654E29C2"/>
    <w:rsid w:val="6554E1CE"/>
    <w:rsid w:val="657E5662"/>
    <w:rsid w:val="659801F7"/>
    <w:rsid w:val="659F011C"/>
    <w:rsid w:val="65A10DDF"/>
    <w:rsid w:val="65D409DF"/>
    <w:rsid w:val="65D7EDA0"/>
    <w:rsid w:val="65EE4014"/>
    <w:rsid w:val="65F13B97"/>
    <w:rsid w:val="660A1FB1"/>
    <w:rsid w:val="66144575"/>
    <w:rsid w:val="6615583E"/>
    <w:rsid w:val="661831A1"/>
    <w:rsid w:val="668732B9"/>
    <w:rsid w:val="669A599A"/>
    <w:rsid w:val="66A038D7"/>
    <w:rsid w:val="66B600F2"/>
    <w:rsid w:val="66DF44B5"/>
    <w:rsid w:val="66E64A65"/>
    <w:rsid w:val="66EF2B07"/>
    <w:rsid w:val="670D28B8"/>
    <w:rsid w:val="673E6847"/>
    <w:rsid w:val="676C2179"/>
    <w:rsid w:val="6779B347"/>
    <w:rsid w:val="677B5DAB"/>
    <w:rsid w:val="677E9478"/>
    <w:rsid w:val="67BD8E67"/>
    <w:rsid w:val="67BF20CA"/>
    <w:rsid w:val="67C358D0"/>
    <w:rsid w:val="67D50257"/>
    <w:rsid w:val="684E77EB"/>
    <w:rsid w:val="686948C2"/>
    <w:rsid w:val="687B030C"/>
    <w:rsid w:val="687C0EAB"/>
    <w:rsid w:val="6881263B"/>
    <w:rsid w:val="688D1961"/>
    <w:rsid w:val="68A03EAA"/>
    <w:rsid w:val="68A51B4A"/>
    <w:rsid w:val="68E92FA3"/>
    <w:rsid w:val="68E9467B"/>
    <w:rsid w:val="68E96818"/>
    <w:rsid w:val="69152EEA"/>
    <w:rsid w:val="69442481"/>
    <w:rsid w:val="69660A87"/>
    <w:rsid w:val="69777C37"/>
    <w:rsid w:val="699B448E"/>
    <w:rsid w:val="69A353EB"/>
    <w:rsid w:val="69A64EAF"/>
    <w:rsid w:val="69A7418F"/>
    <w:rsid w:val="6A0C70CA"/>
    <w:rsid w:val="6A1A26D1"/>
    <w:rsid w:val="6A6A7DB3"/>
    <w:rsid w:val="6A7A1DFA"/>
    <w:rsid w:val="6AA02C89"/>
    <w:rsid w:val="6AB9216D"/>
    <w:rsid w:val="6ABD3001"/>
    <w:rsid w:val="6AE23198"/>
    <w:rsid w:val="6AE91E8B"/>
    <w:rsid w:val="6B016695"/>
    <w:rsid w:val="6B3703B5"/>
    <w:rsid w:val="6B39528D"/>
    <w:rsid w:val="6B39FC2F"/>
    <w:rsid w:val="6B5167B9"/>
    <w:rsid w:val="6B571317"/>
    <w:rsid w:val="6B983786"/>
    <w:rsid w:val="6BCEEB6F"/>
    <w:rsid w:val="6BFF8626"/>
    <w:rsid w:val="6C086915"/>
    <w:rsid w:val="6C246A47"/>
    <w:rsid w:val="6C723D32"/>
    <w:rsid w:val="6CAB2166"/>
    <w:rsid w:val="6CBF157E"/>
    <w:rsid w:val="6CF550ED"/>
    <w:rsid w:val="6D284D16"/>
    <w:rsid w:val="6D32121B"/>
    <w:rsid w:val="6D6E234B"/>
    <w:rsid w:val="6DBC7037"/>
    <w:rsid w:val="6DC57C7B"/>
    <w:rsid w:val="6DE25386"/>
    <w:rsid w:val="6DEF61A9"/>
    <w:rsid w:val="6DF13B54"/>
    <w:rsid w:val="6E09134B"/>
    <w:rsid w:val="6E277E25"/>
    <w:rsid w:val="6E546DFE"/>
    <w:rsid w:val="6E7C4805"/>
    <w:rsid w:val="6E842F5D"/>
    <w:rsid w:val="6E8F3E7A"/>
    <w:rsid w:val="6EB34456"/>
    <w:rsid w:val="6EB4010B"/>
    <w:rsid w:val="6EDE05D5"/>
    <w:rsid w:val="6F1A27C3"/>
    <w:rsid w:val="6F4155CB"/>
    <w:rsid w:val="6F515941"/>
    <w:rsid w:val="6F7708E7"/>
    <w:rsid w:val="6F771F9F"/>
    <w:rsid w:val="6F7755F0"/>
    <w:rsid w:val="6F7E9C8E"/>
    <w:rsid w:val="6F9777D1"/>
    <w:rsid w:val="6FAA3329"/>
    <w:rsid w:val="6FB97EE6"/>
    <w:rsid w:val="6FC040DE"/>
    <w:rsid w:val="6FD41182"/>
    <w:rsid w:val="6FDE32CB"/>
    <w:rsid w:val="6FDFAF91"/>
    <w:rsid w:val="6FE2529D"/>
    <w:rsid w:val="6FE43C0D"/>
    <w:rsid w:val="6FE9675E"/>
    <w:rsid w:val="6FE9C589"/>
    <w:rsid w:val="6FFF5490"/>
    <w:rsid w:val="6FFFB88B"/>
    <w:rsid w:val="70170A8A"/>
    <w:rsid w:val="701C5291"/>
    <w:rsid w:val="70287B18"/>
    <w:rsid w:val="704E3B8A"/>
    <w:rsid w:val="705C4EB0"/>
    <w:rsid w:val="707551CE"/>
    <w:rsid w:val="70AA3927"/>
    <w:rsid w:val="70F1165F"/>
    <w:rsid w:val="71041831"/>
    <w:rsid w:val="710B48AD"/>
    <w:rsid w:val="71177583"/>
    <w:rsid w:val="712362A2"/>
    <w:rsid w:val="713749B7"/>
    <w:rsid w:val="718410BC"/>
    <w:rsid w:val="71977F8D"/>
    <w:rsid w:val="71CE34E4"/>
    <w:rsid w:val="721D1C65"/>
    <w:rsid w:val="72D21F1A"/>
    <w:rsid w:val="733F19F4"/>
    <w:rsid w:val="73442D84"/>
    <w:rsid w:val="734D3DB7"/>
    <w:rsid w:val="7388609C"/>
    <w:rsid w:val="739741BE"/>
    <w:rsid w:val="73C8777E"/>
    <w:rsid w:val="73F0243F"/>
    <w:rsid w:val="74223B47"/>
    <w:rsid w:val="74445CC8"/>
    <w:rsid w:val="74573D05"/>
    <w:rsid w:val="749F2F69"/>
    <w:rsid w:val="74B54E01"/>
    <w:rsid w:val="74C642D7"/>
    <w:rsid w:val="751E6CBF"/>
    <w:rsid w:val="75550DDA"/>
    <w:rsid w:val="757B5E69"/>
    <w:rsid w:val="757F369C"/>
    <w:rsid w:val="758F18AC"/>
    <w:rsid w:val="75A244A1"/>
    <w:rsid w:val="75BD3744"/>
    <w:rsid w:val="75BD4BF5"/>
    <w:rsid w:val="75D958E0"/>
    <w:rsid w:val="75DF1433"/>
    <w:rsid w:val="75E053BF"/>
    <w:rsid w:val="75FD24F2"/>
    <w:rsid w:val="765F73E7"/>
    <w:rsid w:val="767F041C"/>
    <w:rsid w:val="76CF7390"/>
    <w:rsid w:val="76E05CA9"/>
    <w:rsid w:val="76F84E00"/>
    <w:rsid w:val="76FFE911"/>
    <w:rsid w:val="770A3AD6"/>
    <w:rsid w:val="772A1B61"/>
    <w:rsid w:val="7738159E"/>
    <w:rsid w:val="77387D31"/>
    <w:rsid w:val="776E2929"/>
    <w:rsid w:val="777FB0EE"/>
    <w:rsid w:val="777FDBE8"/>
    <w:rsid w:val="778F3D13"/>
    <w:rsid w:val="77B9166F"/>
    <w:rsid w:val="77BDF14E"/>
    <w:rsid w:val="77CD7770"/>
    <w:rsid w:val="77D90765"/>
    <w:rsid w:val="77DD7A92"/>
    <w:rsid w:val="77DD9B7A"/>
    <w:rsid w:val="77E700CE"/>
    <w:rsid w:val="77EB1271"/>
    <w:rsid w:val="78402713"/>
    <w:rsid w:val="78576381"/>
    <w:rsid w:val="785D14D8"/>
    <w:rsid w:val="78F53DC8"/>
    <w:rsid w:val="79131B09"/>
    <w:rsid w:val="7914180E"/>
    <w:rsid w:val="793733FE"/>
    <w:rsid w:val="79389AC4"/>
    <w:rsid w:val="79750F7F"/>
    <w:rsid w:val="79777D20"/>
    <w:rsid w:val="79943534"/>
    <w:rsid w:val="79AE63C1"/>
    <w:rsid w:val="79C52F0B"/>
    <w:rsid w:val="79F63567"/>
    <w:rsid w:val="79FADF99"/>
    <w:rsid w:val="7A652976"/>
    <w:rsid w:val="7A754BBC"/>
    <w:rsid w:val="7A7C12EB"/>
    <w:rsid w:val="7AC97ECE"/>
    <w:rsid w:val="7AE86D02"/>
    <w:rsid w:val="7AF76F88"/>
    <w:rsid w:val="7B130896"/>
    <w:rsid w:val="7B301585"/>
    <w:rsid w:val="7B7E03A9"/>
    <w:rsid w:val="7B7FB3BF"/>
    <w:rsid w:val="7B8C2130"/>
    <w:rsid w:val="7BAF538F"/>
    <w:rsid w:val="7BB7FE0E"/>
    <w:rsid w:val="7BB9EE05"/>
    <w:rsid w:val="7BBFF203"/>
    <w:rsid w:val="7BCA69AA"/>
    <w:rsid w:val="7BDF9D5D"/>
    <w:rsid w:val="7BED355A"/>
    <w:rsid w:val="7BF7AD0F"/>
    <w:rsid w:val="7BFC9DA7"/>
    <w:rsid w:val="7BFF5759"/>
    <w:rsid w:val="7BFF6895"/>
    <w:rsid w:val="7C157143"/>
    <w:rsid w:val="7C1E3B8B"/>
    <w:rsid w:val="7C5A0166"/>
    <w:rsid w:val="7C5E39FB"/>
    <w:rsid w:val="7C604F57"/>
    <w:rsid w:val="7CF47450"/>
    <w:rsid w:val="7CFDBF84"/>
    <w:rsid w:val="7D141113"/>
    <w:rsid w:val="7D3E7DED"/>
    <w:rsid w:val="7D3F73B9"/>
    <w:rsid w:val="7D490B45"/>
    <w:rsid w:val="7D4F6804"/>
    <w:rsid w:val="7D5AB85E"/>
    <w:rsid w:val="7D6F256B"/>
    <w:rsid w:val="7D85543A"/>
    <w:rsid w:val="7DA3353F"/>
    <w:rsid w:val="7DAB21B9"/>
    <w:rsid w:val="7DAF86BE"/>
    <w:rsid w:val="7DC94EB4"/>
    <w:rsid w:val="7DD3682D"/>
    <w:rsid w:val="7DD7768F"/>
    <w:rsid w:val="7DDB3633"/>
    <w:rsid w:val="7DE57B8E"/>
    <w:rsid w:val="7DE60E7C"/>
    <w:rsid w:val="7DE958F0"/>
    <w:rsid w:val="7DFF15CE"/>
    <w:rsid w:val="7DFF3E6B"/>
    <w:rsid w:val="7DFFEEB0"/>
    <w:rsid w:val="7E13F888"/>
    <w:rsid w:val="7E1E7DB5"/>
    <w:rsid w:val="7E471DFE"/>
    <w:rsid w:val="7E5C10FB"/>
    <w:rsid w:val="7E6645B0"/>
    <w:rsid w:val="7E6CD60C"/>
    <w:rsid w:val="7E6DFCAA"/>
    <w:rsid w:val="7E7A6D21"/>
    <w:rsid w:val="7E7D3265"/>
    <w:rsid w:val="7E998918"/>
    <w:rsid w:val="7EA022E1"/>
    <w:rsid w:val="7EBB2DE9"/>
    <w:rsid w:val="7ECE50CC"/>
    <w:rsid w:val="7ECF541E"/>
    <w:rsid w:val="7EDB9672"/>
    <w:rsid w:val="7EDE6B9B"/>
    <w:rsid w:val="7EDF28E0"/>
    <w:rsid w:val="7EEF327F"/>
    <w:rsid w:val="7EEF57B3"/>
    <w:rsid w:val="7EEF9D2D"/>
    <w:rsid w:val="7EF16EBF"/>
    <w:rsid w:val="7EFAA62C"/>
    <w:rsid w:val="7F2A0412"/>
    <w:rsid w:val="7F2FDFAB"/>
    <w:rsid w:val="7F3C1A84"/>
    <w:rsid w:val="7F3D25A2"/>
    <w:rsid w:val="7F3E2E43"/>
    <w:rsid w:val="7F3E4283"/>
    <w:rsid w:val="7F4007BA"/>
    <w:rsid w:val="7F56F185"/>
    <w:rsid w:val="7F5B9BD8"/>
    <w:rsid w:val="7F5D9BD4"/>
    <w:rsid w:val="7F6FB0E5"/>
    <w:rsid w:val="7F7F64AC"/>
    <w:rsid w:val="7F930148"/>
    <w:rsid w:val="7FA59352"/>
    <w:rsid w:val="7FBC2D6A"/>
    <w:rsid w:val="7FBF2659"/>
    <w:rsid w:val="7FBFA961"/>
    <w:rsid w:val="7FD721D8"/>
    <w:rsid w:val="7FDAFE21"/>
    <w:rsid w:val="7FDB0A95"/>
    <w:rsid w:val="7FDDC6E6"/>
    <w:rsid w:val="7FDF9339"/>
    <w:rsid w:val="7FE5671C"/>
    <w:rsid w:val="7FE9E387"/>
    <w:rsid w:val="7FED4528"/>
    <w:rsid w:val="7FEDA8FD"/>
    <w:rsid w:val="7FF042E5"/>
    <w:rsid w:val="7FF32F9F"/>
    <w:rsid w:val="7FF6F0E1"/>
    <w:rsid w:val="7FF735A2"/>
    <w:rsid w:val="7FF7E43B"/>
    <w:rsid w:val="7FF7FB42"/>
    <w:rsid w:val="7FF7FD63"/>
    <w:rsid w:val="7FFB4834"/>
    <w:rsid w:val="7FFB9C2F"/>
    <w:rsid w:val="7FFD4B77"/>
    <w:rsid w:val="7FFD86A7"/>
    <w:rsid w:val="7FFF5B45"/>
    <w:rsid w:val="7FFF8D97"/>
    <w:rsid w:val="867AD687"/>
    <w:rsid w:val="8DBF809C"/>
    <w:rsid w:val="8F0B3F44"/>
    <w:rsid w:val="8F8B8C41"/>
    <w:rsid w:val="9DDB3B61"/>
    <w:rsid w:val="9FA72C55"/>
    <w:rsid w:val="9FFF32DF"/>
    <w:rsid w:val="A3E7E8A8"/>
    <w:rsid w:val="A7DF8632"/>
    <w:rsid w:val="ABFE576E"/>
    <w:rsid w:val="ADD71B67"/>
    <w:rsid w:val="AFDBA84F"/>
    <w:rsid w:val="AFEF5596"/>
    <w:rsid w:val="B5DA5C38"/>
    <w:rsid w:val="B5EE39E5"/>
    <w:rsid w:val="B67E7318"/>
    <w:rsid w:val="B7C7C3BB"/>
    <w:rsid w:val="B8FFE03B"/>
    <w:rsid w:val="B9F7A149"/>
    <w:rsid w:val="B9FF207E"/>
    <w:rsid w:val="BAF5AC53"/>
    <w:rsid w:val="BBFD0BE6"/>
    <w:rsid w:val="BBFE1A03"/>
    <w:rsid w:val="BCDE2784"/>
    <w:rsid w:val="BCDFFD8D"/>
    <w:rsid w:val="BCE5E66C"/>
    <w:rsid w:val="BDED595E"/>
    <w:rsid w:val="BDEF4909"/>
    <w:rsid w:val="BDFF13ED"/>
    <w:rsid w:val="BDFF2641"/>
    <w:rsid w:val="BEBF0102"/>
    <w:rsid w:val="BF2F0971"/>
    <w:rsid w:val="BF2F6CDF"/>
    <w:rsid w:val="BF3FA08A"/>
    <w:rsid w:val="BF722C81"/>
    <w:rsid w:val="BF740EC0"/>
    <w:rsid w:val="BFBF8AB9"/>
    <w:rsid w:val="BFC74A32"/>
    <w:rsid w:val="BFDD87D8"/>
    <w:rsid w:val="BFE73802"/>
    <w:rsid w:val="BFF11819"/>
    <w:rsid w:val="BFFB5EA7"/>
    <w:rsid w:val="BFFCED1B"/>
    <w:rsid w:val="BFFE209A"/>
    <w:rsid w:val="BFFE87E9"/>
    <w:rsid w:val="BFFF3C31"/>
    <w:rsid w:val="BFFFD7DA"/>
    <w:rsid w:val="C6FD751D"/>
    <w:rsid w:val="C7FEE2C5"/>
    <w:rsid w:val="CB7E7001"/>
    <w:rsid w:val="CBDF4275"/>
    <w:rsid w:val="CBFFEBBD"/>
    <w:rsid w:val="CC9F7E05"/>
    <w:rsid w:val="CD7CB138"/>
    <w:rsid w:val="CDF5DB48"/>
    <w:rsid w:val="CDFF421F"/>
    <w:rsid w:val="CEE0F68C"/>
    <w:rsid w:val="CFBF0DC0"/>
    <w:rsid w:val="D1F77133"/>
    <w:rsid w:val="D3BF1928"/>
    <w:rsid w:val="D3DD0A7B"/>
    <w:rsid w:val="D6B54705"/>
    <w:rsid w:val="D6F76131"/>
    <w:rsid w:val="D77747B5"/>
    <w:rsid w:val="D7FFF05D"/>
    <w:rsid w:val="DABB2A87"/>
    <w:rsid w:val="DBFFAE70"/>
    <w:rsid w:val="DBFFED40"/>
    <w:rsid w:val="DCFFDDD0"/>
    <w:rsid w:val="DD377750"/>
    <w:rsid w:val="DDBBE702"/>
    <w:rsid w:val="DE3D258C"/>
    <w:rsid w:val="DEB7C37E"/>
    <w:rsid w:val="DEFB9F6E"/>
    <w:rsid w:val="DF67894A"/>
    <w:rsid w:val="DFAF140F"/>
    <w:rsid w:val="DFBF258C"/>
    <w:rsid w:val="DFF2F861"/>
    <w:rsid w:val="DFF7BA0B"/>
    <w:rsid w:val="DFFDC250"/>
    <w:rsid w:val="DFFF8081"/>
    <w:rsid w:val="DFFFA4FA"/>
    <w:rsid w:val="E377D4FA"/>
    <w:rsid w:val="E6CF4507"/>
    <w:rsid w:val="E7EB36BF"/>
    <w:rsid w:val="E7FA6C69"/>
    <w:rsid w:val="E7FEE69D"/>
    <w:rsid w:val="E9FD289D"/>
    <w:rsid w:val="EABFEF6B"/>
    <w:rsid w:val="EB0E99E2"/>
    <w:rsid w:val="EBF7438D"/>
    <w:rsid w:val="EBFF7A5D"/>
    <w:rsid w:val="ECEEA038"/>
    <w:rsid w:val="EDEF5197"/>
    <w:rsid w:val="EDF6A346"/>
    <w:rsid w:val="EF7FC2DE"/>
    <w:rsid w:val="EFD4CB5B"/>
    <w:rsid w:val="EFF72E07"/>
    <w:rsid w:val="EFF7B213"/>
    <w:rsid w:val="EFFF14B8"/>
    <w:rsid w:val="EFFF6863"/>
    <w:rsid w:val="F2FF4646"/>
    <w:rsid w:val="F3FBA209"/>
    <w:rsid w:val="F55FA1F5"/>
    <w:rsid w:val="F6F54698"/>
    <w:rsid w:val="F6FF92FE"/>
    <w:rsid w:val="F6FF943B"/>
    <w:rsid w:val="F75F095C"/>
    <w:rsid w:val="F7A3AA50"/>
    <w:rsid w:val="F7F7D405"/>
    <w:rsid w:val="F8FDA183"/>
    <w:rsid w:val="F8FE534F"/>
    <w:rsid w:val="FAB942F8"/>
    <w:rsid w:val="FAEB6843"/>
    <w:rsid w:val="FAFBD243"/>
    <w:rsid w:val="FAFF7EB3"/>
    <w:rsid w:val="FB7B92DC"/>
    <w:rsid w:val="FB7EF165"/>
    <w:rsid w:val="FBBC7DE7"/>
    <w:rsid w:val="FBDD9719"/>
    <w:rsid w:val="FBDF68DC"/>
    <w:rsid w:val="FBF3DBD9"/>
    <w:rsid w:val="FCEF0699"/>
    <w:rsid w:val="FD172173"/>
    <w:rsid w:val="FD6E422F"/>
    <w:rsid w:val="FD6F7EC9"/>
    <w:rsid w:val="FD8F4760"/>
    <w:rsid w:val="FDAE3227"/>
    <w:rsid w:val="FDBD89CC"/>
    <w:rsid w:val="FDBFE176"/>
    <w:rsid w:val="FDDD2E43"/>
    <w:rsid w:val="FDE69C57"/>
    <w:rsid w:val="FDEFE43E"/>
    <w:rsid w:val="FDF79F86"/>
    <w:rsid w:val="FDFD9F3B"/>
    <w:rsid w:val="FDFF70DA"/>
    <w:rsid w:val="FEEEC4FE"/>
    <w:rsid w:val="FEF356BD"/>
    <w:rsid w:val="FEFB2C7B"/>
    <w:rsid w:val="FEFDED5B"/>
    <w:rsid w:val="FEFE438E"/>
    <w:rsid w:val="FEFF6855"/>
    <w:rsid w:val="FF5DA4D1"/>
    <w:rsid w:val="FF7883EF"/>
    <w:rsid w:val="FF7A8B59"/>
    <w:rsid w:val="FF7B6C91"/>
    <w:rsid w:val="FF7F0875"/>
    <w:rsid w:val="FF7F43C9"/>
    <w:rsid w:val="FF7F97F6"/>
    <w:rsid w:val="FF876848"/>
    <w:rsid w:val="FF9FEA2D"/>
    <w:rsid w:val="FFACB881"/>
    <w:rsid w:val="FFBA76E2"/>
    <w:rsid w:val="FFBD4283"/>
    <w:rsid w:val="FFBF1672"/>
    <w:rsid w:val="FFD0DAB1"/>
    <w:rsid w:val="FFD7BB03"/>
    <w:rsid w:val="FFDBD636"/>
    <w:rsid w:val="FFDBEAA7"/>
    <w:rsid w:val="FFDBF34E"/>
    <w:rsid w:val="FFFA19C4"/>
    <w:rsid w:val="FFFAEA2E"/>
    <w:rsid w:val="FFFDC701"/>
    <w:rsid w:val="FFFE0A9F"/>
    <w:rsid w:val="FFFF2A57"/>
    <w:rsid w:val="FFFF667D"/>
    <w:rsid w:val="FFFFBD92"/>
    <w:rsid w:val="FFFFCF2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19"/>
    <w:qFormat/>
    <w:uiPriority w:val="99"/>
    <w:pPr>
      <w:spacing w:before="100" w:beforeAutospacing="1" w:after="100" w:afterAutospacing="1"/>
      <w:jc w:val="left"/>
      <w:outlineLvl w:val="0"/>
    </w:pPr>
    <w:rPr>
      <w:rFonts w:ascii="宋体" w:hAnsi="宋体"/>
      <w:b/>
      <w:kern w:val="44"/>
      <w:sz w:val="48"/>
      <w:szCs w:val="48"/>
    </w:rPr>
  </w:style>
  <w:style w:type="paragraph" w:styleId="4">
    <w:name w:val="heading 2"/>
    <w:basedOn w:val="1"/>
    <w:next w:val="1"/>
    <w:link w:val="20"/>
    <w:qFormat/>
    <w:uiPriority w:val="99"/>
    <w:pPr>
      <w:spacing w:before="100" w:beforeAutospacing="1" w:after="100" w:afterAutospacing="1"/>
      <w:jc w:val="left"/>
      <w:outlineLvl w:val="1"/>
    </w:pPr>
    <w:rPr>
      <w:rFonts w:ascii="宋体" w:hAnsi="宋体"/>
      <w:b/>
      <w:kern w:val="0"/>
      <w:sz w:val="36"/>
      <w:szCs w:val="36"/>
    </w:rPr>
  </w:style>
  <w:style w:type="paragraph" w:styleId="5">
    <w:name w:val="heading 3"/>
    <w:basedOn w:val="1"/>
    <w:next w:val="1"/>
    <w:link w:val="21"/>
    <w:qFormat/>
    <w:uiPriority w:val="99"/>
    <w:pPr>
      <w:spacing w:before="100" w:beforeAutospacing="1" w:after="100" w:afterAutospacing="1"/>
      <w:jc w:val="left"/>
      <w:outlineLvl w:val="2"/>
    </w:pPr>
    <w:rPr>
      <w:rFonts w:ascii="宋体" w:hAnsi="宋体"/>
      <w:b/>
      <w:kern w:val="0"/>
      <w:sz w:val="27"/>
      <w:szCs w:val="27"/>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uiPriority w:val="99"/>
    <w:pPr>
      <w:ind w:left="420" w:leftChars="200"/>
    </w:pPr>
  </w:style>
  <w:style w:type="paragraph" w:styleId="6">
    <w:name w:val="Body Text Indent"/>
    <w:basedOn w:val="1"/>
    <w:semiHidden/>
    <w:unhideWhenUsed/>
    <w:qFormat/>
    <w:uiPriority w:val="99"/>
    <w:pPr>
      <w:spacing w:after="120"/>
      <w:ind w:left="420" w:leftChars="200"/>
    </w:pPr>
  </w:style>
  <w:style w:type="paragraph" w:styleId="7">
    <w:name w:val="Balloon Text"/>
    <w:basedOn w:val="1"/>
    <w:link w:val="31"/>
    <w:qFormat/>
    <w:uiPriority w:val="0"/>
    <w:rPr>
      <w:rFonts w:ascii="Times New Roman" w:hAnsi="Times New Roman"/>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style>
  <w:style w:type="paragraph" w:styleId="11">
    <w:name w:val="Normal (Web)"/>
    <w:basedOn w:val="1"/>
    <w:qFormat/>
    <w:uiPriority w:val="99"/>
    <w:pPr>
      <w:spacing w:before="100" w:beforeAutospacing="1" w:after="100" w:afterAutospacing="1"/>
      <w:jc w:val="left"/>
    </w:pPr>
    <w:rPr>
      <w:kern w:val="0"/>
      <w:sz w:val="24"/>
    </w:rPr>
  </w:style>
  <w:style w:type="paragraph" w:styleId="12">
    <w:name w:val="Body Text First Indent 2"/>
    <w:basedOn w:val="6"/>
    <w:next w:val="1"/>
    <w:unhideWhenUsed/>
    <w:qFormat/>
    <w:uiPriority w:val="99"/>
    <w:pPr>
      <w:ind w:firstLine="420" w:firstLineChars="200"/>
    </w:pPr>
    <w:rPr>
      <w:rFonts w:ascii="等线" w:hAnsi="等线" w:eastAsia="等线" w:cs="Times New Roman"/>
    </w:rPr>
  </w:style>
  <w:style w:type="table" w:styleId="14">
    <w:name w:val="Table Grid"/>
    <w:basedOn w:val="1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99"/>
    <w:rPr>
      <w:rFonts w:cs="Times New Roman"/>
      <w:b/>
    </w:rPr>
  </w:style>
  <w:style w:type="character" w:styleId="17">
    <w:name w:val="page number"/>
    <w:basedOn w:val="15"/>
    <w:qFormat/>
    <w:uiPriority w:val="99"/>
    <w:rPr>
      <w:rFonts w:cs="Times New Roman"/>
    </w:rPr>
  </w:style>
  <w:style w:type="character" w:styleId="18">
    <w:name w:val="Hyperlink"/>
    <w:basedOn w:val="15"/>
    <w:qFormat/>
    <w:uiPriority w:val="99"/>
    <w:rPr>
      <w:rFonts w:cs="Times New Roman"/>
      <w:color w:val="0000FF"/>
      <w:u w:val="single"/>
    </w:rPr>
  </w:style>
  <w:style w:type="character" w:customStyle="1" w:styleId="19">
    <w:name w:val="标题 1 Char"/>
    <w:basedOn w:val="15"/>
    <w:link w:val="3"/>
    <w:qFormat/>
    <w:locked/>
    <w:uiPriority w:val="99"/>
    <w:rPr>
      <w:rFonts w:ascii="Calibri" w:hAnsi="Calibri"/>
      <w:b/>
      <w:kern w:val="44"/>
      <w:sz w:val="44"/>
    </w:rPr>
  </w:style>
  <w:style w:type="character" w:customStyle="1" w:styleId="20">
    <w:name w:val="标题 2 Char"/>
    <w:basedOn w:val="15"/>
    <w:link w:val="4"/>
    <w:semiHidden/>
    <w:qFormat/>
    <w:locked/>
    <w:uiPriority w:val="99"/>
    <w:rPr>
      <w:rFonts w:ascii="Cambria" w:hAnsi="Cambria" w:eastAsia="宋体"/>
      <w:b/>
      <w:sz w:val="32"/>
    </w:rPr>
  </w:style>
  <w:style w:type="character" w:customStyle="1" w:styleId="21">
    <w:name w:val="标题 3 Char"/>
    <w:basedOn w:val="15"/>
    <w:link w:val="5"/>
    <w:semiHidden/>
    <w:qFormat/>
    <w:locked/>
    <w:uiPriority w:val="99"/>
    <w:rPr>
      <w:rFonts w:ascii="Calibri" w:hAnsi="Calibri"/>
      <w:b/>
      <w:sz w:val="32"/>
    </w:rPr>
  </w:style>
  <w:style w:type="character" w:customStyle="1" w:styleId="22">
    <w:name w:val="页眉 Char"/>
    <w:basedOn w:val="15"/>
    <w:link w:val="9"/>
    <w:qFormat/>
    <w:locked/>
    <w:uiPriority w:val="99"/>
    <w:rPr>
      <w:rFonts w:ascii="Calibri" w:hAnsi="Calibri"/>
      <w:kern w:val="2"/>
      <w:sz w:val="18"/>
    </w:rPr>
  </w:style>
  <w:style w:type="character" w:customStyle="1" w:styleId="23">
    <w:name w:val="页脚 Char"/>
    <w:basedOn w:val="15"/>
    <w:link w:val="8"/>
    <w:qFormat/>
    <w:locked/>
    <w:uiPriority w:val="99"/>
    <w:rPr>
      <w:rFonts w:ascii="Calibri" w:hAnsi="Calibri"/>
      <w:kern w:val="2"/>
      <w:sz w:val="18"/>
    </w:rPr>
  </w:style>
  <w:style w:type="paragraph" w:customStyle="1" w:styleId="24">
    <w:name w:val="默认段落字体 Para Char Char Char Char"/>
    <w:basedOn w:val="1"/>
    <w:qFormat/>
    <w:uiPriority w:val="99"/>
    <w:rPr>
      <w:rFonts w:ascii="Times New Roman" w:hAnsi="Times New Roman"/>
    </w:rPr>
  </w:style>
  <w:style w:type="paragraph" w:customStyle="1" w:styleId="25">
    <w:name w:val="一级标题11"/>
    <w:basedOn w:val="1"/>
    <w:qFormat/>
    <w:uiPriority w:val="99"/>
    <w:pPr>
      <w:widowControl/>
      <w:ind w:firstLine="600" w:firstLineChars="200"/>
      <w:outlineLvl w:val="0"/>
    </w:pPr>
    <w:rPr>
      <w:rFonts w:ascii="方正黑体_GBK" w:hAnsi="Times New Roman" w:eastAsia="方正黑体_GBK"/>
      <w:sz w:val="30"/>
      <w:szCs w:val="30"/>
    </w:rPr>
  </w:style>
  <w:style w:type="paragraph" w:customStyle="1" w:styleId="26">
    <w:name w:val="二级标题11"/>
    <w:basedOn w:val="1"/>
    <w:qFormat/>
    <w:uiPriority w:val="99"/>
    <w:pPr>
      <w:ind w:firstLine="200" w:firstLineChars="200"/>
      <w:outlineLvl w:val="1"/>
    </w:pPr>
    <w:rPr>
      <w:rFonts w:ascii="楷体" w:hAnsi="楷体" w:eastAsia="楷体"/>
      <w:b/>
      <w:sz w:val="28"/>
      <w:szCs w:val="28"/>
    </w:rPr>
  </w:style>
  <w:style w:type="paragraph" w:customStyle="1" w:styleId="27">
    <w:name w:val="正文11"/>
    <w:basedOn w:val="1"/>
    <w:qFormat/>
    <w:uiPriority w:val="99"/>
    <w:pPr>
      <w:spacing w:line="440" w:lineRule="exact"/>
      <w:ind w:firstLine="600" w:firstLineChars="200"/>
    </w:pPr>
    <w:rPr>
      <w:rFonts w:ascii="宋体" w:hAnsi="宋体" w:eastAsia="仿宋_GB2312"/>
      <w:sz w:val="24"/>
      <w:szCs w:val="28"/>
    </w:rPr>
  </w:style>
  <w:style w:type="paragraph" w:customStyle="1" w:styleId="28">
    <w:name w:val="表格内容11"/>
    <w:basedOn w:val="11"/>
    <w:qFormat/>
    <w:uiPriority w:val="99"/>
    <w:pPr>
      <w:widowControl/>
      <w:spacing w:before="0" w:beforeAutospacing="0" w:after="0" w:afterAutospacing="0" w:line="280" w:lineRule="exact"/>
      <w:jc w:val="both"/>
    </w:pPr>
    <w:rPr>
      <w:rFonts w:ascii="仿宋_GB2312" w:hAnsi="仿宋_GB2312" w:eastAsia="仿宋_GB2312" w:cs="仿宋_GB2312"/>
      <w:sz w:val="21"/>
    </w:rPr>
  </w:style>
  <w:style w:type="paragraph" w:customStyle="1" w:styleId="29">
    <w:name w:val="表格标题11"/>
    <w:basedOn w:val="1"/>
    <w:qFormat/>
    <w:uiPriority w:val="99"/>
    <w:pPr>
      <w:jc w:val="center"/>
    </w:pPr>
    <w:rPr>
      <w:rFonts w:ascii="仿宋_GB2312" w:eastAsia="仿宋_GB2312"/>
      <w:b/>
      <w:sz w:val="24"/>
    </w:rPr>
  </w:style>
  <w:style w:type="paragraph" w:customStyle="1" w:styleId="30">
    <w:name w:val="表头11"/>
    <w:basedOn w:val="11"/>
    <w:qFormat/>
    <w:uiPriority w:val="99"/>
    <w:pPr>
      <w:widowControl/>
      <w:spacing w:before="0" w:beforeAutospacing="0" w:after="0" w:afterAutospacing="0" w:line="280" w:lineRule="exact"/>
      <w:jc w:val="center"/>
    </w:pPr>
    <w:rPr>
      <w:rFonts w:ascii="仿宋_GB2312" w:hAnsi="仿宋_GB2312" w:eastAsia="仿宋_GB2312" w:cs="仿宋_GB2312"/>
      <w:b/>
      <w:bCs/>
      <w:sz w:val="21"/>
    </w:rPr>
  </w:style>
  <w:style w:type="character" w:customStyle="1" w:styleId="31">
    <w:name w:val="批注框文本 Char"/>
    <w:basedOn w:val="15"/>
    <w:link w:val="7"/>
    <w:qFormat/>
    <w:uiPriority w:val="0"/>
    <w:rPr>
      <w:kern w:val="2"/>
      <w:sz w:val="18"/>
      <w:szCs w:val="18"/>
    </w:rPr>
  </w:style>
  <w:style w:type="table" w:customStyle="1" w:styleId="3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72</Pages>
  <Words>3560</Words>
  <Characters>20295</Characters>
  <Lines>169</Lines>
  <Paragraphs>47</Paragraphs>
  <TotalTime>1</TotalTime>
  <ScaleCrop>false</ScaleCrop>
  <LinksUpToDate>false</LinksUpToDate>
  <CharactersWithSpaces>23808</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2018-11-10T18:52:00Z</dcterms:created>
  <dc:creator>DELL</dc:creator>
  <cp:lastModifiedBy>我是一只胖胖胖㍿</cp:lastModifiedBy>
  <cp:lastPrinted>2024-05-21T18:55:00Z</cp:lastPrinted>
  <dcterms:modified xsi:type="dcterms:W3CDTF">2024-05-27T17:32:46Z</dcterms:modified>
  <dc:title>建设项目环境影响评价审批手续办理宣传手册</dc:title>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3D68465FA5DB4F34910408AF7FC108B2</vt:lpwstr>
  </property>
</Properties>
</file>