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rPr>
      </w:pPr>
      <w:r>
        <w:rPr>
          <w:rFonts w:hint="default" w:ascii="Times New Roman" w:hAnsi="Times New Roman" w:eastAsia="方正小标宋简体" w:cs="Times New Roman"/>
          <w:b w:val="0"/>
          <w:bCs/>
          <w:color w:val="auto"/>
          <w:sz w:val="44"/>
          <w:szCs w:val="48"/>
          <w:lang w:eastAsia="zh-CN"/>
        </w:rPr>
        <w:t>攀枝花</w:t>
      </w:r>
      <w:r>
        <w:rPr>
          <w:rFonts w:hint="default" w:ascii="Times New Roman" w:hAnsi="Times New Roman" w:eastAsia="方正小标宋简体" w:cs="Times New Roman"/>
          <w:b w:val="0"/>
          <w:bCs/>
          <w:color w:val="auto"/>
          <w:sz w:val="44"/>
          <w:szCs w:val="48"/>
        </w:rPr>
        <w:t>市“十四五”饮用水水源</w:t>
      </w:r>
    </w:p>
    <w:p>
      <w:pPr>
        <w:jc w:val="center"/>
        <w:outlineLvl w:val="0"/>
        <w:rPr>
          <w:rFonts w:hint="default" w:ascii="Times New Roman" w:hAnsi="Times New Roman" w:eastAsia="方正小标宋简体" w:cs="Times New Roman"/>
          <w:b w:val="0"/>
          <w:bCs/>
          <w:color w:val="auto"/>
          <w:sz w:val="44"/>
          <w:szCs w:val="48"/>
          <w:lang w:eastAsia="zh-CN"/>
        </w:rPr>
      </w:pPr>
      <w:bookmarkStart w:id="0" w:name="_Toc13048"/>
      <w:bookmarkStart w:id="1" w:name="_Toc12723"/>
      <w:bookmarkStart w:id="2" w:name="_Toc7687"/>
      <w:bookmarkStart w:id="3" w:name="_Toc30315"/>
      <w:bookmarkStart w:id="4" w:name="_Toc10933"/>
      <w:r>
        <w:rPr>
          <w:rFonts w:hint="default" w:ascii="Times New Roman" w:hAnsi="Times New Roman" w:eastAsia="方正小标宋简体" w:cs="Times New Roman"/>
          <w:b w:val="0"/>
          <w:bCs/>
          <w:color w:val="auto"/>
          <w:sz w:val="44"/>
          <w:szCs w:val="48"/>
          <w:lang w:eastAsia="zh-CN"/>
        </w:rPr>
        <w:t>环境保护规划</w:t>
      </w:r>
      <w:bookmarkEnd w:id="0"/>
      <w:bookmarkEnd w:id="1"/>
      <w:bookmarkEnd w:id="2"/>
      <w:bookmarkEnd w:id="3"/>
      <w:bookmarkEnd w:id="4"/>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jc w:val="center"/>
        <w:rPr>
          <w:rFonts w:hint="default" w:ascii="Times New Roman" w:hAnsi="Times New Roman" w:eastAsia="方正小标宋简体" w:cs="Times New Roman"/>
          <w:b w:val="0"/>
          <w:bCs/>
          <w:color w:val="auto"/>
          <w:sz w:val="44"/>
          <w:szCs w:val="48"/>
          <w:lang w:eastAsia="zh-CN"/>
        </w:rPr>
      </w:pPr>
    </w:p>
    <w:p>
      <w:pPr>
        <w:spacing w:before="312" w:after="156"/>
        <w:jc w:val="center"/>
        <w:rPr>
          <w:rFonts w:hint="default" w:ascii="Times New Roman" w:hAnsi="Times New Roman" w:eastAsia="方正小标宋简体" w:cs="Times New Roman"/>
          <w:b w:val="0"/>
          <w:bCs/>
          <w:color w:val="auto"/>
          <w:sz w:val="32"/>
          <w:szCs w:val="32"/>
        </w:rPr>
      </w:pPr>
      <w:r>
        <w:rPr>
          <w:rFonts w:hint="default" w:ascii="Times New Roman" w:hAnsi="Times New Roman" w:eastAsia="方正小标宋简体" w:cs="Times New Roman"/>
          <w:b w:val="0"/>
          <w:bCs/>
          <w:color w:val="auto"/>
          <w:sz w:val="32"/>
          <w:szCs w:val="32"/>
          <w:lang w:eastAsia="zh-CN"/>
        </w:rPr>
        <w:t>攀枝花</w:t>
      </w:r>
      <w:r>
        <w:rPr>
          <w:rFonts w:hint="default" w:ascii="Times New Roman" w:hAnsi="Times New Roman" w:eastAsia="方正小标宋简体" w:cs="Times New Roman"/>
          <w:b w:val="0"/>
          <w:bCs/>
          <w:color w:val="auto"/>
          <w:sz w:val="32"/>
          <w:szCs w:val="32"/>
        </w:rPr>
        <w:t>市生态环境局</w:t>
      </w:r>
    </w:p>
    <w:p>
      <w:pPr>
        <w:spacing w:before="312" w:after="156"/>
        <w:jc w:val="center"/>
        <w:rPr>
          <w:rFonts w:hint="default" w:ascii="Times New Roman" w:hAnsi="Times New Roman" w:eastAsia="方正小标宋简体" w:cs="Times New Roman"/>
          <w:b w:val="0"/>
          <w:bCs/>
          <w:color w:val="auto"/>
          <w:sz w:val="32"/>
          <w:szCs w:val="32"/>
        </w:rPr>
      </w:pPr>
      <w:bookmarkStart w:id="5" w:name="_Toc86829134"/>
      <w:r>
        <w:rPr>
          <w:rFonts w:hint="default" w:ascii="Times New Roman" w:hAnsi="Times New Roman" w:eastAsia="方正小标宋简体" w:cs="Times New Roman"/>
          <w:b w:val="0"/>
          <w:bCs/>
          <w:color w:val="auto"/>
          <w:sz w:val="32"/>
          <w:szCs w:val="32"/>
        </w:rPr>
        <w:t>202</w:t>
      </w:r>
      <w:r>
        <w:rPr>
          <w:rFonts w:hint="default" w:ascii="Times New Roman" w:hAnsi="Times New Roman" w:eastAsia="方正小标宋简体" w:cs="Times New Roman"/>
          <w:b w:val="0"/>
          <w:bCs/>
          <w:color w:val="auto"/>
          <w:sz w:val="32"/>
          <w:szCs w:val="32"/>
          <w:lang w:val="en-US" w:eastAsia="zh-CN"/>
        </w:rPr>
        <w:t>3</w:t>
      </w:r>
      <w:r>
        <w:rPr>
          <w:rFonts w:hint="default" w:ascii="Times New Roman" w:hAnsi="Times New Roman" w:eastAsia="方正小标宋简体" w:cs="Times New Roman"/>
          <w:b w:val="0"/>
          <w:bCs/>
          <w:color w:val="auto"/>
          <w:sz w:val="32"/>
          <w:szCs w:val="32"/>
        </w:rPr>
        <w:t>年</w:t>
      </w:r>
      <w:r>
        <w:rPr>
          <w:rFonts w:hint="eastAsia" w:ascii="Times New Roman" w:hAnsi="Times New Roman" w:eastAsia="方正小标宋简体" w:cs="Times New Roman"/>
          <w:b w:val="0"/>
          <w:bCs/>
          <w:color w:val="auto"/>
          <w:sz w:val="32"/>
          <w:szCs w:val="32"/>
          <w:lang w:val="en-US" w:eastAsia="zh-CN"/>
        </w:rPr>
        <w:t>12</w:t>
      </w:r>
      <w:r>
        <w:rPr>
          <w:rFonts w:hint="default" w:ascii="Times New Roman" w:hAnsi="Times New Roman" w:eastAsia="方正小标宋简体" w:cs="Times New Roman"/>
          <w:b w:val="0"/>
          <w:bCs/>
          <w:color w:val="auto"/>
          <w:sz w:val="32"/>
          <w:szCs w:val="32"/>
        </w:rPr>
        <w:t>月</w:t>
      </w:r>
      <w:bookmarkEnd w:id="5"/>
    </w:p>
    <w:p>
      <w:pPr>
        <w:pStyle w:val="16"/>
        <w:rPr>
          <w:rFonts w:hint="default" w:ascii="Times New Roman" w:hAnsi="Times New Roman" w:eastAsia="方正小标宋简体" w:cs="Times New Roman"/>
          <w:b w:val="0"/>
          <w:bCs/>
          <w:color w:val="auto"/>
          <w:sz w:val="32"/>
          <w:szCs w:val="32"/>
        </w:rPr>
      </w:pPr>
    </w:p>
    <w:p>
      <w:pPr>
        <w:pStyle w:val="10"/>
        <w:rPr>
          <w:rFonts w:hint="default" w:ascii="Times New Roman" w:hAnsi="Times New Roman" w:eastAsia="方正小标宋简体" w:cs="Times New Roman"/>
          <w:b w:val="0"/>
          <w:bCs/>
          <w:color w:val="auto"/>
          <w:sz w:val="32"/>
          <w:szCs w:val="32"/>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0"/>
        <w:jc w:val="center"/>
        <w:outlineLvl w:val="0"/>
        <w:rPr>
          <w:rFonts w:hint="default" w:ascii="Times New Roman" w:hAnsi="Times New Roman" w:eastAsia="方正小标宋简体" w:cs="Times New Roman"/>
          <w:b w:val="0"/>
          <w:bCs/>
          <w:color w:val="auto"/>
          <w:sz w:val="44"/>
          <w:szCs w:val="44"/>
          <w:lang w:eastAsia="zh-CN"/>
        </w:rPr>
      </w:pPr>
      <w:bookmarkStart w:id="6" w:name="_Toc30137"/>
      <w:bookmarkStart w:id="7" w:name="_Toc6334"/>
      <w:bookmarkStart w:id="8" w:name="_Toc21236"/>
      <w:bookmarkStart w:id="9" w:name="_Toc17114"/>
      <w:bookmarkStart w:id="10" w:name="_Toc14618"/>
      <w:r>
        <w:rPr>
          <w:rFonts w:hint="default" w:ascii="Times New Roman" w:hAnsi="Times New Roman" w:eastAsia="方正小标宋简体" w:cs="Times New Roman"/>
          <w:b w:val="0"/>
          <w:bCs/>
          <w:color w:val="auto"/>
          <w:sz w:val="44"/>
          <w:szCs w:val="44"/>
          <w:lang w:eastAsia="zh-CN"/>
        </w:rPr>
        <w:t>前</w:t>
      </w:r>
      <w:r>
        <w:rPr>
          <w:rFonts w:hint="default" w:ascii="Times New Roman" w:hAnsi="Times New Roman" w:eastAsia="方正小标宋简体" w:cs="Times New Roman"/>
          <w:b w:val="0"/>
          <w:bCs/>
          <w:color w:val="auto"/>
          <w:sz w:val="44"/>
          <w:szCs w:val="44"/>
          <w:lang w:val="en-US" w:eastAsia="zh-CN"/>
        </w:rPr>
        <w:t xml:space="preserve">  </w:t>
      </w:r>
      <w:r>
        <w:rPr>
          <w:rFonts w:hint="default" w:ascii="Times New Roman" w:hAnsi="Times New Roman" w:eastAsia="方正小标宋简体" w:cs="Times New Roman"/>
          <w:b w:val="0"/>
          <w:bCs/>
          <w:color w:val="auto"/>
          <w:sz w:val="44"/>
          <w:szCs w:val="44"/>
          <w:lang w:eastAsia="zh-CN"/>
        </w:rPr>
        <w:t>言</w:t>
      </w:r>
      <w:bookmarkEnd w:id="6"/>
      <w:bookmarkEnd w:id="7"/>
      <w:bookmarkEnd w:id="8"/>
      <w:bookmarkEnd w:id="9"/>
      <w:bookmarkEnd w:id="10"/>
    </w:p>
    <w:p>
      <w:pPr>
        <w:pStyle w:val="10"/>
        <w:jc w:val="center"/>
        <w:rPr>
          <w:rFonts w:hint="default" w:ascii="Times New Roman" w:hAnsi="Times New Roman" w:eastAsia="方正小标宋简体" w:cs="Times New Roman"/>
          <w:b w:val="0"/>
          <w:bCs/>
          <w:color w:val="auto"/>
          <w:sz w:val="44"/>
          <w:szCs w:val="44"/>
          <w:lang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饮用水安全关系人民群众身体健康和经济社会可持续发展，切实保障饮用水安全是落实科学发展观和维护人民群众根本利益的基本要求。为攀枝花市人民提供安全放心的饮用水，保障经济健康持续发展，必须坚定不移持续强化饮用水水源地保护。为有序推进饮用水水源地保护工作，</w:t>
      </w:r>
      <w:r>
        <w:rPr>
          <w:rFonts w:hint="default" w:ascii="Times New Roman" w:hAnsi="Times New Roman" w:eastAsia="仿宋_GB2312" w:cs="Times New Roman"/>
          <w:color w:val="auto"/>
          <w:sz w:val="32"/>
          <w:szCs w:val="32"/>
        </w:rPr>
        <w:t>依据《中华人民共和国水污染防治法》，以习近平新时代中国特色社会主义思想为指导，全面贯彻党的十九大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二十大会议</w:t>
      </w:r>
      <w:r>
        <w:rPr>
          <w:rFonts w:hint="default" w:ascii="Times New Roman" w:hAnsi="Times New Roman" w:eastAsia="仿宋_GB2312" w:cs="Times New Roman"/>
          <w:color w:val="auto"/>
          <w:sz w:val="32"/>
          <w:szCs w:val="32"/>
        </w:rPr>
        <w:t>精神，按照《四川省饮用水水源保护管理条例》《四川省“十四五”饮用水水源环境保护规划》</w:t>
      </w:r>
      <w:r>
        <w:rPr>
          <w:rFonts w:hint="default" w:ascii="Times New Roman" w:hAnsi="Times New Roman" w:eastAsia="仿宋_GB2312" w:cs="Times New Roman"/>
          <w:b w:val="0"/>
          <w:bCs w:val="0"/>
          <w:color w:val="auto"/>
          <w:sz w:val="32"/>
          <w:szCs w:val="32"/>
        </w:rPr>
        <w:t>《攀枝花市“十四五”水安全保障规划》《攀枝花市“十四五”生态环境保护规划》</w:t>
      </w:r>
      <w:r>
        <w:rPr>
          <w:rFonts w:hint="default" w:ascii="Times New Roman" w:hAnsi="Times New Roman" w:eastAsia="仿宋_GB2312" w:cs="Times New Roman"/>
          <w:color w:val="auto"/>
          <w:sz w:val="32"/>
          <w:szCs w:val="32"/>
        </w:rPr>
        <w:t>等相关规划及文件要求，制定本规划。</w:t>
      </w:r>
    </w:p>
    <w:p>
      <w:pPr>
        <w:pStyle w:val="10"/>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规划</w:t>
      </w:r>
      <w:r>
        <w:rPr>
          <w:rFonts w:hint="default" w:ascii="Times New Roman" w:hAnsi="Times New Roman" w:eastAsia="仿宋_GB2312" w:cs="Times New Roman"/>
          <w:color w:val="auto"/>
          <w:sz w:val="32"/>
          <w:szCs w:val="32"/>
        </w:rPr>
        <w:t>总结</w:t>
      </w:r>
      <w:r>
        <w:rPr>
          <w:rFonts w:hint="default" w:ascii="Times New Roman" w:hAnsi="Times New Roman" w:eastAsia="仿宋_GB2312" w:cs="Times New Roman"/>
          <w:color w:val="auto"/>
          <w:sz w:val="32"/>
          <w:szCs w:val="32"/>
          <w:lang w:eastAsia="zh-CN"/>
        </w:rPr>
        <w:t>攀枝花市前期</w:t>
      </w:r>
      <w:r>
        <w:rPr>
          <w:rFonts w:hint="default" w:ascii="Times New Roman" w:hAnsi="Times New Roman" w:eastAsia="仿宋_GB2312" w:cs="Times New Roman"/>
          <w:color w:val="auto"/>
          <w:sz w:val="32"/>
          <w:szCs w:val="32"/>
        </w:rPr>
        <w:t>饮用水水源环境保护和污染防治的工作成效，</w:t>
      </w:r>
      <w:r>
        <w:rPr>
          <w:rFonts w:hint="default" w:ascii="Times New Roman" w:hAnsi="Times New Roman" w:eastAsia="仿宋_GB2312" w:cs="Times New Roman"/>
          <w:color w:val="auto"/>
          <w:sz w:val="32"/>
          <w:szCs w:val="32"/>
          <w:lang w:val="en-US" w:eastAsia="zh-CN"/>
        </w:rPr>
        <w:t>识别需要重点解决的问题</w:t>
      </w:r>
      <w:r>
        <w:rPr>
          <w:rFonts w:hint="default" w:ascii="Times New Roman" w:hAnsi="Times New Roman" w:eastAsia="仿宋_GB2312" w:cs="Times New Roman"/>
          <w:color w:val="auto"/>
          <w:sz w:val="32"/>
          <w:szCs w:val="32"/>
          <w:lang w:eastAsia="zh-CN"/>
        </w:rPr>
        <w:t>，在此基础上</w:t>
      </w:r>
      <w:r>
        <w:rPr>
          <w:rFonts w:hint="default" w:ascii="Times New Roman" w:hAnsi="Times New Roman" w:eastAsia="仿宋_GB2312" w:cs="Times New Roman"/>
          <w:color w:val="auto"/>
          <w:sz w:val="32"/>
          <w:szCs w:val="32"/>
        </w:rPr>
        <w:t>识别需要重点解决的问题，提出</w:t>
      </w:r>
      <w:r>
        <w:rPr>
          <w:rFonts w:hint="default" w:ascii="Times New Roman" w:hAnsi="Times New Roman" w:eastAsia="仿宋_GB2312" w:cs="Times New Roman"/>
          <w:color w:val="auto"/>
          <w:sz w:val="32"/>
          <w:szCs w:val="32"/>
          <w:lang w:eastAsia="zh-CN"/>
        </w:rPr>
        <w:t>攀枝花</w:t>
      </w:r>
      <w:r>
        <w:rPr>
          <w:rFonts w:hint="default" w:ascii="Times New Roman" w:hAnsi="Times New Roman" w:eastAsia="仿宋_GB2312" w:cs="Times New Roman"/>
          <w:color w:val="auto"/>
          <w:sz w:val="32"/>
          <w:szCs w:val="32"/>
        </w:rPr>
        <w:t>市“十四五”时期饮用水水源环境保护和污染防治工作的指导思想、基本原则、规划范围、规划期限、规划目标、主要任务、重点工程和保障措施，切实提高规划编制的前瞻性、科学性和可操作性，使本规划成为指导全市未来五年饮用水水源环境保护和污染防治工作、建设新时代</w:t>
      </w:r>
      <w:r>
        <w:rPr>
          <w:rFonts w:hint="default" w:ascii="Times New Roman" w:hAnsi="Times New Roman" w:eastAsia="仿宋_GB2312" w:cs="Times New Roman"/>
          <w:color w:val="auto"/>
          <w:sz w:val="32"/>
          <w:szCs w:val="32"/>
          <w:lang w:eastAsia="zh-CN"/>
        </w:rPr>
        <w:t>阳光花城</w:t>
      </w:r>
      <w:r>
        <w:rPr>
          <w:rFonts w:hint="default" w:ascii="Times New Roman" w:hAnsi="Times New Roman" w:eastAsia="仿宋_GB2312" w:cs="Times New Roman"/>
          <w:color w:val="auto"/>
          <w:sz w:val="32"/>
          <w:szCs w:val="32"/>
        </w:rPr>
        <w:t>的行动纲领。</w:t>
      </w:r>
    </w:p>
    <w:p>
      <w:pPr>
        <w:pStyle w:val="10"/>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color w:val="auto"/>
          <w:sz w:val="32"/>
          <w:szCs w:val="32"/>
          <w:lang w:eastAsia="zh-CN"/>
        </w:rPr>
      </w:pPr>
    </w:p>
    <w:p>
      <w:pPr>
        <w:spacing w:before="0" w:beforeLines="0" w:after="0" w:afterLines="0" w:line="240" w:lineRule="auto"/>
        <w:ind w:left="0" w:leftChars="0" w:right="0" w:rightChars="0" w:firstLine="0" w:firstLineChars="0"/>
        <w:jc w:val="center"/>
        <w:rPr>
          <w:rFonts w:hint="default" w:ascii="Times New Roman" w:hAnsi="Times New Roman" w:cs="Times New Roman"/>
          <w:color w:val="auto"/>
          <w:lang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2"/>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880" w:firstLineChars="200"/>
        <w:jc w:val="center"/>
        <w:textAlignment w:val="auto"/>
        <w:outlineLvl w:val="0"/>
        <w:rPr>
          <w:rFonts w:hint="default" w:ascii="Times New Roman" w:hAnsi="Times New Roman" w:eastAsia="方正小标宋简体" w:cs="Times New Roman"/>
          <w:b w:val="0"/>
          <w:bCs/>
          <w:color w:val="auto"/>
          <w:sz w:val="44"/>
          <w:szCs w:val="44"/>
          <w:lang w:eastAsia="zh-CN"/>
        </w:rPr>
      </w:pPr>
      <w:bookmarkStart w:id="11" w:name="_Toc22894"/>
      <w:bookmarkStart w:id="12" w:name="_Toc18100"/>
      <w:bookmarkStart w:id="13" w:name="_Toc9813"/>
      <w:bookmarkStart w:id="14" w:name="_Toc116136553"/>
      <w:bookmarkStart w:id="15" w:name="_Toc18070"/>
      <w:r>
        <w:rPr>
          <w:rFonts w:hint="default" w:ascii="Times New Roman" w:hAnsi="Times New Roman" w:eastAsia="方正小标宋简体" w:cs="Times New Roman"/>
          <w:b w:val="0"/>
          <w:bCs/>
          <w:color w:val="auto"/>
          <w:sz w:val="44"/>
          <w:szCs w:val="44"/>
          <w:lang w:eastAsia="zh-CN"/>
        </w:rPr>
        <w:t>目</w:t>
      </w:r>
      <w:r>
        <w:rPr>
          <w:rFonts w:hint="default" w:ascii="Times New Roman" w:hAnsi="Times New Roman" w:eastAsia="方正小标宋简体" w:cs="Times New Roman"/>
          <w:b w:val="0"/>
          <w:bCs/>
          <w:color w:val="auto"/>
          <w:sz w:val="44"/>
          <w:szCs w:val="44"/>
          <w:lang w:val="en-US" w:eastAsia="zh-CN"/>
        </w:rPr>
        <w:t xml:space="preserve"> </w:t>
      </w:r>
      <w:r>
        <w:rPr>
          <w:rFonts w:hint="default" w:ascii="Times New Roman" w:hAnsi="Times New Roman" w:eastAsia="方正小标宋简体" w:cs="Times New Roman"/>
          <w:b w:val="0"/>
          <w:bCs/>
          <w:color w:val="auto"/>
          <w:sz w:val="44"/>
          <w:szCs w:val="44"/>
          <w:lang w:eastAsia="zh-CN"/>
        </w:rPr>
        <w:t>录</w:t>
      </w:r>
      <w:bookmarkEnd w:id="11"/>
      <w:bookmarkEnd w:id="12"/>
      <w:bookmarkEnd w:id="13"/>
    </w:p>
    <w:p>
      <w:pPr>
        <w:pStyle w:val="13"/>
        <w:tabs>
          <w:tab w:val="right" w:leader="dot" w:pos="8845"/>
        </w:tabs>
        <w:rPr>
          <w:rFonts w:hint="default" w:ascii="Times New Roman" w:hAnsi="Times New Roman" w:cs="Times New Roman"/>
          <w:color w:val="auto"/>
        </w:rPr>
      </w:pPr>
      <w:r>
        <w:rPr>
          <w:rFonts w:hint="default" w:ascii="Times New Roman" w:hAnsi="Times New Roman" w:eastAsia="黑体" w:cs="Times New Roman"/>
          <w:b w:val="0"/>
          <w:bCs/>
          <w:color w:val="auto"/>
          <w:sz w:val="32"/>
          <w:szCs w:val="32"/>
        </w:rPr>
        <w:fldChar w:fldCharType="begin"/>
      </w:r>
      <w:r>
        <w:rPr>
          <w:rFonts w:hint="default" w:ascii="Times New Roman" w:hAnsi="Times New Roman" w:eastAsia="黑体" w:cs="Times New Roman"/>
          <w:b w:val="0"/>
          <w:bCs/>
          <w:color w:val="auto"/>
          <w:sz w:val="32"/>
          <w:szCs w:val="32"/>
        </w:rPr>
        <w:instrText xml:space="preserve">TOC \o "1-3" \h \u </w:instrText>
      </w:r>
      <w:r>
        <w:rPr>
          <w:rFonts w:hint="default" w:ascii="Times New Roman" w:hAnsi="Times New Roman" w:eastAsia="黑体" w:cs="Times New Roman"/>
          <w:b w:val="0"/>
          <w:bCs/>
          <w:color w:val="auto"/>
          <w:sz w:val="32"/>
          <w:szCs w:val="32"/>
        </w:rPr>
        <w:fldChar w:fldCharType="separate"/>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_Toc9445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一、区域概况</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_Toc9445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_Toc9404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（一）城市概况</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_Toc9404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_Toc27796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（二）地形地貌</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_Toc27796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_Toc20769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（三）</w:t>
      </w:r>
      <w:r>
        <w:rPr>
          <w:rFonts w:hint="default" w:ascii="Times New Roman" w:hAnsi="Times New Roman" w:eastAsia="楷体" w:cs="Times New Roman"/>
          <w:bCs/>
          <w:color w:val="auto"/>
          <w:sz w:val="28"/>
          <w:szCs w:val="28"/>
          <w:lang w:eastAsia="zh-CN"/>
        </w:rPr>
        <w:t>气候条件</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_Toc20769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_Toc30894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w:t>
      </w:r>
      <w:r>
        <w:rPr>
          <w:rFonts w:hint="default" w:ascii="Times New Roman" w:hAnsi="Times New Roman" w:eastAsia="楷体" w:cs="Times New Roman"/>
          <w:bCs/>
          <w:color w:val="auto"/>
          <w:sz w:val="28"/>
          <w:szCs w:val="28"/>
          <w:lang w:eastAsia="zh-CN"/>
        </w:rPr>
        <w:t>四</w:t>
      </w:r>
      <w:r>
        <w:rPr>
          <w:rFonts w:hint="default" w:ascii="Times New Roman" w:hAnsi="Times New Roman" w:eastAsia="楷体" w:cs="Times New Roman"/>
          <w:bCs/>
          <w:color w:val="auto"/>
          <w:sz w:val="28"/>
          <w:szCs w:val="28"/>
        </w:rPr>
        <w:t>）水资源</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_Toc30894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_Toc9753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w:t>
      </w:r>
      <w:r>
        <w:rPr>
          <w:rFonts w:hint="default" w:ascii="Times New Roman" w:hAnsi="Times New Roman" w:eastAsia="楷体" w:cs="Times New Roman"/>
          <w:bCs/>
          <w:color w:val="auto"/>
          <w:sz w:val="28"/>
          <w:szCs w:val="28"/>
          <w:lang w:eastAsia="zh-CN"/>
        </w:rPr>
        <w:t>五</w:t>
      </w:r>
      <w:r>
        <w:rPr>
          <w:rFonts w:hint="default" w:ascii="Times New Roman" w:hAnsi="Times New Roman" w:eastAsia="楷体" w:cs="Times New Roman"/>
          <w:bCs/>
          <w:color w:val="auto"/>
          <w:sz w:val="28"/>
          <w:szCs w:val="28"/>
        </w:rPr>
        <w:t>）水环境质量</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_Toc9753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5</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_Toc1686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（六）</w:t>
      </w:r>
      <w:r>
        <w:rPr>
          <w:rFonts w:hint="default" w:ascii="Times New Roman" w:hAnsi="Times New Roman" w:eastAsia="楷体" w:cs="Times New Roman"/>
          <w:bCs/>
          <w:color w:val="auto"/>
          <w:sz w:val="28"/>
          <w:szCs w:val="28"/>
        </w:rPr>
        <w:t>城乡供水</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_Toc1686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6</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_Toc27667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二、水源保护现状</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_Toc27667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7</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_Toc9007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（一）饮用水水源基本情况</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_Toc9007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7</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_Toc4563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（二）</w:t>
      </w:r>
      <w:r>
        <w:rPr>
          <w:rFonts w:hint="default" w:ascii="Times New Roman" w:hAnsi="Times New Roman" w:eastAsia="楷体" w:cs="Times New Roman"/>
          <w:bCs/>
          <w:color w:val="auto"/>
          <w:sz w:val="28"/>
          <w:szCs w:val="28"/>
          <w:lang w:eastAsia="zh-CN"/>
        </w:rPr>
        <w:t>回顾</w:t>
      </w:r>
      <w:r>
        <w:rPr>
          <w:rFonts w:hint="default" w:ascii="Times New Roman" w:hAnsi="Times New Roman" w:eastAsia="楷体" w:cs="Times New Roman"/>
          <w:bCs/>
          <w:color w:val="auto"/>
          <w:sz w:val="28"/>
          <w:szCs w:val="28"/>
        </w:rPr>
        <w:t>水源保护工作</w:t>
      </w:r>
      <w:r>
        <w:rPr>
          <w:rFonts w:hint="default" w:ascii="Times New Roman" w:hAnsi="Times New Roman" w:eastAsia="楷体" w:cs="Times New Roman"/>
          <w:bCs/>
          <w:color w:val="auto"/>
          <w:sz w:val="28"/>
          <w:szCs w:val="28"/>
          <w:lang w:eastAsia="zh-CN"/>
        </w:rPr>
        <w:t>成效</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_Toc4563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8</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_Toc27121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（三）问题与不足</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_Toc27121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_Toc5543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三、总体要求</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_Toc5543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12</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_Toc21953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（一）指导思想</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_Toc21953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12</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_Toc28015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（二）基本原则</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_Toc28015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13</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_Toc31079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（三）规划期限</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_Toc31079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14</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_Toc2984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（四）编制依据</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_Toc2984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14</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_Toc25816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（五）</w:t>
      </w:r>
      <w:r>
        <w:rPr>
          <w:rFonts w:hint="default" w:ascii="Times New Roman" w:hAnsi="Times New Roman" w:eastAsia="楷体" w:cs="Times New Roman"/>
          <w:bCs/>
          <w:color w:val="auto"/>
          <w:sz w:val="28"/>
          <w:szCs w:val="28"/>
          <w:lang w:val="en-US" w:eastAsia="zh-CN"/>
        </w:rPr>
        <w:t>与相关规划协调性分析</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_Toc25816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17</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_Toc21023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w:t>
      </w:r>
      <w:r>
        <w:rPr>
          <w:rFonts w:hint="default" w:ascii="Times New Roman" w:hAnsi="Times New Roman" w:eastAsia="楷体" w:cs="Times New Roman"/>
          <w:bCs/>
          <w:color w:val="auto"/>
          <w:sz w:val="28"/>
          <w:szCs w:val="28"/>
          <w:lang w:val="en-US" w:eastAsia="zh-CN"/>
        </w:rPr>
        <w:t>六</w:t>
      </w:r>
      <w:r>
        <w:rPr>
          <w:rFonts w:hint="default" w:ascii="Times New Roman" w:hAnsi="Times New Roman" w:eastAsia="楷体" w:cs="Times New Roman"/>
          <w:bCs/>
          <w:color w:val="auto"/>
          <w:sz w:val="28"/>
          <w:szCs w:val="28"/>
        </w:rPr>
        <w:t>）规划范围</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_Toc21023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23</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_Toc26032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w:t>
      </w:r>
      <w:r>
        <w:rPr>
          <w:rFonts w:hint="default" w:ascii="Times New Roman" w:hAnsi="Times New Roman" w:eastAsia="楷体" w:cs="Times New Roman"/>
          <w:bCs/>
          <w:color w:val="auto"/>
          <w:sz w:val="28"/>
          <w:szCs w:val="28"/>
          <w:lang w:val="en-US" w:eastAsia="zh-CN"/>
        </w:rPr>
        <w:t>七</w:t>
      </w:r>
      <w:r>
        <w:rPr>
          <w:rFonts w:hint="default" w:ascii="Times New Roman" w:hAnsi="Times New Roman" w:eastAsia="楷体" w:cs="Times New Roman"/>
          <w:bCs/>
          <w:color w:val="auto"/>
          <w:sz w:val="28"/>
          <w:szCs w:val="28"/>
        </w:rPr>
        <w:t>）规划目标</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_Toc26032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24</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_Toc1789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四、主要任务</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_Toc1789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25</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_Toc1161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（一）优化饮用水水源布局</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_Toc1161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25</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_Toc18234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（二）深化水源地规范化建设</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_Toc18234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26</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_Toc28188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（三）持续推进环境问题整治</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_Toc28188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26</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_Toc2502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（四）提升监测预警能力</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_Toc2502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27</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_Toc11849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（五）夯实饮用水水源监管能力</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_Toc11849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28</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_Toc8426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（六）加强特殊水源保护</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_Toc8426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30</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_Toc5241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五、保障措施</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_Toc5241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30</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_Toc21416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（一）加强组织领导</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_Toc21416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_Toc5112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（二）落实资金保障</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_Toc5112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_Toc14117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（三）强化监督考核</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_Toc14117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_Toc18487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rPr>
        <w:t>（四）鼓励公众参与</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_Toc18487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32</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楷体" w:cs="Times New Roman"/>
          <w:bCs/>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_Toc28772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附图</w:t>
      </w:r>
      <w:r>
        <w:rPr>
          <w:rFonts w:hint="default" w:ascii="Times New Roman" w:hAnsi="Times New Roman" w:eastAsia="楷体" w:cs="Times New Roman"/>
          <w:bCs/>
          <w:color w:val="auto"/>
          <w:sz w:val="28"/>
          <w:szCs w:val="28"/>
          <w:lang w:val="en-US" w:eastAsia="zh-CN"/>
        </w:rPr>
        <w:t>1  攀枝花市行政区划图</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_Toc28772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33</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楷体" w:cs="Times New Roman"/>
          <w:bCs/>
          <w:color w:val="auto"/>
          <w:sz w:val="28"/>
          <w:szCs w:val="28"/>
          <w:lang w:val="en-US" w:eastAsia="zh-CN"/>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_Toc22907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附图</w:t>
      </w:r>
      <w:r>
        <w:rPr>
          <w:rFonts w:hint="default" w:ascii="Times New Roman" w:hAnsi="Times New Roman" w:eastAsia="楷体" w:cs="Times New Roman"/>
          <w:bCs/>
          <w:color w:val="auto"/>
          <w:sz w:val="28"/>
          <w:szCs w:val="28"/>
          <w:lang w:val="en-US" w:eastAsia="zh-CN"/>
        </w:rPr>
        <w:t>2  攀枝花市地形地貌</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lang w:val="en-US" w:eastAsia="zh-CN"/>
        </w:rPr>
        <w:t>3</w:t>
      </w:r>
      <w:r>
        <w:rPr>
          <w:rFonts w:hint="default" w:ascii="Times New Roman" w:hAnsi="Times New Roman" w:eastAsia="楷体" w:cs="Times New Roman"/>
          <w:bCs/>
          <w:color w:val="auto"/>
          <w:sz w:val="28"/>
          <w:szCs w:val="28"/>
        </w:rPr>
        <w:fldChar w:fldCharType="end"/>
      </w:r>
      <w:r>
        <w:rPr>
          <w:rFonts w:hint="eastAsia" w:ascii="Times New Roman" w:hAnsi="Times New Roman" w:eastAsia="楷体" w:cs="Times New Roman"/>
          <w:bCs/>
          <w:color w:val="auto"/>
          <w:sz w:val="28"/>
          <w:szCs w:val="28"/>
          <w:lang w:val="en-US" w:eastAsia="zh-CN"/>
        </w:rPr>
        <w:t>3</w:t>
      </w:r>
    </w:p>
    <w:p>
      <w:pPr>
        <w:pStyle w:val="15"/>
        <w:keepNext w:val="0"/>
        <w:keepLines w:val="0"/>
        <w:pageBreakBefore w:val="0"/>
        <w:widowControl w:val="0"/>
        <w:tabs>
          <w:tab w:val="right" w:leader="dot" w:pos="884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楷体" w:cs="Times New Roman"/>
          <w:bCs/>
          <w:color w:val="auto"/>
          <w:sz w:val="28"/>
          <w:szCs w:val="28"/>
          <w:lang w:val="en-US" w:eastAsia="zh-CN"/>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_Toc22907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附图</w:t>
      </w:r>
      <w:r>
        <w:rPr>
          <w:rFonts w:hint="default" w:ascii="Times New Roman" w:hAnsi="Times New Roman" w:eastAsia="楷体" w:cs="Times New Roman"/>
          <w:bCs/>
          <w:color w:val="auto"/>
          <w:sz w:val="28"/>
          <w:szCs w:val="28"/>
          <w:lang w:val="en-US" w:eastAsia="zh-CN"/>
        </w:rPr>
        <w:t>3  攀枝花市水系统</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lang w:val="en-US" w:eastAsia="zh-CN"/>
        </w:rPr>
        <w:t>3</w:t>
      </w:r>
      <w:r>
        <w:rPr>
          <w:rFonts w:hint="default" w:ascii="Times New Roman" w:hAnsi="Times New Roman" w:eastAsia="楷体" w:cs="Times New Roman"/>
          <w:bCs/>
          <w:color w:val="auto"/>
          <w:sz w:val="28"/>
          <w:szCs w:val="28"/>
        </w:rPr>
        <w:fldChar w:fldCharType="end"/>
      </w:r>
      <w:r>
        <w:rPr>
          <w:rFonts w:hint="eastAsia" w:ascii="Times New Roman" w:hAnsi="Times New Roman" w:eastAsia="楷体" w:cs="Times New Roman"/>
          <w:bCs/>
          <w:color w:val="auto"/>
          <w:sz w:val="28"/>
          <w:szCs w:val="28"/>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_Toc17438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附图</w:t>
      </w:r>
      <w:r>
        <w:rPr>
          <w:rFonts w:hint="default" w:ascii="Times New Roman" w:hAnsi="Times New Roman" w:eastAsia="楷体" w:cs="Times New Roman"/>
          <w:bCs/>
          <w:color w:val="auto"/>
          <w:sz w:val="28"/>
          <w:szCs w:val="28"/>
          <w:lang w:val="en-US" w:eastAsia="zh-CN"/>
        </w:rPr>
        <w:t>4  攀枝花市集中式饮用水水源分布图</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_Toc17438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36</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_Toc2270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附图</w:t>
      </w:r>
      <w:r>
        <w:rPr>
          <w:rFonts w:hint="default" w:ascii="Times New Roman" w:hAnsi="Times New Roman" w:eastAsia="楷体" w:cs="Times New Roman"/>
          <w:bCs/>
          <w:color w:val="auto"/>
          <w:sz w:val="28"/>
          <w:szCs w:val="28"/>
          <w:lang w:val="en-US" w:eastAsia="zh-CN"/>
        </w:rPr>
        <w:t>5  攀枝花市集中式饮用水水源重点工程分布图</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_Toc2270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37</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_Toc19658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1  集中式饮用水水源基本情况表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_Toc19658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38</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_Toc5295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2  集中式饮用水水源地保护区一览表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_Toc5295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41</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_Toc25460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3  应急备用水源清单表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_Toc25460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48</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_Toc8060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4  不达标水源清单表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_Toc8060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49</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_Toc24400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5  问题清单</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_Toc24400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50</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_Toc15678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6  集中式饮用水水源地对照问题改进措施一览表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_Toc15678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57</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_Toc8102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7  规划项目表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_Toc8102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72</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440" w:lineRule="exact"/>
        <w:textAlignment w:val="auto"/>
        <w:rPr>
          <w:rFonts w:hint="default" w:ascii="Times New Roman" w:hAnsi="Times New Roman" w:eastAsia="楷体" w:cs="Times New Roman"/>
          <w:color w:val="auto"/>
          <w:sz w:val="28"/>
          <w:szCs w:val="28"/>
        </w:rPr>
      </w:pPr>
      <w:r>
        <w:rPr>
          <w:rFonts w:hint="default" w:ascii="Times New Roman" w:hAnsi="Times New Roman" w:eastAsia="楷体" w:cs="Times New Roman"/>
          <w:bCs/>
          <w:color w:val="auto"/>
          <w:sz w:val="28"/>
          <w:szCs w:val="28"/>
        </w:rPr>
        <w:fldChar w:fldCharType="begin"/>
      </w:r>
      <w:r>
        <w:rPr>
          <w:rFonts w:hint="default" w:ascii="Times New Roman" w:hAnsi="Times New Roman" w:eastAsia="楷体" w:cs="Times New Roman"/>
          <w:bCs/>
          <w:color w:val="auto"/>
          <w:sz w:val="28"/>
          <w:szCs w:val="28"/>
        </w:rPr>
        <w:instrText xml:space="preserve"> HYPERLINK \l _Toc18059 </w:instrText>
      </w:r>
      <w:r>
        <w:rPr>
          <w:rFonts w:hint="default" w:ascii="Times New Roman" w:hAnsi="Times New Roman" w:eastAsia="楷体" w:cs="Times New Roman"/>
          <w:bCs/>
          <w:color w:val="auto"/>
          <w:sz w:val="28"/>
          <w:szCs w:val="28"/>
        </w:rPr>
        <w:fldChar w:fldCharType="separate"/>
      </w:r>
      <w:r>
        <w:rPr>
          <w:rFonts w:hint="default" w:ascii="Times New Roman" w:hAnsi="Times New Roman" w:eastAsia="楷体" w:cs="Times New Roman"/>
          <w:bCs/>
          <w:color w:val="auto"/>
          <w:sz w:val="28"/>
          <w:szCs w:val="28"/>
          <w:lang w:eastAsia="zh-CN"/>
        </w:rPr>
        <w:t>附表</w:t>
      </w:r>
      <w:r>
        <w:rPr>
          <w:rFonts w:hint="default" w:ascii="Times New Roman" w:hAnsi="Times New Roman" w:eastAsia="楷体" w:cs="Times New Roman"/>
          <w:bCs/>
          <w:color w:val="auto"/>
          <w:sz w:val="28"/>
          <w:szCs w:val="28"/>
          <w:lang w:val="en-US" w:eastAsia="zh-CN"/>
        </w:rPr>
        <w:t>8  规划项目投资汇总表</w:t>
      </w:r>
      <w:r>
        <w:rPr>
          <w:rFonts w:hint="default" w:ascii="Times New Roman" w:hAnsi="Times New Roman" w:eastAsia="楷体" w:cs="Times New Roman"/>
          <w:color w:val="auto"/>
          <w:sz w:val="28"/>
          <w:szCs w:val="28"/>
        </w:rPr>
        <w:tab/>
      </w:r>
      <w:r>
        <w:rPr>
          <w:rFonts w:hint="default" w:ascii="Times New Roman" w:hAnsi="Times New Roman" w:eastAsia="楷体" w:cs="Times New Roman"/>
          <w:color w:val="auto"/>
          <w:sz w:val="28"/>
          <w:szCs w:val="28"/>
        </w:rPr>
        <w:fldChar w:fldCharType="begin"/>
      </w:r>
      <w:r>
        <w:rPr>
          <w:rFonts w:hint="default" w:ascii="Times New Roman" w:hAnsi="Times New Roman" w:eastAsia="楷体" w:cs="Times New Roman"/>
          <w:color w:val="auto"/>
          <w:sz w:val="28"/>
          <w:szCs w:val="28"/>
        </w:rPr>
        <w:instrText xml:space="preserve"> PAGEREF _Toc18059 \h </w:instrText>
      </w:r>
      <w:r>
        <w:rPr>
          <w:rFonts w:hint="default" w:ascii="Times New Roman" w:hAnsi="Times New Roman" w:eastAsia="楷体" w:cs="Times New Roman"/>
          <w:color w:val="auto"/>
          <w:sz w:val="28"/>
          <w:szCs w:val="28"/>
        </w:rPr>
        <w:fldChar w:fldCharType="separate"/>
      </w:r>
      <w:r>
        <w:rPr>
          <w:rFonts w:hint="default" w:ascii="Times New Roman" w:hAnsi="Times New Roman" w:eastAsia="楷体" w:cs="Times New Roman"/>
          <w:color w:val="auto"/>
          <w:sz w:val="28"/>
          <w:szCs w:val="28"/>
        </w:rPr>
        <w:t>83</w:t>
      </w:r>
      <w:r>
        <w:rPr>
          <w:rFonts w:hint="default" w:ascii="Times New Roman" w:hAnsi="Times New Roman" w:eastAsia="楷体" w:cs="Times New Roman"/>
          <w:color w:val="auto"/>
          <w:sz w:val="28"/>
          <w:szCs w:val="28"/>
        </w:rPr>
        <w:fldChar w:fldCharType="end"/>
      </w:r>
      <w:r>
        <w:rPr>
          <w:rFonts w:hint="default" w:ascii="Times New Roman" w:hAnsi="Times New Roman" w:eastAsia="楷体" w:cs="Times New Roman"/>
          <w:bCs/>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200"/>
        <w:textAlignment w:val="auto"/>
        <w:outlineLvl w:val="0"/>
        <w:rPr>
          <w:rFonts w:hint="default" w:ascii="Times New Roman" w:hAnsi="Times New Roman" w:eastAsia="黑体" w:cs="Times New Roman"/>
          <w:bCs/>
          <w:color w:val="auto"/>
          <w:szCs w:val="32"/>
        </w:rPr>
      </w:pPr>
      <w:r>
        <w:rPr>
          <w:rFonts w:hint="default" w:ascii="Times New Roman" w:hAnsi="Times New Roman" w:eastAsia="黑体" w:cs="Times New Roman"/>
          <w:bCs/>
          <w:color w:val="auto"/>
          <w:szCs w:val="32"/>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200"/>
        <w:textAlignment w:val="auto"/>
        <w:outlineLvl w:val="0"/>
        <w:rPr>
          <w:rFonts w:hint="default" w:ascii="Times New Roman" w:hAnsi="Times New Roman" w:eastAsia="黑体" w:cs="Times New Roman"/>
          <w:bCs/>
          <w:color w:val="auto"/>
          <w:szCs w:val="32"/>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0"/>
        <w:rPr>
          <w:rFonts w:hint="default" w:ascii="Times New Roman" w:hAnsi="Times New Roman" w:eastAsia="黑体" w:cs="Times New Roman"/>
          <w:b w:val="0"/>
          <w:bCs/>
          <w:color w:val="auto"/>
          <w:sz w:val="32"/>
          <w:szCs w:val="32"/>
        </w:rPr>
      </w:pPr>
      <w:bookmarkStart w:id="16" w:name="_Toc9445"/>
      <w:r>
        <w:rPr>
          <w:rFonts w:hint="default" w:ascii="Times New Roman" w:hAnsi="Times New Roman" w:eastAsia="黑体" w:cs="Times New Roman"/>
          <w:b w:val="0"/>
          <w:bCs/>
          <w:color w:val="auto"/>
          <w:sz w:val="32"/>
          <w:szCs w:val="32"/>
        </w:rPr>
        <w:t>一、区域概况</w:t>
      </w:r>
      <w:bookmarkEnd w:id="14"/>
      <w:bookmarkEnd w:id="15"/>
      <w:bookmarkEnd w:id="16"/>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1"/>
        <w:rPr>
          <w:rFonts w:hint="default" w:ascii="Times New Roman" w:hAnsi="Times New Roman" w:eastAsia="楷体_GB2312" w:cs="Times New Roman"/>
          <w:b w:val="0"/>
          <w:bCs/>
          <w:color w:val="auto"/>
          <w:sz w:val="32"/>
          <w:szCs w:val="32"/>
        </w:rPr>
      </w:pPr>
      <w:bookmarkStart w:id="17" w:name="_Toc9404"/>
      <w:bookmarkStart w:id="18" w:name="_Toc116136554"/>
      <w:r>
        <w:rPr>
          <w:rFonts w:hint="default" w:ascii="Times New Roman" w:hAnsi="Times New Roman" w:eastAsia="楷体_GB2312" w:cs="Times New Roman"/>
          <w:b w:val="0"/>
          <w:bCs/>
          <w:color w:val="auto"/>
          <w:sz w:val="32"/>
          <w:szCs w:val="32"/>
        </w:rPr>
        <w:t>（一）城市概况</w:t>
      </w:r>
      <w:bookmarkEnd w:id="17"/>
      <w:bookmarkEnd w:id="18"/>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攀枝花市是全国唯一以花命名的城市，位于川西南、滇西北结合部，东、北面与四川省凉山彝族自治州的会理、德昌、盐源3县接壤，西、南面与云南省的宁蒗、华坪、永仁3县交界，幅员面积7414</w:t>
      </w:r>
      <w:r>
        <w:rPr>
          <w:rFonts w:hint="eastAsia" w:ascii="Times New Roman" w:hAnsi="Times New Roman" w:eastAsia="仿宋_GB2312" w:cs="Times New Roman"/>
          <w:color w:val="auto"/>
          <w:sz w:val="32"/>
          <w:szCs w:val="32"/>
          <w:lang w:val="en-US" w:eastAsia="zh-CN"/>
        </w:rPr>
        <w:t>km²</w:t>
      </w:r>
      <w:r>
        <w:rPr>
          <w:rFonts w:hint="default" w:ascii="Times New Roman" w:hAnsi="Times New Roman" w:eastAsia="仿宋_GB2312" w:cs="Times New Roman"/>
          <w:color w:val="auto"/>
          <w:sz w:val="32"/>
          <w:szCs w:val="32"/>
          <w:lang w:eastAsia="zh-CN"/>
        </w:rPr>
        <w:t>。北距成都749</w:t>
      </w:r>
      <w:r>
        <w:rPr>
          <w:rFonts w:hint="eastAsia" w:ascii="Times New Roman" w:hAnsi="Times New Roman" w:eastAsia="仿宋_GB2312" w:cs="Times New Roman"/>
          <w:color w:val="auto"/>
          <w:sz w:val="32"/>
          <w:szCs w:val="32"/>
          <w:lang w:val="en-US" w:eastAsia="zh-CN"/>
        </w:rPr>
        <w:t>km</w:t>
      </w:r>
      <w:r>
        <w:rPr>
          <w:rFonts w:hint="default" w:ascii="Times New Roman" w:hAnsi="Times New Roman" w:eastAsia="仿宋_GB2312" w:cs="Times New Roman"/>
          <w:color w:val="auto"/>
          <w:sz w:val="32"/>
          <w:szCs w:val="32"/>
          <w:lang w:eastAsia="zh-CN"/>
        </w:rPr>
        <w:t>，南接昆明351</w:t>
      </w:r>
      <w:r>
        <w:rPr>
          <w:rFonts w:hint="eastAsia" w:ascii="Times New Roman" w:hAnsi="Times New Roman" w:eastAsia="仿宋_GB2312" w:cs="Times New Roman"/>
          <w:color w:val="auto"/>
          <w:sz w:val="32"/>
          <w:szCs w:val="32"/>
          <w:lang w:val="en-US" w:eastAsia="zh-CN"/>
        </w:rPr>
        <w:t>km</w:t>
      </w:r>
      <w:r>
        <w:rPr>
          <w:rFonts w:hint="default" w:ascii="Times New Roman" w:hAnsi="Times New Roman" w:eastAsia="仿宋_GB2312" w:cs="Times New Roman"/>
          <w:color w:val="auto"/>
          <w:sz w:val="32"/>
          <w:szCs w:val="32"/>
          <w:lang w:eastAsia="zh-CN"/>
        </w:rPr>
        <w:t>，是四川省通往华南、东南亚沿边、沿海口岸的最近点，为“四川南向门户”上重要的交通枢纽和商贸物资集散地。</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eastAsia="zh-CN"/>
        </w:rPr>
        <w:t>攀枝花市辖东区、西区、仁和区、米易县和盐边县</w:t>
      </w:r>
      <w:r>
        <w:rPr>
          <w:rFonts w:hint="default" w:ascii="Times New Roman" w:hAnsi="Times New Roman" w:eastAsia="仿宋_GB2312" w:cs="Times New Roman"/>
          <w:color w:val="auto"/>
          <w:sz w:val="32"/>
          <w:szCs w:val="32"/>
        </w:rPr>
        <w:t>共</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区</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个街道办事处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22个镇、16个乡。攀枝花市</w:t>
      </w:r>
      <w:r>
        <w:rPr>
          <w:rFonts w:hint="default" w:ascii="Times New Roman" w:hAnsi="Times New Roman" w:eastAsia="仿宋_GB2312" w:cs="Times New Roman"/>
          <w:color w:val="auto"/>
          <w:sz w:val="32"/>
          <w:szCs w:val="32"/>
          <w:lang w:eastAsia="zh-CN"/>
        </w:rPr>
        <w:t>常住人口121.6万，工业化率47.4%、城镇化率为69.92%。</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1"/>
        <w:rPr>
          <w:rFonts w:hint="default" w:ascii="Times New Roman" w:hAnsi="Times New Roman" w:eastAsia="楷体" w:cs="Times New Roman"/>
          <w:b/>
          <w:color w:val="auto"/>
          <w:sz w:val="32"/>
          <w:szCs w:val="32"/>
        </w:rPr>
      </w:pPr>
      <w:bookmarkStart w:id="19" w:name="_Toc27796"/>
      <w:bookmarkStart w:id="20" w:name="_Toc116136555"/>
      <w:r>
        <w:rPr>
          <w:rFonts w:hint="default" w:ascii="Times New Roman" w:hAnsi="Times New Roman" w:eastAsia="楷体_GB2312" w:cs="Times New Roman"/>
          <w:b w:val="0"/>
          <w:bCs/>
          <w:color w:val="auto"/>
          <w:sz w:val="32"/>
          <w:szCs w:val="32"/>
        </w:rPr>
        <w:t>（二）地形地貌</w:t>
      </w:r>
      <w:bookmarkEnd w:id="19"/>
      <w:bookmarkEnd w:id="20"/>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攀枝花市地处攀西裂谷中南段，西跨横断山脉，东临大凉山山脉，北接大雪山，南抵金沙江，具有山高谷深，盆地交错分布的特点，属浸蚀、剥蚀中山丘陵、山原峡谷地貌，具有平坝、阶地、丘陵、低中山、中山和山原6种地貌类型，其中低中山和中山占88.4%。山脉走向近于南北，地势由西北向东南倾斜，相对高低悬殊，海拔高程在937～4195.5m之间。</w:t>
      </w:r>
    </w:p>
    <w:p>
      <w:pPr>
        <w:keepNext w:val="0"/>
        <w:keepLines w:val="0"/>
        <w:pageBreakBefore w:val="0"/>
        <w:widowControl w:val="0"/>
        <w:kinsoku/>
        <w:wordWrap/>
        <w:overflowPunct/>
        <w:topLinePunct w:val="0"/>
        <w:bidi w:val="0"/>
        <w:snapToGrid/>
        <w:spacing w:line="600" w:lineRule="exact"/>
        <w:ind w:firstLine="640" w:firstLineChars="200"/>
        <w:textAlignment w:val="auto"/>
        <w:outlineLvl w:val="1"/>
        <w:rPr>
          <w:rFonts w:hint="default" w:ascii="Times New Roman" w:hAnsi="Times New Roman" w:eastAsia="楷体_GB2312" w:cs="Times New Roman"/>
          <w:b/>
          <w:color w:val="auto"/>
          <w:sz w:val="32"/>
          <w:szCs w:val="32"/>
          <w:lang w:eastAsia="zh-CN"/>
        </w:rPr>
      </w:pPr>
      <w:bookmarkStart w:id="21" w:name="_Toc20769"/>
      <w:bookmarkStart w:id="22" w:name="_Toc116136556"/>
      <w:r>
        <w:rPr>
          <w:rFonts w:hint="default" w:ascii="Times New Roman" w:hAnsi="Times New Roman" w:eastAsia="楷体_GB2312" w:cs="Times New Roman"/>
          <w:b w:val="0"/>
          <w:bCs/>
          <w:color w:val="auto"/>
          <w:sz w:val="32"/>
          <w:szCs w:val="32"/>
        </w:rPr>
        <w:t>（三）</w:t>
      </w:r>
      <w:r>
        <w:rPr>
          <w:rFonts w:hint="default" w:ascii="Times New Roman" w:hAnsi="Times New Roman" w:eastAsia="楷体_GB2312" w:cs="Times New Roman"/>
          <w:b w:val="0"/>
          <w:bCs/>
          <w:color w:val="auto"/>
          <w:sz w:val="32"/>
          <w:szCs w:val="32"/>
          <w:lang w:eastAsia="zh-CN"/>
        </w:rPr>
        <w:t>气候条件</w:t>
      </w:r>
      <w:bookmarkEnd w:id="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bookmarkStart w:id="23" w:name="_Toc17116"/>
      <w:bookmarkStart w:id="24" w:name="_Toc16345"/>
      <w:r>
        <w:rPr>
          <w:rFonts w:hint="default" w:ascii="Times New Roman" w:hAnsi="Times New Roman" w:eastAsia="仿宋_GB2312" w:cs="Times New Roman"/>
          <w:color w:val="auto"/>
          <w:sz w:val="32"/>
          <w:szCs w:val="32"/>
        </w:rPr>
        <w:t>攀枝花市属以南亚热带为基带的“岛状”立体气候，有独特的光热资源优势。具有夏季长，四季不分明，旱雨季分明，昼夜温差大，气候干燥、降雨量集中（年总降雨量820</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1100毫米，集中在6~10月），日照长（全年2300</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2700小时），太阳辐射强（578~628kJ/cm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），蒸发量大（是降雨量的3倍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小气候复杂多样等特点。年平均气温19~21°C，是四川省年平均气温和总热量最高的地区。一般最热月出现在5月，最冷月出现在12月或1月。无霜期达300d以上。攀枝花市南亚热带至北温带的多种热量组合，形成多种动、植物共栖的生态环境，立体农业发展前景广阔。</w:t>
      </w:r>
      <w:bookmarkEnd w:id="23"/>
      <w:bookmarkEnd w:id="24"/>
    </w:p>
    <w:p>
      <w:pPr>
        <w:keepNext w:val="0"/>
        <w:keepLines w:val="0"/>
        <w:pageBreakBefore w:val="0"/>
        <w:widowControl w:val="0"/>
        <w:kinsoku/>
        <w:wordWrap/>
        <w:overflowPunct/>
        <w:topLinePunct w:val="0"/>
        <w:bidi w:val="0"/>
        <w:snapToGrid/>
        <w:spacing w:line="600" w:lineRule="exact"/>
        <w:ind w:firstLine="640" w:firstLineChars="200"/>
        <w:textAlignment w:val="auto"/>
        <w:outlineLvl w:val="1"/>
        <w:rPr>
          <w:rFonts w:hint="default" w:ascii="Times New Roman" w:hAnsi="Times New Roman" w:eastAsia="楷体" w:cs="Times New Roman"/>
          <w:b/>
          <w:color w:val="auto"/>
          <w:sz w:val="32"/>
          <w:szCs w:val="32"/>
        </w:rPr>
      </w:pPr>
      <w:bookmarkStart w:id="25" w:name="_Toc30894"/>
      <w:r>
        <w:rPr>
          <w:rFonts w:hint="default" w:ascii="Times New Roman" w:hAnsi="Times New Roman" w:eastAsia="楷体_GB2312" w:cs="Times New Roman"/>
          <w:b w:val="0"/>
          <w:bCs/>
          <w:color w:val="auto"/>
          <w:sz w:val="32"/>
          <w:szCs w:val="32"/>
        </w:rPr>
        <w:t>（</w:t>
      </w:r>
      <w:r>
        <w:rPr>
          <w:rFonts w:hint="default" w:ascii="Times New Roman" w:hAnsi="Times New Roman" w:eastAsia="楷体_GB2312" w:cs="Times New Roman"/>
          <w:b w:val="0"/>
          <w:bCs/>
          <w:color w:val="auto"/>
          <w:sz w:val="32"/>
          <w:szCs w:val="32"/>
          <w:lang w:eastAsia="zh-CN"/>
        </w:rPr>
        <w:t>四</w:t>
      </w:r>
      <w:r>
        <w:rPr>
          <w:rFonts w:hint="default" w:ascii="Times New Roman" w:hAnsi="Times New Roman" w:eastAsia="楷体_GB2312" w:cs="Times New Roman"/>
          <w:b w:val="0"/>
          <w:bCs/>
          <w:color w:val="auto"/>
          <w:sz w:val="32"/>
          <w:szCs w:val="32"/>
        </w:rPr>
        <w:t>）水资源</w:t>
      </w:r>
      <w:bookmarkEnd w:id="22"/>
      <w:bookmarkEnd w:id="25"/>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攀枝花全域均属金沙江水系，按当前水资源分区，可分为金沙江、雅砻江、安宁河流域，分别占市域面积的31%、51%、18%。受地形影响，相当部分河流为季节性冲沟，雨季有水，旱季干涸；常年有水的河流中，84条纳入河长制管理，其中流域面积大于500平方千米以上的8条，100—500平方千米的25条，50—100平方千米15条，5—50平方千米的小河流36条，承载全市社会经济发展主要河流为“两江一河”，即金沙江、雅砻江和安宁河。</w:t>
      </w:r>
      <w:r>
        <w:rPr>
          <w:rFonts w:hint="default" w:ascii="Times New Roman" w:hAnsi="Times New Roman" w:eastAsia="仿宋_GB2312" w:cs="Times New Roman"/>
          <w:color w:val="auto"/>
          <w:sz w:val="32"/>
          <w:szCs w:val="32"/>
        </w:rPr>
        <w:t>同时，随着水电、水利工程建设，全市共建成大小水库190余座（含水电站水库）。</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rPr>
        <w:t>主要河流</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金沙江：</w:t>
      </w:r>
      <w:r>
        <w:rPr>
          <w:rFonts w:hint="default" w:ascii="Times New Roman" w:hAnsi="Times New Roman" w:eastAsia="仿宋_GB2312" w:cs="Times New Roman"/>
          <w:color w:val="auto"/>
          <w:sz w:val="32"/>
          <w:szCs w:val="32"/>
        </w:rPr>
        <w:t>长江源头，发源于唐古拉山脉中段各拉丹东雪山姜根迪如峰南侧冰川，流经青海、西藏、四川、云南，于仁和区太平乡江边村由云南出境流入攀枝花市，</w:t>
      </w:r>
      <w:r>
        <w:rPr>
          <w:rFonts w:hint="eastAsia" w:ascii="Times New Roman" w:hAnsi="Times New Roman" w:eastAsia="仿宋_GB2312" w:cs="Times New Roman"/>
          <w:color w:val="auto"/>
          <w:sz w:val="32"/>
          <w:szCs w:val="32"/>
          <w:lang w:val="en-US" w:eastAsia="zh-CN"/>
        </w:rPr>
        <w:t>自西向东流经仁和区、西区、东区、盐边县，最终于仁和区平地镇波西村出境进入云南省，</w:t>
      </w:r>
      <w:r>
        <w:rPr>
          <w:rFonts w:hint="default" w:ascii="Times New Roman" w:hAnsi="Times New Roman" w:eastAsia="仿宋_GB2312" w:cs="Times New Roman"/>
          <w:color w:val="auto"/>
          <w:sz w:val="32"/>
          <w:szCs w:val="32"/>
        </w:rPr>
        <w:t>境内全长</w:t>
      </w:r>
      <w:r>
        <w:rPr>
          <w:rFonts w:hint="default" w:ascii="Times New Roman" w:hAnsi="Times New Roman" w:eastAsia="仿宋_GB2312" w:cs="Times New Roman"/>
          <w:color w:val="auto"/>
          <w:sz w:val="32"/>
          <w:szCs w:val="32"/>
          <w:lang w:val="en-US" w:eastAsia="zh-CN"/>
        </w:rPr>
        <w:t>130.14</w:t>
      </w:r>
      <w:r>
        <w:rPr>
          <w:rFonts w:hint="default" w:ascii="Times New Roman" w:hAnsi="Times New Roman" w:eastAsia="仿宋_GB2312" w:cs="Times New Roman"/>
          <w:color w:val="auto"/>
          <w:sz w:val="32"/>
          <w:szCs w:val="32"/>
        </w:rPr>
        <w:t>km，流域面积</w:t>
      </w:r>
      <w:r>
        <w:rPr>
          <w:rFonts w:hint="default" w:ascii="Times New Roman" w:hAnsi="Times New Roman" w:eastAsia="仿宋_GB2312" w:cs="Times New Roman"/>
          <w:color w:val="auto"/>
          <w:sz w:val="32"/>
          <w:szCs w:val="32"/>
          <w:lang w:val="en-US" w:eastAsia="zh-CN"/>
        </w:rPr>
        <w:t>1478</w:t>
      </w:r>
      <w:r>
        <w:rPr>
          <w:rFonts w:hint="default" w:ascii="Times New Roman" w:hAnsi="Times New Roman" w:eastAsia="仿宋_GB2312" w:cs="Times New Roman"/>
          <w:color w:val="auto"/>
          <w:sz w:val="32"/>
          <w:szCs w:val="32"/>
        </w:rPr>
        <w:t>km</w:t>
      </w:r>
      <w:r>
        <w:rPr>
          <w:rFonts w:hint="default" w:ascii="Times New Roman" w:hAnsi="Times New Roman" w:eastAsia="仿宋_GB2312" w:cs="Times New Roman"/>
          <w:color w:val="auto"/>
          <w:sz w:val="32"/>
          <w:szCs w:val="32"/>
          <w:vertAlign w:val="superscript"/>
        </w:rPr>
        <w:t>2</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最大支流为雅砻江，其它较大的支流有新庄河、摩挲河、岩羊河、巴拉河、大河、把关（三阳）河等。</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雅砻江：</w:t>
      </w:r>
      <w:r>
        <w:rPr>
          <w:rFonts w:hint="default" w:ascii="Times New Roman" w:hAnsi="Times New Roman" w:eastAsia="仿宋_GB2312" w:cs="Times New Roman"/>
          <w:color w:val="auto"/>
          <w:sz w:val="32"/>
          <w:szCs w:val="32"/>
        </w:rPr>
        <w:t>为金沙江左岸一级支流，是金沙江最大支流，发源于巴颜喀拉山南麓，经青海流入四川，流经甘孜州、凉山州，于市域北部米易县白坡乡大坪子由凉山州出境流入攀枝花市，沿程自北向南流经米易县、盐边县、东区，于东区银江镇倮果村汇入金沙江，境内全长97.92km，流域面积为3824km</w:t>
      </w:r>
      <w:r>
        <w:rPr>
          <w:rFonts w:hint="default" w:ascii="Times New Roman" w:hAnsi="Times New Roman" w:eastAsia="仿宋_GB2312" w:cs="Times New Roman"/>
          <w:color w:val="auto"/>
          <w:sz w:val="32"/>
          <w:szCs w:val="32"/>
          <w:vertAlign w:val="superscript"/>
        </w:rPr>
        <w:t>2</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最大支流为安宁河，其它较大的支流有藤桥河、三源河、红泥河和普威河等。</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安宁河：</w:t>
      </w:r>
      <w:r>
        <w:rPr>
          <w:rFonts w:hint="default" w:ascii="Times New Roman" w:hAnsi="Times New Roman" w:eastAsia="仿宋_GB2312" w:cs="Times New Roman"/>
          <w:color w:val="auto"/>
          <w:sz w:val="32"/>
          <w:szCs w:val="32"/>
        </w:rPr>
        <w:t>为雅砻江左岸一级支流，金沙江二级支流，发源于凉山州冕宁县东小相岭记牌山，流经凉山州的冕宁、西昌、</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"https://baike.baidu.com/item/%E5%BE%B7%E6%98%8C/2071400"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德昌</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三县市后，于米易县湾丘彝族乡乌龟石流入</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"https://baike.baidu.com/item/%E6%94%80%E6%9E%9D%E8%8A%B1%E5%B8%82/494060"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攀枝花市</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境内，流经</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"https://baike.baidu.com/item/%E7%B1%B3%E6%98%93%E5%8E%BF/3400087"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米易县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，后成为米易县与</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"https://baike.baidu.com/item/%E7%9B%90%E8%BE%B9"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盐边</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县部分界限，最后于米易县</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"https://baike.baidu.com/item/%E5%BE%97%E7%9F%B3%E9%95%87/4082301"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得石镇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"https://baike.baidu.com/item/%E7%9B%90%E8%BE%B9%E5%8E%BF/6906339"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盐边县</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HYPERLINK "https://baike.baidu.com/item/%E6%A1%90%E5%AD%90%E6%9E%97%E9%95%87/6906368" \t "_blank"</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桐子林镇</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t>火车站以北2公里）汇入雅砻江，境内全长</w:t>
      </w:r>
      <w:r>
        <w:rPr>
          <w:rFonts w:hint="default" w:ascii="Times New Roman" w:hAnsi="Times New Roman" w:eastAsia="仿宋_GB2312" w:cs="Times New Roman"/>
          <w:color w:val="auto"/>
          <w:sz w:val="32"/>
          <w:szCs w:val="32"/>
          <w:lang w:val="en-US" w:eastAsia="zh-CN"/>
        </w:rPr>
        <w:t>75.82</w:t>
      </w:r>
      <w:r>
        <w:rPr>
          <w:rFonts w:hint="default" w:ascii="Times New Roman" w:hAnsi="Times New Roman" w:eastAsia="仿宋_GB2312" w:cs="Times New Roman"/>
          <w:color w:val="auto"/>
          <w:sz w:val="32"/>
          <w:szCs w:val="32"/>
        </w:rPr>
        <w:t>km，流域面积为1368km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。境内较大的支流有挂榜河、橄榄河、小河、楠木河等。</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2、</w:t>
      </w:r>
      <w:r>
        <w:rPr>
          <w:rFonts w:hint="default" w:ascii="Times New Roman" w:hAnsi="Times New Roman" w:eastAsia="仿宋_GB2312" w:cs="Times New Roman"/>
          <w:b/>
          <w:bCs/>
          <w:color w:val="auto"/>
          <w:sz w:val="32"/>
          <w:szCs w:val="32"/>
        </w:rPr>
        <w:t>湖库</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二滩水库。</w:t>
      </w:r>
      <w:r>
        <w:rPr>
          <w:rFonts w:hint="default" w:ascii="Times New Roman" w:hAnsi="Times New Roman" w:eastAsia="仿宋_GB2312" w:cs="Times New Roman"/>
          <w:color w:val="auto"/>
          <w:sz w:val="32"/>
          <w:szCs w:val="32"/>
        </w:rPr>
        <w:t>雅砻江二滩水电枢纽拦河成库，坝址控制流域面积为11.64万km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，正常蓄水位1200m，总库容58亿m</w:t>
      </w:r>
      <w:r>
        <w:rPr>
          <w:rFonts w:hint="default" w:ascii="Times New Roman" w:hAnsi="Times New Roman" w:eastAsia="仿宋_GB2312" w:cs="Times New Roman"/>
          <w:color w:val="auto"/>
          <w:sz w:val="32"/>
          <w:szCs w:val="32"/>
          <w:vertAlign w:val="superscript"/>
        </w:rPr>
        <w:t>3</w:t>
      </w:r>
      <w:r>
        <w:rPr>
          <w:rFonts w:hint="default" w:ascii="Times New Roman" w:hAnsi="Times New Roman" w:eastAsia="仿宋_GB2312" w:cs="Times New Roman"/>
          <w:color w:val="auto"/>
          <w:sz w:val="32"/>
          <w:szCs w:val="32"/>
        </w:rPr>
        <w:t>，主要功能为发电，兼备防洪、航运等功能。</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观音岩水库。</w:t>
      </w:r>
      <w:r>
        <w:rPr>
          <w:rFonts w:hint="default" w:ascii="Times New Roman" w:hAnsi="Times New Roman" w:eastAsia="仿宋_GB2312" w:cs="Times New Roman"/>
          <w:color w:val="auto"/>
          <w:sz w:val="32"/>
          <w:szCs w:val="32"/>
        </w:rPr>
        <w:t>金沙江观音岩水电枢纽拦河成库，坝址控制流域面积为25.65万km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，正常蓄水位1134m，总库容22.5亿m</w:t>
      </w:r>
      <w:r>
        <w:rPr>
          <w:rFonts w:hint="default" w:ascii="Times New Roman" w:hAnsi="Times New Roman" w:eastAsia="仿宋_GB2312" w:cs="Times New Roman"/>
          <w:color w:val="auto"/>
          <w:sz w:val="32"/>
          <w:szCs w:val="32"/>
          <w:vertAlign w:val="superscript"/>
        </w:rPr>
        <w:t>3</w:t>
      </w:r>
      <w:r>
        <w:rPr>
          <w:rFonts w:hint="default" w:ascii="Times New Roman" w:hAnsi="Times New Roman" w:eastAsia="仿宋_GB2312" w:cs="Times New Roman"/>
          <w:color w:val="auto"/>
          <w:sz w:val="32"/>
          <w:szCs w:val="32"/>
        </w:rPr>
        <w:t>，主要功能为发电，兼备防洪、供水、航运等功能，当前已是攀枝花市主城区主饮用水源。</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桐子林电站水库。</w:t>
      </w:r>
      <w:r>
        <w:rPr>
          <w:rFonts w:hint="default" w:ascii="Times New Roman" w:hAnsi="Times New Roman" w:eastAsia="仿宋_GB2312" w:cs="Times New Roman"/>
          <w:color w:val="auto"/>
          <w:sz w:val="32"/>
          <w:szCs w:val="32"/>
        </w:rPr>
        <w:t>雅砻江桐子林水电枢纽拦河成库，坝址控制流域面积为12.76万km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，正常蓄水位1015m，总库容9120万m</w:t>
      </w:r>
      <w:r>
        <w:rPr>
          <w:rFonts w:hint="default" w:ascii="Times New Roman" w:hAnsi="Times New Roman" w:eastAsia="仿宋_GB2312" w:cs="Times New Roman"/>
          <w:color w:val="auto"/>
          <w:sz w:val="32"/>
          <w:szCs w:val="32"/>
          <w:vertAlign w:val="superscript"/>
        </w:rPr>
        <w:t>3</w:t>
      </w:r>
      <w:r>
        <w:rPr>
          <w:rFonts w:hint="default" w:ascii="Times New Roman" w:hAnsi="Times New Roman" w:eastAsia="仿宋_GB2312" w:cs="Times New Roman"/>
          <w:color w:val="auto"/>
          <w:sz w:val="32"/>
          <w:szCs w:val="32"/>
        </w:rPr>
        <w:t>，主要功能为发电，兼备防洪功能。</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晃桥水库。</w:t>
      </w:r>
      <w:r>
        <w:rPr>
          <w:rFonts w:hint="default" w:ascii="Times New Roman" w:hAnsi="Times New Roman" w:eastAsia="仿宋_GB2312" w:cs="Times New Roman"/>
          <w:color w:val="auto"/>
          <w:sz w:val="32"/>
          <w:szCs w:val="32"/>
        </w:rPr>
        <w:t>安宁河支流草场河源头人工水库，坝址控制流域面积为46.2km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，正常蓄水位1560.2m，总库容1894万m</w:t>
      </w:r>
      <w:r>
        <w:rPr>
          <w:rFonts w:hint="default" w:ascii="Times New Roman" w:hAnsi="Times New Roman" w:eastAsia="仿宋_GB2312" w:cs="Times New Roman"/>
          <w:color w:val="auto"/>
          <w:sz w:val="32"/>
          <w:szCs w:val="32"/>
          <w:vertAlign w:val="superscript"/>
        </w:rPr>
        <w:t>3</w:t>
      </w:r>
      <w:r>
        <w:rPr>
          <w:rFonts w:hint="default" w:ascii="Times New Roman" w:hAnsi="Times New Roman" w:eastAsia="仿宋_GB2312" w:cs="Times New Roman"/>
          <w:color w:val="auto"/>
          <w:sz w:val="32"/>
          <w:szCs w:val="32"/>
        </w:rPr>
        <w:t>，主要功能为灌溉，兼备供水、防洪、发电功能，当前已是米易县城主饮用水源。</w:t>
      </w:r>
    </w:p>
    <w:p>
      <w:pPr>
        <w:snapToGrid/>
        <w:ind w:firstLine="56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胜利水库。</w:t>
      </w:r>
      <w:r>
        <w:rPr>
          <w:rFonts w:hint="default" w:ascii="Times New Roman" w:hAnsi="Times New Roman" w:eastAsia="仿宋_GB2312" w:cs="Times New Roman"/>
          <w:color w:val="auto"/>
          <w:sz w:val="32"/>
          <w:szCs w:val="32"/>
        </w:rPr>
        <w:t>金沙江支流大河上人工水库，坝址控制流域面积为183.3km</w:t>
      </w:r>
      <w:r>
        <w:rPr>
          <w:rFonts w:hint="default" w:ascii="Times New Roman" w:hAnsi="Times New Roman" w:eastAsia="仿宋_GB2312" w:cs="Times New Roman"/>
          <w:color w:val="auto"/>
          <w:sz w:val="32"/>
          <w:szCs w:val="32"/>
          <w:vertAlign w:val="superscript"/>
        </w:rPr>
        <w:t>2</w:t>
      </w:r>
      <w:r>
        <w:rPr>
          <w:rFonts w:hint="default" w:ascii="Times New Roman" w:hAnsi="Times New Roman" w:eastAsia="仿宋_GB2312" w:cs="Times New Roman"/>
          <w:color w:val="auto"/>
          <w:sz w:val="32"/>
          <w:szCs w:val="32"/>
        </w:rPr>
        <w:t>，正常蓄水位1461m，总库容2128万m</w:t>
      </w:r>
      <w:r>
        <w:rPr>
          <w:rFonts w:hint="default" w:ascii="Times New Roman" w:hAnsi="Times New Roman" w:eastAsia="仿宋_GB2312" w:cs="Times New Roman"/>
          <w:color w:val="auto"/>
          <w:sz w:val="32"/>
          <w:szCs w:val="32"/>
          <w:vertAlign w:val="superscript"/>
        </w:rPr>
        <w:t>3</w:t>
      </w:r>
      <w:r>
        <w:rPr>
          <w:rFonts w:hint="default" w:ascii="Times New Roman" w:hAnsi="Times New Roman" w:eastAsia="仿宋_GB2312" w:cs="Times New Roman"/>
          <w:color w:val="auto"/>
          <w:sz w:val="32"/>
          <w:szCs w:val="32"/>
        </w:rPr>
        <w:t>，主要功能为灌溉，兼备防洪、供水功能，当前已是</w:t>
      </w:r>
      <w:r>
        <w:rPr>
          <w:rFonts w:hint="default" w:ascii="Times New Roman" w:hAnsi="Times New Roman" w:eastAsia="仿宋_GB2312" w:cs="Times New Roman"/>
          <w:color w:val="auto"/>
          <w:sz w:val="32"/>
          <w:szCs w:val="32"/>
          <w:lang w:eastAsia="zh-CN"/>
        </w:rPr>
        <w:t>仁和区</w:t>
      </w:r>
      <w:r>
        <w:rPr>
          <w:rFonts w:hint="default" w:ascii="Times New Roman" w:hAnsi="Times New Roman" w:eastAsia="仿宋_GB2312" w:cs="Times New Roman"/>
          <w:color w:val="auto"/>
          <w:sz w:val="32"/>
          <w:szCs w:val="32"/>
        </w:rPr>
        <w:t>主城区饮用水源。</w:t>
      </w:r>
    </w:p>
    <w:p>
      <w:pPr>
        <w:keepNext w:val="0"/>
        <w:keepLines w:val="0"/>
        <w:pageBreakBefore w:val="0"/>
        <w:widowControl w:val="0"/>
        <w:kinsoku/>
        <w:wordWrap/>
        <w:overflowPunct/>
        <w:topLinePunct w:val="0"/>
        <w:bidi w:val="0"/>
        <w:snapToGrid/>
        <w:spacing w:line="600" w:lineRule="exact"/>
        <w:ind w:firstLine="643" w:firstLineChars="200"/>
        <w:textAlignment w:val="auto"/>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3.水资源开发利用</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攀枝花市水资源总体较为丰富，根据攀枝花市2020</w:t>
      </w:r>
      <w:r>
        <w:rPr>
          <w:rFonts w:hint="eastAsia" w:ascii="Times New Roman" w:hAnsi="Times New Roman" w:eastAsia="仿宋_GB2312" w:cs="Times New Roman"/>
          <w:color w:val="auto"/>
          <w:sz w:val="32"/>
          <w:szCs w:val="32"/>
          <w:lang w:val="en-US" w:eastAsia="zh-CN"/>
        </w:rPr>
        <w:t>—2022年</w:t>
      </w:r>
      <w:r>
        <w:rPr>
          <w:rFonts w:hint="default" w:ascii="Times New Roman" w:hAnsi="Times New Roman" w:eastAsia="仿宋_GB2312" w:cs="Times New Roman"/>
          <w:color w:val="auto"/>
          <w:sz w:val="32"/>
          <w:szCs w:val="32"/>
          <w:lang w:val="en-US" w:eastAsia="zh-CN"/>
        </w:rPr>
        <w:t>水资源公报数据，近三年</w:t>
      </w:r>
      <w:r>
        <w:rPr>
          <w:rFonts w:hint="eastAsia" w:ascii="Times New Roman" w:hAnsi="Times New Roman" w:eastAsia="仿宋_GB2312" w:cs="Times New Roman"/>
          <w:color w:val="auto"/>
          <w:sz w:val="32"/>
          <w:szCs w:val="32"/>
          <w:lang w:val="en-US" w:eastAsia="zh-CN"/>
        </w:rPr>
        <w:t>全</w:t>
      </w:r>
      <w:r>
        <w:rPr>
          <w:rFonts w:hint="default" w:ascii="Times New Roman" w:hAnsi="Times New Roman" w:eastAsia="仿宋_GB2312" w:cs="Times New Roman"/>
          <w:color w:val="auto"/>
          <w:sz w:val="32"/>
          <w:szCs w:val="32"/>
          <w:lang w:val="en-US" w:eastAsia="zh-CN"/>
        </w:rPr>
        <w:t>市平均水资源量为29.22亿m³</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市域内地区间差异显著，</w:t>
      </w:r>
      <w:r>
        <w:rPr>
          <w:rFonts w:hint="eastAsia" w:ascii="Times New Roman" w:hAnsi="Times New Roman" w:eastAsia="仿宋_GB2312" w:cs="Times New Roman"/>
          <w:color w:val="auto"/>
          <w:sz w:val="32"/>
          <w:szCs w:val="32"/>
          <w:lang w:val="en-US" w:eastAsia="zh-CN"/>
        </w:rPr>
        <w:t>根据2022年</w:t>
      </w:r>
      <w:r>
        <w:rPr>
          <w:rFonts w:hint="default" w:ascii="Times New Roman" w:hAnsi="Times New Roman" w:eastAsia="仿宋_GB2312" w:cs="Times New Roman"/>
          <w:color w:val="auto"/>
          <w:sz w:val="32"/>
          <w:szCs w:val="32"/>
          <w:lang w:val="en-US" w:eastAsia="zh-CN"/>
        </w:rPr>
        <w:t>水资源公报数据</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盐边县水资源总量达到123761.50万m</w:t>
      </w:r>
      <w:r>
        <w:rPr>
          <w:rFonts w:hint="default" w:ascii="Times New Roman" w:hAnsi="Times New Roman" w:eastAsia="仿宋_GB2312" w:cs="Times New Roman"/>
          <w:color w:val="auto"/>
          <w:sz w:val="32"/>
          <w:szCs w:val="32"/>
          <w:vertAlign w:val="superscript"/>
          <w:lang w:val="en-US" w:eastAsia="zh-CN"/>
        </w:rPr>
        <w:t>3</w:t>
      </w:r>
      <w:r>
        <w:rPr>
          <w:rFonts w:hint="default" w:ascii="Times New Roman" w:hAnsi="Times New Roman" w:eastAsia="仿宋_GB2312" w:cs="Times New Roman"/>
          <w:color w:val="auto"/>
          <w:sz w:val="32"/>
          <w:szCs w:val="32"/>
          <w:lang w:val="en-US" w:eastAsia="zh-CN"/>
        </w:rPr>
        <w:t>，占全市总量的51.97%，其次为米易县，占全市总量的30.31%，西区水资源最少。水资源年内和年际变化较大。年内地表水资源量主要产生在汛期，多年平均连续最大四个月（7-10月）地表水资源量占全年的65%以上。年际间变化大，丰枯年差异悬殊</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近三年</w:t>
      </w:r>
      <w:r>
        <w:rPr>
          <w:rFonts w:hint="eastAsia" w:ascii="Times New Roman" w:hAnsi="Times New Roman" w:eastAsia="仿宋_GB2312" w:cs="Times New Roman"/>
          <w:color w:val="auto"/>
          <w:sz w:val="32"/>
          <w:szCs w:val="32"/>
          <w:lang w:val="en-US" w:eastAsia="zh-CN"/>
        </w:rPr>
        <w:t>全</w:t>
      </w:r>
      <w:r>
        <w:rPr>
          <w:rFonts w:hint="default" w:ascii="Times New Roman" w:hAnsi="Times New Roman" w:eastAsia="仿宋_GB2312" w:cs="Times New Roman"/>
          <w:color w:val="auto"/>
          <w:sz w:val="32"/>
          <w:szCs w:val="32"/>
          <w:lang w:val="en-US" w:eastAsia="zh-CN"/>
        </w:rPr>
        <w:t>市平均供水量为</w:t>
      </w:r>
      <w:r>
        <w:rPr>
          <w:rFonts w:hint="eastAsia" w:ascii="Times New Roman" w:hAnsi="Times New Roman" w:eastAsia="仿宋_GB2312" w:cs="Times New Roman"/>
          <w:color w:val="auto"/>
          <w:sz w:val="32"/>
          <w:szCs w:val="32"/>
          <w:lang w:val="en-US" w:eastAsia="zh-CN"/>
        </w:rPr>
        <w:t>66212.86</w:t>
      </w:r>
      <w:r>
        <w:rPr>
          <w:rFonts w:hint="default" w:ascii="Times New Roman" w:hAnsi="Times New Roman" w:eastAsia="仿宋_GB2312" w:cs="Times New Roman"/>
          <w:color w:val="auto"/>
          <w:sz w:val="32"/>
          <w:szCs w:val="32"/>
          <w:lang w:val="en-US" w:eastAsia="zh-CN"/>
        </w:rPr>
        <w:t>万m</w:t>
      </w:r>
      <w:r>
        <w:rPr>
          <w:rFonts w:hint="default" w:ascii="Times New Roman" w:hAnsi="Times New Roman" w:eastAsia="仿宋_GB2312" w:cs="Times New Roman"/>
          <w:color w:val="auto"/>
          <w:sz w:val="32"/>
          <w:szCs w:val="32"/>
          <w:vertAlign w:val="superscript"/>
          <w:lang w:val="en-US" w:eastAsia="zh-CN"/>
        </w:rPr>
        <w:t>3</w:t>
      </w:r>
      <w:r>
        <w:rPr>
          <w:rFonts w:hint="eastAsia" w:ascii="Times New Roman" w:hAnsi="Times New Roman" w:eastAsia="仿宋_GB2312" w:cs="Times New Roman"/>
          <w:color w:val="auto"/>
          <w:sz w:val="32"/>
          <w:szCs w:val="32"/>
          <w:lang w:val="en-US" w:eastAsia="zh-CN"/>
        </w:rPr>
        <w:t>，其中生活</w:t>
      </w:r>
      <w:r>
        <w:rPr>
          <w:rFonts w:hint="default" w:ascii="Times New Roman" w:hAnsi="Times New Roman" w:eastAsia="仿宋_GB2312" w:cs="Times New Roman"/>
          <w:color w:val="auto"/>
          <w:sz w:val="32"/>
          <w:szCs w:val="32"/>
          <w:lang w:val="en-US" w:eastAsia="zh-CN"/>
        </w:rPr>
        <w:t>平均</w:t>
      </w:r>
      <w:r>
        <w:rPr>
          <w:rFonts w:hint="eastAsia" w:ascii="Times New Roman" w:hAnsi="Times New Roman" w:eastAsia="仿宋_GB2312" w:cs="Times New Roman"/>
          <w:color w:val="auto"/>
          <w:sz w:val="32"/>
          <w:szCs w:val="32"/>
          <w:lang w:val="en-US" w:eastAsia="zh-CN"/>
        </w:rPr>
        <w:t>用水量为10131.99</w:t>
      </w:r>
      <w:r>
        <w:rPr>
          <w:rFonts w:hint="default" w:ascii="Times New Roman" w:hAnsi="Times New Roman" w:eastAsia="仿宋_GB2312" w:cs="Times New Roman"/>
          <w:color w:val="auto"/>
          <w:sz w:val="32"/>
          <w:szCs w:val="32"/>
          <w:lang w:val="en-US" w:eastAsia="zh-CN"/>
        </w:rPr>
        <w:t>万m</w:t>
      </w:r>
      <w:r>
        <w:rPr>
          <w:rFonts w:hint="default" w:ascii="Times New Roman" w:hAnsi="Times New Roman" w:eastAsia="仿宋_GB2312" w:cs="Times New Roman"/>
          <w:color w:val="auto"/>
          <w:sz w:val="32"/>
          <w:szCs w:val="32"/>
          <w:vertAlign w:val="superscript"/>
          <w:lang w:val="en-US" w:eastAsia="zh-CN"/>
        </w:rPr>
        <w:t>3</w:t>
      </w:r>
      <w:r>
        <w:rPr>
          <w:rFonts w:hint="eastAsia" w:ascii="Times New Roman" w:hAnsi="Times New Roman" w:eastAsia="仿宋_GB2312" w:cs="Times New Roman"/>
          <w:color w:val="auto"/>
          <w:sz w:val="32"/>
          <w:szCs w:val="32"/>
          <w:vertAlign w:val="baseline"/>
          <w:lang w:val="en-US" w:eastAsia="zh-CN"/>
        </w:rPr>
        <w:t>，占全市供水量的15.3%。</w:t>
      </w:r>
    </w:p>
    <w:tbl>
      <w:tblPr>
        <w:tblStyle w:val="17"/>
        <w:tblW w:w="4997" w:type="pct"/>
        <w:tblInd w:w="0" w:type="dxa"/>
        <w:tblLayout w:type="autofit"/>
        <w:tblCellMar>
          <w:top w:w="0" w:type="dxa"/>
          <w:left w:w="108" w:type="dxa"/>
          <w:bottom w:w="0" w:type="dxa"/>
          <w:right w:w="108" w:type="dxa"/>
        </w:tblCellMar>
      </w:tblPr>
      <w:tblGrid>
        <w:gridCol w:w="1042"/>
        <w:gridCol w:w="1558"/>
        <w:gridCol w:w="1616"/>
        <w:gridCol w:w="1346"/>
        <w:gridCol w:w="1960"/>
        <w:gridCol w:w="1534"/>
      </w:tblGrid>
      <w:tr>
        <w:tblPrEx>
          <w:tblCellMar>
            <w:top w:w="0" w:type="dxa"/>
            <w:left w:w="108" w:type="dxa"/>
            <w:bottom w:w="0" w:type="dxa"/>
            <w:right w:w="108" w:type="dxa"/>
          </w:tblCellMar>
        </w:tblPrEx>
        <w:trPr>
          <w:trHeight w:val="6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EEECE1"/>
            <w:noWrap w:val="0"/>
            <w:vAlign w:val="center"/>
          </w:tcPr>
          <w:p>
            <w:pPr>
              <w:overflowPunct w:val="0"/>
              <w:topLinePunct/>
              <w:jc w:val="center"/>
              <w:rPr>
                <w:rFonts w:hint="default" w:ascii="Times New Roman" w:hAnsi="Times New Roman" w:eastAsia="仿宋_GB2312" w:cs="Times New Roman"/>
                <w:b/>
                <w:color w:val="auto"/>
                <w:sz w:val="21"/>
                <w:szCs w:val="21"/>
                <w:shd w:val="clear" w:color="auto" w:fill="EEECE1"/>
              </w:rPr>
            </w:pPr>
            <w:r>
              <w:rPr>
                <w:rFonts w:hint="default" w:ascii="Times New Roman" w:hAnsi="Times New Roman" w:eastAsia="仿宋_GB2312" w:cs="Times New Roman"/>
                <w:b/>
                <w:color w:val="auto"/>
                <w:sz w:val="21"/>
                <w:szCs w:val="21"/>
                <w:shd w:val="clear" w:color="auto" w:fill="EEECE1"/>
              </w:rPr>
              <w:t xml:space="preserve">专栏1 </w:t>
            </w:r>
            <w:r>
              <w:rPr>
                <w:rFonts w:hint="default" w:ascii="Times New Roman" w:hAnsi="Times New Roman" w:eastAsia="仿宋_GB2312" w:cs="Times New Roman"/>
                <w:b/>
                <w:color w:val="auto"/>
                <w:sz w:val="21"/>
                <w:szCs w:val="21"/>
                <w:shd w:val="clear" w:color="auto" w:fill="EEECE1"/>
                <w:lang w:val="en-US" w:eastAsia="zh-CN"/>
              </w:rPr>
              <w:t xml:space="preserve"> </w:t>
            </w:r>
            <w:r>
              <w:rPr>
                <w:rFonts w:hint="default" w:ascii="Times New Roman" w:hAnsi="Times New Roman" w:eastAsia="仿宋_GB2312" w:cs="Times New Roman"/>
                <w:b/>
                <w:color w:val="auto"/>
                <w:sz w:val="21"/>
                <w:szCs w:val="21"/>
                <w:shd w:val="clear" w:color="auto" w:fill="EEECE1"/>
                <w:lang w:eastAsia="zh-CN"/>
              </w:rPr>
              <w:t>近三年</w:t>
            </w:r>
            <w:r>
              <w:rPr>
                <w:rFonts w:hint="default" w:ascii="Times New Roman" w:hAnsi="Times New Roman" w:eastAsia="仿宋_GB2312" w:cs="Times New Roman"/>
                <w:b/>
                <w:color w:val="auto"/>
                <w:sz w:val="21"/>
                <w:szCs w:val="21"/>
                <w:shd w:val="clear" w:color="auto" w:fill="EEECE1"/>
              </w:rPr>
              <w:t>攀枝花市水资源统计表</w:t>
            </w:r>
          </w:p>
        </w:tc>
      </w:tr>
      <w:tr>
        <w:tblPrEx>
          <w:tblCellMar>
            <w:top w:w="0" w:type="dxa"/>
            <w:left w:w="108" w:type="dxa"/>
            <w:bottom w:w="0" w:type="dxa"/>
            <w:right w:w="108" w:type="dxa"/>
          </w:tblCellMar>
        </w:tblPrEx>
        <w:trPr>
          <w:trHeight w:val="454" w:hRule="atLeast"/>
        </w:trPr>
        <w:tc>
          <w:tcPr>
            <w:tcW w:w="576"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default" w:ascii="Times New Roman" w:hAnsi="Times New Roman" w:eastAsia="仿宋_GB2312" w:cs="Times New Roman"/>
                <w:b/>
                <w:bCs/>
                <w:color w:val="auto"/>
                <w:sz w:val="21"/>
                <w:szCs w:val="21"/>
                <w:lang w:val="en-US" w:eastAsia="zh-CN"/>
              </w:rPr>
              <w:t>年份</w:t>
            </w:r>
          </w:p>
        </w:tc>
        <w:tc>
          <w:tcPr>
            <w:tcW w:w="860"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水资源总量</w:t>
            </w:r>
          </w:p>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default" w:ascii="Times New Roman" w:hAnsi="Times New Roman" w:eastAsia="仿宋_GB2312" w:cs="Times New Roman"/>
                <w:b/>
                <w:bCs/>
                <w:color w:val="auto"/>
                <w:sz w:val="21"/>
                <w:szCs w:val="21"/>
                <w:lang w:val="en-US" w:eastAsia="zh-CN"/>
              </w:rPr>
              <w:t>（万m³）</w:t>
            </w:r>
          </w:p>
        </w:tc>
        <w:tc>
          <w:tcPr>
            <w:tcW w:w="892"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总供水量</w:t>
            </w:r>
          </w:p>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default" w:ascii="Times New Roman" w:hAnsi="Times New Roman" w:eastAsia="仿宋_GB2312" w:cs="Times New Roman"/>
                <w:b/>
                <w:bCs/>
                <w:color w:val="auto"/>
                <w:sz w:val="21"/>
                <w:szCs w:val="21"/>
                <w:lang w:val="en-US" w:eastAsia="zh-CN"/>
              </w:rPr>
              <w:t>（万m³）</w:t>
            </w:r>
          </w:p>
        </w:tc>
        <w:tc>
          <w:tcPr>
            <w:tcW w:w="743"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default" w:ascii="Times New Roman" w:hAnsi="Times New Roman" w:eastAsia="仿宋_GB2312" w:cs="Times New Roman"/>
                <w:b/>
                <w:bCs/>
                <w:color w:val="auto"/>
                <w:kern w:val="2"/>
                <w:sz w:val="21"/>
                <w:szCs w:val="21"/>
                <w:lang w:val="en-US" w:eastAsia="zh-CN" w:bidi="ar-SA"/>
              </w:rPr>
              <w:t>生活用水</w:t>
            </w:r>
          </w:p>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default" w:ascii="Times New Roman" w:hAnsi="Times New Roman" w:eastAsia="仿宋_GB2312" w:cs="Times New Roman"/>
                <w:b/>
                <w:bCs/>
                <w:color w:val="auto"/>
                <w:kern w:val="2"/>
                <w:sz w:val="21"/>
                <w:szCs w:val="21"/>
                <w:lang w:val="en-US" w:eastAsia="zh-CN" w:bidi="ar-SA"/>
              </w:rPr>
              <w:t>（</w:t>
            </w:r>
            <w:r>
              <w:rPr>
                <w:rFonts w:hint="default" w:ascii="Times New Roman" w:hAnsi="Times New Roman" w:eastAsia="仿宋_GB2312" w:cs="Times New Roman"/>
                <w:b/>
                <w:bCs/>
                <w:color w:val="auto"/>
                <w:sz w:val="21"/>
                <w:szCs w:val="21"/>
                <w:lang w:val="en-US" w:eastAsia="zh-CN"/>
              </w:rPr>
              <w:t>万m³</w:t>
            </w:r>
            <w:r>
              <w:rPr>
                <w:rFonts w:hint="default" w:ascii="Times New Roman" w:hAnsi="Times New Roman" w:eastAsia="仿宋_GB2312" w:cs="Times New Roman"/>
                <w:b/>
                <w:bCs/>
                <w:color w:val="auto"/>
                <w:kern w:val="2"/>
                <w:sz w:val="21"/>
                <w:szCs w:val="21"/>
                <w:lang w:val="en-US" w:eastAsia="zh-CN" w:bidi="ar-SA"/>
              </w:rPr>
              <w:t>）</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default" w:ascii="Times New Roman" w:hAnsi="Times New Roman" w:eastAsia="仿宋_GB2312" w:cs="Times New Roman"/>
                <w:b/>
                <w:bCs/>
                <w:color w:val="auto"/>
                <w:kern w:val="0"/>
                <w:sz w:val="21"/>
                <w:szCs w:val="21"/>
              </w:rPr>
              <w:t>生活</w:t>
            </w:r>
            <w:r>
              <w:rPr>
                <w:rFonts w:hint="default" w:ascii="Times New Roman" w:hAnsi="Times New Roman" w:eastAsia="仿宋_GB2312" w:cs="Times New Roman"/>
                <w:b/>
                <w:bCs/>
                <w:color w:val="auto"/>
                <w:kern w:val="0"/>
                <w:sz w:val="21"/>
                <w:szCs w:val="21"/>
                <w:lang w:eastAsia="zh-CN"/>
              </w:rPr>
              <w:t>用水占总用水量的百分比（%）</w:t>
            </w:r>
          </w:p>
        </w:tc>
        <w:tc>
          <w:tcPr>
            <w:tcW w:w="845"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kern w:val="0"/>
                <w:sz w:val="21"/>
                <w:szCs w:val="21"/>
                <w:lang w:eastAsia="zh-CN"/>
              </w:rPr>
            </w:pPr>
            <w:r>
              <w:rPr>
                <w:rFonts w:hint="default" w:ascii="Times New Roman" w:hAnsi="Times New Roman" w:eastAsia="仿宋_GB2312" w:cs="Times New Roman"/>
                <w:b/>
                <w:bCs/>
                <w:color w:val="auto"/>
                <w:kern w:val="0"/>
                <w:sz w:val="21"/>
                <w:szCs w:val="21"/>
              </w:rPr>
              <w:t>全市人均综合用水量</w:t>
            </w:r>
            <w:r>
              <w:rPr>
                <w:rFonts w:hint="default" w:ascii="Times New Roman" w:hAnsi="Times New Roman" w:eastAsia="仿宋_GB2312" w:cs="Times New Roman"/>
                <w:b/>
                <w:bCs/>
                <w:color w:val="auto"/>
                <w:kern w:val="0"/>
                <w:sz w:val="21"/>
                <w:szCs w:val="21"/>
                <w:lang w:eastAsia="zh-CN"/>
              </w:rPr>
              <w:t>（</w:t>
            </w:r>
            <w:r>
              <w:rPr>
                <w:rFonts w:hint="default" w:ascii="Times New Roman" w:hAnsi="Times New Roman" w:eastAsia="仿宋_GB2312" w:cs="Times New Roman"/>
                <w:b/>
                <w:bCs/>
                <w:color w:val="auto"/>
                <w:sz w:val="21"/>
                <w:szCs w:val="21"/>
                <w:lang w:val="en-US" w:eastAsia="zh-CN"/>
              </w:rPr>
              <w:t>m³</w:t>
            </w:r>
            <w:r>
              <w:rPr>
                <w:rFonts w:hint="default" w:ascii="Times New Roman" w:hAnsi="Times New Roman" w:eastAsia="仿宋_GB2312" w:cs="Times New Roman"/>
                <w:b/>
                <w:bCs/>
                <w:color w:val="auto"/>
                <w:kern w:val="0"/>
                <w:sz w:val="21"/>
                <w:szCs w:val="21"/>
                <w:lang w:eastAsia="zh-CN"/>
              </w:rPr>
              <w:t>）</w:t>
            </w:r>
          </w:p>
        </w:tc>
      </w:tr>
      <w:tr>
        <w:tblPrEx>
          <w:tblCellMar>
            <w:top w:w="0" w:type="dxa"/>
            <w:left w:w="108" w:type="dxa"/>
            <w:bottom w:w="0" w:type="dxa"/>
            <w:right w:w="108" w:type="dxa"/>
          </w:tblCellMar>
        </w:tblPrEx>
        <w:trPr>
          <w:trHeight w:val="454" w:hRule="atLeast"/>
        </w:trPr>
        <w:tc>
          <w:tcPr>
            <w:tcW w:w="576" w:type="pct"/>
            <w:tcBorders>
              <w:top w:val="single" w:color="auto" w:sz="4"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2020</w:t>
            </w:r>
          </w:p>
        </w:tc>
        <w:tc>
          <w:tcPr>
            <w:tcW w:w="860"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334567</w:t>
            </w:r>
          </w:p>
        </w:tc>
        <w:tc>
          <w:tcPr>
            <w:tcW w:w="892"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61922.21</w:t>
            </w:r>
          </w:p>
        </w:tc>
        <w:tc>
          <w:tcPr>
            <w:tcW w:w="743"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9714.78</w:t>
            </w:r>
          </w:p>
        </w:tc>
        <w:tc>
          <w:tcPr>
            <w:tcW w:w="1082"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0"/>
                <w:sz w:val="21"/>
                <w:szCs w:val="21"/>
                <w:lang w:val="en-US" w:eastAsia="zh-CN"/>
              </w:rPr>
              <w:t>15.69</w:t>
            </w:r>
          </w:p>
        </w:tc>
        <w:tc>
          <w:tcPr>
            <w:tcW w:w="845"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511</w:t>
            </w:r>
          </w:p>
        </w:tc>
      </w:tr>
      <w:tr>
        <w:tblPrEx>
          <w:tblCellMar>
            <w:top w:w="0" w:type="dxa"/>
            <w:left w:w="108" w:type="dxa"/>
            <w:bottom w:w="0" w:type="dxa"/>
            <w:right w:w="108" w:type="dxa"/>
          </w:tblCellMar>
        </w:tblPrEx>
        <w:trPr>
          <w:trHeight w:val="454" w:hRule="atLeast"/>
        </w:trPr>
        <w:tc>
          <w:tcPr>
            <w:tcW w:w="576" w:type="pct"/>
            <w:tcBorders>
              <w:top w:val="single" w:color="auto" w:sz="4"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2021</w:t>
            </w:r>
          </w:p>
        </w:tc>
        <w:tc>
          <w:tcPr>
            <w:tcW w:w="860"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304037</w:t>
            </w:r>
          </w:p>
        </w:tc>
        <w:tc>
          <w:tcPr>
            <w:tcW w:w="892"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64942.58</w:t>
            </w:r>
          </w:p>
        </w:tc>
        <w:tc>
          <w:tcPr>
            <w:tcW w:w="743"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10826.28</w:t>
            </w:r>
          </w:p>
        </w:tc>
        <w:tc>
          <w:tcPr>
            <w:tcW w:w="1082"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0"/>
                <w:sz w:val="21"/>
                <w:szCs w:val="21"/>
                <w:lang w:val="en-US" w:eastAsia="zh-CN"/>
              </w:rPr>
              <w:t>16.7</w:t>
            </w:r>
          </w:p>
        </w:tc>
        <w:tc>
          <w:tcPr>
            <w:tcW w:w="845"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527</w:t>
            </w:r>
          </w:p>
        </w:tc>
      </w:tr>
      <w:tr>
        <w:tblPrEx>
          <w:tblCellMar>
            <w:top w:w="0" w:type="dxa"/>
            <w:left w:w="108" w:type="dxa"/>
            <w:bottom w:w="0" w:type="dxa"/>
            <w:right w:w="108" w:type="dxa"/>
          </w:tblCellMar>
        </w:tblPrEx>
        <w:trPr>
          <w:trHeight w:val="454" w:hRule="atLeast"/>
        </w:trPr>
        <w:tc>
          <w:tcPr>
            <w:tcW w:w="576" w:type="pct"/>
            <w:tcBorders>
              <w:top w:val="single" w:color="auto" w:sz="4"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2022</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238112.72</w:t>
            </w:r>
          </w:p>
        </w:tc>
        <w:tc>
          <w:tcPr>
            <w:tcW w:w="8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71773.79</w:t>
            </w:r>
          </w:p>
        </w:tc>
        <w:tc>
          <w:tcPr>
            <w:tcW w:w="7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i w:val="0"/>
                <w:iCs w:val="0"/>
                <w:color w:val="auto"/>
                <w:kern w:val="0"/>
                <w:sz w:val="21"/>
                <w:szCs w:val="21"/>
                <w:u w:val="none"/>
                <w:lang w:val="en-US" w:eastAsia="zh-CN" w:bidi="ar"/>
              </w:rPr>
              <w:t>9854.92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0"/>
                <w:sz w:val="21"/>
                <w:szCs w:val="21"/>
                <w:lang w:val="en-US" w:eastAsia="zh-CN"/>
              </w:rPr>
              <w:t>13.7</w:t>
            </w:r>
          </w:p>
        </w:tc>
        <w:tc>
          <w:tcPr>
            <w:tcW w:w="8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591.22</w:t>
            </w:r>
          </w:p>
        </w:tc>
      </w:tr>
      <w:tr>
        <w:tblPrEx>
          <w:tblCellMar>
            <w:top w:w="0" w:type="dxa"/>
            <w:left w:w="108" w:type="dxa"/>
            <w:bottom w:w="0" w:type="dxa"/>
            <w:right w:w="108" w:type="dxa"/>
          </w:tblCellMar>
        </w:tblPrEx>
        <w:trPr>
          <w:trHeight w:val="454" w:hRule="atLeast"/>
        </w:trPr>
        <w:tc>
          <w:tcPr>
            <w:tcW w:w="576"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平均</w:t>
            </w:r>
          </w:p>
        </w:tc>
        <w:tc>
          <w:tcPr>
            <w:tcW w:w="86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0"/>
                <w:sz w:val="21"/>
                <w:szCs w:val="21"/>
                <w:lang w:val="en-US" w:eastAsia="zh-CN"/>
              </w:rPr>
              <w:t>292238.91</w:t>
            </w:r>
          </w:p>
        </w:tc>
        <w:tc>
          <w:tcPr>
            <w:tcW w:w="89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lang w:val="en-US" w:eastAsia="zh-CN"/>
              </w:rPr>
              <w:t>66212.86</w:t>
            </w:r>
          </w:p>
        </w:tc>
        <w:tc>
          <w:tcPr>
            <w:tcW w:w="7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0"/>
                <w:sz w:val="21"/>
                <w:szCs w:val="21"/>
                <w:lang w:val="en-US" w:eastAsia="zh-CN"/>
              </w:rPr>
              <w:t>10131.99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15.3</w:t>
            </w:r>
          </w:p>
        </w:tc>
        <w:tc>
          <w:tcPr>
            <w:tcW w:w="8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559.11</w:t>
            </w:r>
          </w:p>
        </w:tc>
      </w:tr>
    </w:tbl>
    <w:p>
      <w:pPr>
        <w:keepNext w:val="0"/>
        <w:keepLines w:val="0"/>
        <w:pageBreakBefore w:val="0"/>
        <w:widowControl w:val="0"/>
        <w:kinsoku/>
        <w:wordWrap/>
        <w:overflowPunct/>
        <w:topLinePunct w:val="0"/>
        <w:bidi w:val="0"/>
        <w:snapToGrid/>
        <w:spacing w:line="600" w:lineRule="exact"/>
        <w:ind w:firstLine="640" w:firstLineChars="200"/>
        <w:textAlignment w:val="auto"/>
        <w:outlineLvl w:val="1"/>
        <w:rPr>
          <w:rFonts w:hint="default" w:ascii="Times New Roman" w:hAnsi="Times New Roman" w:eastAsia="仿宋_GB2312" w:cs="Times New Roman"/>
          <w:b/>
          <w:color w:val="auto"/>
          <w:sz w:val="32"/>
          <w:szCs w:val="32"/>
        </w:rPr>
      </w:pPr>
      <w:bookmarkStart w:id="26" w:name="_Toc116136557"/>
      <w:bookmarkStart w:id="27" w:name="_Toc9753"/>
      <w:r>
        <w:rPr>
          <w:rFonts w:hint="default" w:ascii="Times New Roman" w:hAnsi="Times New Roman" w:eastAsia="楷体_GB2312" w:cs="Times New Roman"/>
          <w:b w:val="0"/>
          <w:bCs/>
          <w:color w:val="auto"/>
          <w:sz w:val="32"/>
          <w:szCs w:val="32"/>
        </w:rPr>
        <w:t>（</w:t>
      </w:r>
      <w:r>
        <w:rPr>
          <w:rFonts w:hint="default" w:ascii="Times New Roman" w:hAnsi="Times New Roman" w:eastAsia="楷体_GB2312" w:cs="Times New Roman"/>
          <w:b w:val="0"/>
          <w:bCs/>
          <w:color w:val="auto"/>
          <w:sz w:val="32"/>
          <w:szCs w:val="32"/>
          <w:lang w:eastAsia="zh-CN"/>
        </w:rPr>
        <w:t>五</w:t>
      </w:r>
      <w:r>
        <w:rPr>
          <w:rFonts w:hint="default" w:ascii="Times New Roman" w:hAnsi="Times New Roman" w:eastAsia="楷体_GB2312" w:cs="Times New Roman"/>
          <w:b w:val="0"/>
          <w:bCs/>
          <w:color w:val="auto"/>
          <w:sz w:val="32"/>
          <w:szCs w:val="32"/>
        </w:rPr>
        <w:t>）水环境质量</w:t>
      </w:r>
      <w:bookmarkEnd w:id="26"/>
      <w:bookmarkEnd w:id="27"/>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1、河流型地表水</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202</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lang w:eastAsia="zh-CN"/>
        </w:rPr>
        <w:t>年，攀枝花市8个地表水监测断面中，龙洞、二滩、倮果、柏枝、雅砻江口断面水质优，水质类别为Ⅰ类；金江、大湾子、昔街大桥、湾滩电站断面水质优，水质类别为Ⅱ类。</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2、湖库水</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202</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lang w:eastAsia="zh-CN"/>
        </w:rPr>
        <w:t>年，攀枝花市重点湖库水质鳡鱼、二滩、红壁滩下断面水质优，水质类别均为Ⅱ类；鳡鱼、二滩、红壁滩下水质营养状态均为中营养状态。</w:t>
      </w:r>
    </w:p>
    <w:p>
      <w:pPr>
        <w:pStyle w:val="10"/>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饮用水</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2020年，攀枝花市市级集中式饮用水水源地：攀枝花市观音岩水库集中饮用水水源地水质类别Ⅱ类（总磷执行湖库标准），水源地水质达标率100%。</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2020年，县级饮用水水源地：盐边县雅砻江菩萨岩集中式饮用水水源地、胜利水库、晃桥水库水质类别Ⅱ类，水源地水质达标率100%。</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2020年，乡镇集中式饮用水水源地：新九乡大龙塘沟水源地、普威镇溶洞</w:t>
      </w:r>
      <w:r>
        <w:rPr>
          <w:rFonts w:hint="eastAsia" w:ascii="Times New Roman" w:hAnsi="Times New Roman" w:eastAsia="仿宋_GB2312" w:cs="Times New Roman"/>
          <w:b w:val="0"/>
          <w:bCs w:val="0"/>
          <w:color w:val="auto"/>
          <w:sz w:val="32"/>
          <w:szCs w:val="32"/>
          <w:lang w:val="en-US" w:eastAsia="zh-CN"/>
        </w:rPr>
        <w:t>河</w:t>
      </w:r>
      <w:r>
        <w:rPr>
          <w:rFonts w:hint="default" w:ascii="Times New Roman" w:hAnsi="Times New Roman" w:eastAsia="仿宋_GB2312" w:cs="Times New Roman"/>
          <w:b w:val="0"/>
          <w:bCs w:val="0"/>
          <w:color w:val="auto"/>
          <w:sz w:val="32"/>
          <w:szCs w:val="32"/>
          <w:lang w:val="en-US" w:eastAsia="zh-CN"/>
        </w:rPr>
        <w:t>水源地水质类别Ⅰ类；渔门镇集中式饮用水水源地、永兴镇永箐堰水源地、雅砻江红果彝族乡大槽村河流型水源地饮用水水源地、占田水库集中式饮用水水源地、务本乡山楂堡水源地、黄草村黑神庙河沟、撒莲镇龙洞河水源地、垭口镇马坪村五社潘家湾水质类别Ⅱ类；高堰沟水库水源地、惠民乡清香水库水源地、双河水库集中式饮用水水源地、小纸房水库集中式饮用水水源地、跃进水库集中式饮用水水源地、新山傈僳族乡马鹿塘河沟集中式饮用水水源地、安宁河丙谷镇芭蕉箐村水库型水源地水质类别Ⅲ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28" w:name="_Toc1686"/>
      <w:bookmarkStart w:id="29" w:name="_Toc116136558"/>
      <w:r>
        <w:rPr>
          <w:rFonts w:hint="default" w:ascii="Times New Roman" w:hAnsi="Times New Roman" w:eastAsia="楷体_GB2312" w:cs="Times New Roman"/>
          <w:b w:val="0"/>
          <w:bCs/>
          <w:color w:val="auto"/>
          <w:sz w:val="32"/>
          <w:szCs w:val="32"/>
          <w:lang w:eastAsia="zh-CN"/>
        </w:rPr>
        <w:t>（六）</w:t>
      </w:r>
      <w:r>
        <w:rPr>
          <w:rFonts w:hint="default" w:ascii="Times New Roman" w:hAnsi="Times New Roman" w:eastAsia="楷体_GB2312" w:cs="Times New Roman"/>
          <w:b w:val="0"/>
          <w:bCs/>
          <w:color w:val="auto"/>
          <w:sz w:val="32"/>
          <w:szCs w:val="32"/>
        </w:rPr>
        <w:t>城乡供水</w:t>
      </w:r>
      <w:bookmarkEnd w:id="28"/>
      <w:bookmarkEnd w:id="29"/>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cs="Times New Roman"/>
          <w:color w:val="auto"/>
          <w:lang w:eastAsia="zh-CN"/>
        </w:rPr>
      </w:pPr>
      <w:r>
        <w:rPr>
          <w:rFonts w:hint="default" w:ascii="Times New Roman" w:hAnsi="Times New Roman" w:eastAsia="仿宋_GB2312" w:cs="Times New Roman"/>
          <w:b/>
          <w:bCs/>
          <w:color w:val="auto"/>
          <w:sz w:val="32"/>
          <w:szCs w:val="32"/>
        </w:rPr>
        <w:t>1</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供水现状</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攀枝花市中心城区饮用水均由</w:t>
      </w:r>
      <w:r>
        <w:rPr>
          <w:rFonts w:hint="eastAsia" w:ascii="Times New Roman" w:hAnsi="Times New Roman" w:eastAsia="仿宋_GB2312" w:cs="Times New Roman"/>
          <w:color w:val="auto"/>
          <w:sz w:val="32"/>
          <w:szCs w:val="32"/>
          <w:lang w:eastAsia="zh-CN"/>
        </w:rPr>
        <w:t>攀枝花市</w:t>
      </w:r>
      <w:r>
        <w:rPr>
          <w:rFonts w:hint="default" w:ascii="Times New Roman" w:hAnsi="Times New Roman" w:eastAsia="仿宋_GB2312" w:cs="Times New Roman"/>
          <w:color w:val="auto"/>
          <w:sz w:val="32"/>
          <w:szCs w:val="32"/>
          <w:lang w:eastAsia="zh-CN"/>
        </w:rPr>
        <w:t>观音岩水库集中式饮用水水源地供水；仁和区和米易县饮用水以人工蓄水水库为水源，盐边县取用雅砻江菩萨岩区域的水作为饮用水；</w:t>
      </w:r>
      <w:r>
        <w:rPr>
          <w:rFonts w:hint="default" w:ascii="Times New Roman" w:hAnsi="Times New Roman" w:eastAsia="仿宋_GB2312" w:cs="Times New Roman"/>
          <w:color w:val="auto"/>
          <w:sz w:val="32"/>
          <w:szCs w:val="32"/>
        </w:rPr>
        <w:t>乡镇</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集中式饮用水水源</w:t>
      </w:r>
      <w:r>
        <w:rPr>
          <w:rFonts w:hint="default" w:ascii="Times New Roman" w:hAnsi="Times New Roman" w:eastAsia="仿宋_GB2312" w:cs="Times New Roman"/>
          <w:color w:val="auto"/>
          <w:sz w:val="32"/>
          <w:szCs w:val="32"/>
          <w:lang w:eastAsia="zh-CN"/>
        </w:rPr>
        <w:t>均根据当地水资源情况</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选择优质水源作为饮用水，多为天然径流和人工蓄水水库。</w:t>
      </w:r>
    </w:p>
    <w:p>
      <w:pPr>
        <w:keepNext w:val="0"/>
        <w:keepLines w:val="0"/>
        <w:pageBreakBefore w:val="0"/>
        <w:widowControl w:val="0"/>
        <w:kinsoku/>
        <w:wordWrap/>
        <w:overflowPunct/>
        <w:topLinePunct w:val="0"/>
        <w:bidi w:val="0"/>
        <w:snapToGrid/>
        <w:spacing w:line="60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供水规划</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sz w:val="32"/>
          <w:szCs w:val="32"/>
          <w:lang w:eastAsia="zh-CN"/>
        </w:rPr>
        <w:t>规划建设单一水源供水的米易县、盐边县应急备用水源，加快推进中心城区跨区域应急备用水源供水管网建设，</w:t>
      </w:r>
      <w:r>
        <w:rPr>
          <w:rFonts w:hint="default" w:ascii="Times New Roman" w:hAnsi="Times New Roman" w:eastAsia="仿宋_GB2312" w:cs="Times New Roman"/>
          <w:color w:val="auto"/>
          <w:sz w:val="32"/>
          <w:szCs w:val="32"/>
        </w:rPr>
        <w:t>进一步有效保障供水</w:t>
      </w:r>
      <w:r>
        <w:rPr>
          <w:rFonts w:hint="default" w:ascii="Times New Roman" w:hAnsi="Times New Roman" w:eastAsia="仿宋_GB2312" w:cs="Times New Roman"/>
          <w:color w:val="auto"/>
          <w:sz w:val="32"/>
          <w:szCs w:val="32"/>
          <w:lang w:eastAsia="zh-CN"/>
        </w:rPr>
        <w:t>安全，提高应急供水能力；规划</w:t>
      </w:r>
      <w:r>
        <w:rPr>
          <w:rFonts w:hint="default" w:ascii="Times New Roman" w:hAnsi="Times New Roman" w:eastAsia="仿宋_GB2312" w:cs="Times New Roman"/>
          <w:color w:val="auto"/>
          <w:kern w:val="0"/>
          <w:sz w:val="32"/>
          <w:szCs w:val="32"/>
        </w:rPr>
        <w:t>优化金沙江流域水资源配置</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加快</w:t>
      </w:r>
      <w:r>
        <w:rPr>
          <w:rFonts w:hint="default" w:ascii="Times New Roman" w:hAnsi="Times New Roman" w:eastAsia="仿宋_GB2312" w:cs="Times New Roman"/>
          <w:color w:val="auto"/>
          <w:sz w:val="32"/>
          <w:szCs w:val="32"/>
          <w:lang w:eastAsia="zh-CN"/>
        </w:rPr>
        <w:t>推进人和渠引水工程（金沙江干热河谷攀枝花水资源配置工程）建设，解决攀枝花中心城区及金沙江南岸生活、生产和生态用水；规划</w:t>
      </w:r>
      <w:r>
        <w:rPr>
          <w:rFonts w:hint="default" w:ascii="Times New Roman" w:hAnsi="Times New Roman" w:eastAsia="仿宋_GB2312" w:cs="Times New Roman"/>
          <w:color w:val="auto"/>
          <w:kern w:val="0"/>
          <w:sz w:val="32"/>
          <w:szCs w:val="32"/>
        </w:rPr>
        <w:t>优化安宁河流域水资源配置</w:t>
      </w:r>
      <w:r>
        <w:rPr>
          <w:rFonts w:hint="default" w:ascii="Times New Roman" w:hAnsi="Times New Roman" w:eastAsia="仿宋_GB2312" w:cs="Times New Roman"/>
          <w:color w:val="auto"/>
          <w:kern w:val="0"/>
          <w:sz w:val="32"/>
          <w:szCs w:val="32"/>
          <w:lang w:eastAsia="zh-CN"/>
        </w:rPr>
        <w:t>，加快</w:t>
      </w:r>
      <w:r>
        <w:rPr>
          <w:rFonts w:hint="default" w:ascii="Times New Roman" w:hAnsi="Times New Roman" w:eastAsia="仿宋_GB2312" w:cs="Times New Roman"/>
          <w:color w:val="auto"/>
          <w:kern w:val="0"/>
          <w:sz w:val="32"/>
          <w:szCs w:val="32"/>
        </w:rPr>
        <w:t>推进“引雅济安”工程、老街子水库等中型水利工程建设，重点实施中型灌区续建配套与节水改造工程建设，解决米易县城镇生活及工业、农村、安宁河沿河农业灌溉用水</w:t>
      </w:r>
      <w:r>
        <w:rPr>
          <w:rFonts w:hint="default" w:ascii="Times New Roman" w:hAnsi="Times New Roman" w:eastAsia="仿宋_GB2312" w:cs="Times New Roman"/>
          <w:color w:val="auto"/>
          <w:kern w:val="0"/>
          <w:sz w:val="32"/>
          <w:szCs w:val="32"/>
          <w:lang w:eastAsia="zh-CN"/>
        </w:rPr>
        <w:t>；规划</w:t>
      </w:r>
      <w:r>
        <w:rPr>
          <w:rFonts w:hint="default" w:ascii="Times New Roman" w:hAnsi="Times New Roman" w:eastAsia="仿宋_GB2312" w:cs="Times New Roman"/>
          <w:color w:val="auto"/>
          <w:kern w:val="0"/>
          <w:sz w:val="32"/>
          <w:szCs w:val="32"/>
        </w:rPr>
        <w:t>优化雅砻江流域水资源配置，加快推进沙坝水库等水利工程建设，解决盐边县城及红格片区生活、生产和生态用水</w:t>
      </w:r>
      <w:r>
        <w:rPr>
          <w:rStyle w:val="23"/>
          <w:rFonts w:hint="default" w:ascii="Times New Roman" w:hAnsi="Times New Roman" w:eastAsia="仿宋_GB2312" w:cs="Times New Roman"/>
          <w:color w:val="auto"/>
          <w:sz w:val="32"/>
          <w:szCs w:val="32"/>
        </w:rPr>
        <w:footnoteReference w:id="0"/>
      </w:r>
      <w:r>
        <w:rPr>
          <w:rFonts w:hint="default" w:ascii="Times New Roman" w:hAnsi="Times New Roman" w:eastAsia="仿宋_GB2312" w:cs="Times New Roman"/>
          <w:color w:val="auto"/>
          <w:kern w:val="0"/>
          <w:sz w:val="32"/>
          <w:szCs w:val="32"/>
          <w:lang w:eastAsia="zh-CN"/>
        </w:rPr>
        <w:t>。</w:t>
      </w:r>
    </w:p>
    <w:tbl>
      <w:tblPr>
        <w:tblStyle w:val="17"/>
        <w:tblW w:w="5034" w:type="pct"/>
        <w:jc w:val="center"/>
        <w:tblLayout w:type="autofit"/>
        <w:tblCellMar>
          <w:top w:w="0" w:type="dxa"/>
          <w:left w:w="108" w:type="dxa"/>
          <w:bottom w:w="0" w:type="dxa"/>
          <w:right w:w="108" w:type="dxa"/>
        </w:tblCellMar>
      </w:tblPr>
      <w:tblGrid>
        <w:gridCol w:w="1874"/>
        <w:gridCol w:w="1878"/>
        <w:gridCol w:w="1806"/>
        <w:gridCol w:w="1843"/>
        <w:gridCol w:w="1722"/>
      </w:tblGrid>
      <w:tr>
        <w:tblPrEx>
          <w:tblCellMar>
            <w:top w:w="0" w:type="dxa"/>
            <w:left w:w="108" w:type="dxa"/>
            <w:bottom w:w="0" w:type="dxa"/>
            <w:right w:w="108" w:type="dxa"/>
          </w:tblCellMar>
        </w:tblPrEx>
        <w:trPr>
          <w:trHeight w:val="60" w:hRule="atLeast"/>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EEECE1"/>
            <w:noWrap w:val="0"/>
            <w:vAlign w:val="center"/>
          </w:tcPr>
          <w:p>
            <w:pPr>
              <w:overflowPunct w:val="0"/>
              <w:topLinePunct/>
              <w:jc w:val="center"/>
              <w:rPr>
                <w:rFonts w:hint="default" w:ascii="Times New Roman" w:hAnsi="Times New Roman" w:eastAsia="仿宋_GB2312" w:cs="Times New Roman"/>
                <w:b/>
                <w:color w:val="auto"/>
                <w:szCs w:val="21"/>
                <w:shd w:val="clear" w:color="auto" w:fill="EEECE1"/>
              </w:rPr>
            </w:pPr>
            <w:r>
              <w:rPr>
                <w:rFonts w:hint="default" w:ascii="Times New Roman" w:hAnsi="Times New Roman" w:eastAsia="仿宋_GB2312" w:cs="Times New Roman"/>
                <w:b/>
                <w:color w:val="auto"/>
                <w:szCs w:val="21"/>
                <w:shd w:val="clear" w:color="auto" w:fill="EEECE1"/>
              </w:rPr>
              <w:t>专栏</w:t>
            </w:r>
            <w:r>
              <w:rPr>
                <w:rFonts w:hint="default" w:ascii="Times New Roman" w:hAnsi="Times New Roman" w:eastAsia="仿宋_GB2312" w:cs="Times New Roman"/>
                <w:b/>
                <w:color w:val="auto"/>
                <w:szCs w:val="21"/>
                <w:shd w:val="clear" w:color="auto" w:fill="EEECE1"/>
                <w:lang w:val="en-US" w:eastAsia="zh-CN"/>
              </w:rPr>
              <w:t>2</w:t>
            </w:r>
            <w:r>
              <w:rPr>
                <w:rFonts w:hint="default" w:ascii="Times New Roman" w:hAnsi="Times New Roman" w:eastAsia="仿宋_GB2312" w:cs="Times New Roman"/>
                <w:b/>
                <w:color w:val="auto"/>
                <w:szCs w:val="21"/>
                <w:shd w:val="clear" w:color="auto" w:fill="EEECE1"/>
              </w:rPr>
              <w:t xml:space="preserve">  </w:t>
            </w:r>
            <w:r>
              <w:rPr>
                <w:rFonts w:hint="default" w:ascii="Times New Roman" w:hAnsi="Times New Roman" w:eastAsia="仿宋_GB2312" w:cs="Times New Roman"/>
                <w:b/>
                <w:color w:val="auto"/>
                <w:szCs w:val="21"/>
                <w:shd w:val="clear" w:color="auto" w:fill="EEECE1"/>
                <w:lang w:eastAsia="zh-CN"/>
              </w:rPr>
              <w:t>攀枝花</w:t>
            </w:r>
            <w:r>
              <w:rPr>
                <w:rFonts w:hint="default" w:ascii="Times New Roman" w:hAnsi="Times New Roman" w:eastAsia="仿宋_GB2312" w:cs="Times New Roman"/>
                <w:b/>
                <w:color w:val="auto"/>
                <w:szCs w:val="21"/>
                <w:shd w:val="clear" w:color="auto" w:fill="EEECE1"/>
              </w:rPr>
              <w:t>市城市供水状况</w:t>
            </w:r>
          </w:p>
        </w:tc>
      </w:tr>
      <w:tr>
        <w:tblPrEx>
          <w:tblCellMar>
            <w:top w:w="0" w:type="dxa"/>
            <w:left w:w="108" w:type="dxa"/>
            <w:bottom w:w="0" w:type="dxa"/>
            <w:right w:w="108" w:type="dxa"/>
          </w:tblCellMar>
        </w:tblPrEx>
        <w:trPr>
          <w:trHeight w:val="454" w:hRule="atLeast"/>
          <w:jc w:val="center"/>
        </w:trPr>
        <w:tc>
          <w:tcPr>
            <w:tcW w:w="10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
                <w:bCs w:val="0"/>
                <w:color w:val="auto"/>
                <w:szCs w:val="21"/>
              </w:rPr>
            </w:pPr>
            <w:r>
              <w:rPr>
                <w:rFonts w:hint="default" w:ascii="Times New Roman" w:hAnsi="Times New Roman" w:eastAsia="仿宋_GB2312" w:cs="Times New Roman"/>
                <w:b/>
                <w:bCs w:val="0"/>
                <w:color w:val="auto"/>
                <w:szCs w:val="21"/>
              </w:rPr>
              <w:t>行政区</w:t>
            </w:r>
          </w:p>
        </w:tc>
        <w:tc>
          <w:tcPr>
            <w:tcW w:w="1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
                <w:bCs w:val="0"/>
                <w:color w:val="auto"/>
                <w:szCs w:val="21"/>
              </w:rPr>
            </w:pPr>
            <w:r>
              <w:rPr>
                <w:rFonts w:hint="default" w:ascii="Times New Roman" w:hAnsi="Times New Roman" w:eastAsia="仿宋_GB2312" w:cs="Times New Roman"/>
                <w:b/>
                <w:bCs w:val="0"/>
                <w:color w:val="auto"/>
                <w:szCs w:val="21"/>
              </w:rPr>
              <w:t>现状在用水源</w:t>
            </w:r>
          </w:p>
        </w:tc>
        <w:tc>
          <w:tcPr>
            <w:tcW w:w="9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
                <w:bCs w:val="0"/>
                <w:color w:val="auto"/>
                <w:szCs w:val="21"/>
              </w:rPr>
            </w:pPr>
            <w:r>
              <w:rPr>
                <w:rFonts w:hint="default" w:ascii="Times New Roman" w:hAnsi="Times New Roman" w:eastAsia="仿宋_GB2312" w:cs="Times New Roman"/>
                <w:b/>
                <w:bCs w:val="0"/>
                <w:color w:val="auto"/>
                <w:szCs w:val="21"/>
              </w:rPr>
              <w:t>现状备用水源</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overflowPunct w:val="0"/>
              <w:topLinePunct/>
              <w:jc w:val="center"/>
              <w:rPr>
                <w:rFonts w:hint="default" w:ascii="Times New Roman" w:hAnsi="Times New Roman" w:eastAsia="仿宋_GB2312" w:cs="Times New Roman"/>
                <w:b/>
                <w:bCs w:val="0"/>
                <w:color w:val="auto"/>
                <w:szCs w:val="21"/>
              </w:rPr>
            </w:pPr>
            <w:r>
              <w:rPr>
                <w:rFonts w:hint="default" w:ascii="Times New Roman" w:hAnsi="Times New Roman" w:eastAsia="仿宋_GB2312" w:cs="Times New Roman"/>
                <w:b/>
                <w:bCs w:val="0"/>
                <w:color w:val="auto"/>
                <w:szCs w:val="21"/>
              </w:rPr>
              <w:t>规划期在用水源</w:t>
            </w:r>
          </w:p>
        </w:tc>
        <w:tc>
          <w:tcPr>
            <w:tcW w:w="942" w:type="pct"/>
            <w:tcBorders>
              <w:top w:val="single" w:color="auto" w:sz="4" w:space="0"/>
              <w:left w:val="single" w:color="auto" w:sz="4" w:space="0"/>
              <w:bottom w:val="single" w:color="auto" w:sz="4" w:space="0"/>
              <w:right w:val="single" w:color="auto" w:sz="4" w:space="0"/>
            </w:tcBorders>
            <w:noWrap w:val="0"/>
            <w:vAlign w:val="center"/>
          </w:tcPr>
          <w:p>
            <w:pPr>
              <w:overflowPunct w:val="0"/>
              <w:topLinePunct/>
              <w:jc w:val="center"/>
              <w:rPr>
                <w:rFonts w:hint="default" w:ascii="Times New Roman" w:hAnsi="Times New Roman" w:eastAsia="仿宋_GB2312" w:cs="Times New Roman"/>
                <w:b/>
                <w:bCs w:val="0"/>
                <w:color w:val="auto"/>
                <w:szCs w:val="21"/>
              </w:rPr>
            </w:pPr>
            <w:r>
              <w:rPr>
                <w:rFonts w:hint="default" w:ascii="Times New Roman" w:hAnsi="Times New Roman" w:eastAsia="仿宋_GB2312" w:cs="Times New Roman"/>
                <w:b/>
                <w:bCs w:val="0"/>
                <w:color w:val="auto"/>
                <w:szCs w:val="21"/>
              </w:rPr>
              <w:t>规划期备用水源</w:t>
            </w:r>
          </w:p>
        </w:tc>
      </w:tr>
      <w:tr>
        <w:tblPrEx>
          <w:tblCellMar>
            <w:top w:w="0" w:type="dxa"/>
            <w:left w:w="108" w:type="dxa"/>
            <w:bottom w:w="0" w:type="dxa"/>
            <w:right w:w="108" w:type="dxa"/>
          </w:tblCellMar>
        </w:tblPrEx>
        <w:trPr>
          <w:trHeight w:val="454" w:hRule="atLeast"/>
          <w:jc w:val="center"/>
        </w:trPr>
        <w:tc>
          <w:tcPr>
            <w:tcW w:w="102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攀枝花市城区（东区、西区）</w:t>
            </w:r>
          </w:p>
        </w:tc>
        <w:tc>
          <w:tcPr>
            <w:tcW w:w="102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99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color w:val="auto"/>
                <w:kern w:val="0"/>
                <w:szCs w:val="21"/>
                <w:lang w:eastAsia="zh-CN"/>
              </w:rPr>
              <w:t>无</w:t>
            </w:r>
          </w:p>
        </w:tc>
        <w:tc>
          <w:tcPr>
            <w:tcW w:w="101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color w:val="auto"/>
                <w:kern w:val="0"/>
                <w:szCs w:val="21"/>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94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color w:val="auto"/>
                <w:kern w:val="0"/>
                <w:szCs w:val="21"/>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r>
      <w:tr>
        <w:tblPrEx>
          <w:tblCellMar>
            <w:top w:w="0" w:type="dxa"/>
            <w:left w:w="108" w:type="dxa"/>
            <w:bottom w:w="0" w:type="dxa"/>
            <w:right w:w="108" w:type="dxa"/>
          </w:tblCellMar>
        </w:tblPrEx>
        <w:trPr>
          <w:trHeight w:val="454" w:hRule="atLeast"/>
          <w:jc w:val="center"/>
        </w:trPr>
        <w:tc>
          <w:tcPr>
            <w:tcW w:w="102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仁和区</w:t>
            </w:r>
          </w:p>
        </w:tc>
        <w:tc>
          <w:tcPr>
            <w:tcW w:w="102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胜利水库</w:t>
            </w:r>
          </w:p>
        </w:tc>
        <w:tc>
          <w:tcPr>
            <w:tcW w:w="99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101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胜利水库</w:t>
            </w:r>
          </w:p>
        </w:tc>
        <w:tc>
          <w:tcPr>
            <w:tcW w:w="94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r>
      <w:tr>
        <w:tblPrEx>
          <w:tblCellMar>
            <w:top w:w="0" w:type="dxa"/>
            <w:left w:w="108" w:type="dxa"/>
            <w:bottom w:w="0" w:type="dxa"/>
            <w:right w:w="108" w:type="dxa"/>
          </w:tblCellMar>
        </w:tblPrEx>
        <w:trPr>
          <w:trHeight w:val="454" w:hRule="atLeast"/>
          <w:jc w:val="center"/>
        </w:trPr>
        <w:tc>
          <w:tcPr>
            <w:tcW w:w="102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米易县</w:t>
            </w:r>
          </w:p>
        </w:tc>
        <w:tc>
          <w:tcPr>
            <w:tcW w:w="1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晃桥水库</w:t>
            </w:r>
          </w:p>
        </w:tc>
        <w:tc>
          <w:tcPr>
            <w:tcW w:w="990"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color w:val="auto"/>
                <w:lang w:eastAsia="zh-CN"/>
              </w:rPr>
              <w:t>无</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bCs/>
                <w:color w:val="auto"/>
                <w:szCs w:val="21"/>
                <w:lang w:eastAsia="zh-CN"/>
              </w:rPr>
              <w:t>晃桥水库</w:t>
            </w:r>
          </w:p>
        </w:tc>
        <w:tc>
          <w:tcPr>
            <w:tcW w:w="942"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马鞍山水库</w:t>
            </w:r>
          </w:p>
        </w:tc>
      </w:tr>
      <w:tr>
        <w:tblPrEx>
          <w:tblCellMar>
            <w:top w:w="0" w:type="dxa"/>
            <w:left w:w="108" w:type="dxa"/>
            <w:bottom w:w="0" w:type="dxa"/>
            <w:right w:w="108" w:type="dxa"/>
          </w:tblCellMar>
        </w:tblPrEx>
        <w:trPr>
          <w:trHeight w:val="454" w:hRule="atLeast"/>
          <w:jc w:val="center"/>
        </w:trPr>
        <w:tc>
          <w:tcPr>
            <w:tcW w:w="10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盐边县</w:t>
            </w:r>
          </w:p>
        </w:tc>
        <w:tc>
          <w:tcPr>
            <w:tcW w:w="10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 w:cs="Times New Roman"/>
                <w:i w:val="0"/>
                <w:iCs w:val="0"/>
                <w:color w:val="auto"/>
                <w:kern w:val="0"/>
                <w:sz w:val="21"/>
                <w:szCs w:val="21"/>
                <w:u w:val="none"/>
                <w:lang w:val="en-US" w:eastAsia="zh-CN" w:bidi="ar"/>
              </w:rPr>
              <w:t>盐边县雅砻江菩萨岩</w:t>
            </w:r>
            <w:r>
              <w:rPr>
                <w:rFonts w:hint="eastAsia" w:ascii="Times New Roman" w:hAnsi="Times New Roman" w:eastAsia="仿宋" w:cs="Times New Roman"/>
                <w:i w:val="0"/>
                <w:iCs w:val="0"/>
                <w:color w:val="auto"/>
                <w:kern w:val="0"/>
                <w:sz w:val="21"/>
                <w:szCs w:val="21"/>
                <w:u w:val="none"/>
                <w:lang w:val="en-US" w:eastAsia="zh-CN" w:bidi="ar"/>
              </w:rPr>
              <w:t>集中式</w:t>
            </w:r>
            <w:r>
              <w:rPr>
                <w:rFonts w:hint="default" w:ascii="Times New Roman" w:hAnsi="Times New Roman" w:eastAsia="仿宋" w:cs="Times New Roman"/>
                <w:i w:val="0"/>
                <w:iCs w:val="0"/>
                <w:color w:val="auto"/>
                <w:kern w:val="0"/>
                <w:sz w:val="21"/>
                <w:szCs w:val="21"/>
                <w:u w:val="none"/>
                <w:lang w:val="en-US" w:eastAsia="zh-CN" w:bidi="ar"/>
              </w:rPr>
              <w:t>饮用水</w:t>
            </w:r>
            <w:r>
              <w:rPr>
                <w:rFonts w:hint="eastAsia" w:ascii="Times New Roman" w:hAnsi="Times New Roman" w:eastAsia="仿宋" w:cs="Times New Roman"/>
                <w:i w:val="0"/>
                <w:iCs w:val="0"/>
                <w:color w:val="auto"/>
                <w:kern w:val="0"/>
                <w:sz w:val="21"/>
                <w:szCs w:val="21"/>
                <w:u w:val="none"/>
                <w:lang w:val="en-US" w:eastAsia="zh-CN" w:bidi="ar"/>
              </w:rPr>
              <w:t>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9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bCs/>
                <w:color w:val="auto"/>
                <w:szCs w:val="21"/>
                <w:lang w:eastAsia="zh-CN"/>
              </w:rPr>
              <w:t>无</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default" w:ascii="Times New Roman" w:hAnsi="Times New Roman" w:eastAsia="仿宋" w:cs="Times New Roman"/>
                <w:i w:val="0"/>
                <w:iCs w:val="0"/>
                <w:color w:val="auto"/>
                <w:kern w:val="0"/>
                <w:sz w:val="21"/>
                <w:szCs w:val="21"/>
                <w:u w:val="none"/>
                <w:lang w:val="en-US" w:eastAsia="zh-CN" w:bidi="ar"/>
              </w:rPr>
              <w:t>盐边县雅砻江菩萨岩</w:t>
            </w:r>
            <w:r>
              <w:rPr>
                <w:rFonts w:hint="eastAsia" w:ascii="Times New Roman" w:hAnsi="Times New Roman" w:eastAsia="仿宋" w:cs="Times New Roman"/>
                <w:i w:val="0"/>
                <w:iCs w:val="0"/>
                <w:color w:val="auto"/>
                <w:kern w:val="0"/>
                <w:sz w:val="21"/>
                <w:szCs w:val="21"/>
                <w:u w:val="none"/>
                <w:lang w:val="en-US" w:eastAsia="zh-CN" w:bidi="ar"/>
              </w:rPr>
              <w:t>集中式</w:t>
            </w:r>
            <w:r>
              <w:rPr>
                <w:rFonts w:hint="default" w:ascii="Times New Roman" w:hAnsi="Times New Roman" w:eastAsia="仿宋" w:cs="Times New Roman"/>
                <w:i w:val="0"/>
                <w:iCs w:val="0"/>
                <w:color w:val="auto"/>
                <w:kern w:val="0"/>
                <w:sz w:val="21"/>
                <w:szCs w:val="21"/>
                <w:u w:val="none"/>
                <w:lang w:val="en-US" w:eastAsia="zh-CN" w:bidi="ar"/>
              </w:rPr>
              <w:t>饮用水</w:t>
            </w:r>
            <w:r>
              <w:rPr>
                <w:rFonts w:hint="eastAsia" w:ascii="Times New Roman" w:hAnsi="Times New Roman" w:eastAsia="仿宋" w:cs="Times New Roman"/>
                <w:i w:val="0"/>
                <w:iCs w:val="0"/>
                <w:color w:val="auto"/>
                <w:kern w:val="0"/>
                <w:sz w:val="21"/>
                <w:szCs w:val="21"/>
                <w:u w:val="none"/>
                <w:lang w:val="en-US" w:eastAsia="zh-CN" w:bidi="ar"/>
              </w:rPr>
              <w:t>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9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Cs w:val="21"/>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color w:val="auto"/>
          <w:sz w:val="32"/>
          <w:szCs w:val="32"/>
        </w:rPr>
      </w:pPr>
      <w:bookmarkStart w:id="30" w:name="_Toc9282"/>
      <w:bookmarkStart w:id="31" w:name="_Toc27667"/>
      <w:bookmarkStart w:id="32" w:name="_Toc116136559"/>
      <w:r>
        <w:rPr>
          <w:rFonts w:hint="default" w:ascii="Times New Roman" w:hAnsi="Times New Roman" w:eastAsia="黑体" w:cs="Times New Roman"/>
          <w:b w:val="0"/>
          <w:bCs/>
          <w:color w:val="auto"/>
          <w:sz w:val="32"/>
          <w:szCs w:val="32"/>
        </w:rPr>
        <w:t>二、水源保护现状</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33" w:name="_Toc9007"/>
      <w:bookmarkStart w:id="34" w:name="_Toc116136560"/>
      <w:r>
        <w:rPr>
          <w:rFonts w:hint="default" w:ascii="Times New Roman" w:hAnsi="Times New Roman" w:eastAsia="楷体_GB2312" w:cs="Times New Roman"/>
          <w:b w:val="0"/>
          <w:bCs/>
          <w:color w:val="auto"/>
          <w:sz w:val="32"/>
          <w:szCs w:val="32"/>
        </w:rPr>
        <w:t>（一）饮用水水源基本情况</w:t>
      </w:r>
      <w:bookmarkEnd w:id="33"/>
      <w:bookmarkEnd w:id="34"/>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1.集中式饮用水水源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全市</w:t>
      </w:r>
      <w:r>
        <w:rPr>
          <w:rFonts w:hint="default" w:ascii="Times New Roman" w:hAnsi="Times New Roman" w:eastAsia="仿宋_GB2312" w:cs="Times New Roman"/>
          <w:color w:val="auto"/>
          <w:sz w:val="32"/>
          <w:szCs w:val="32"/>
          <w:lang w:eastAsia="zh-CN"/>
        </w:rPr>
        <w:t>在用</w:t>
      </w:r>
      <w:r>
        <w:rPr>
          <w:rFonts w:hint="default" w:ascii="Times New Roman" w:hAnsi="Times New Roman" w:eastAsia="仿宋_GB2312" w:cs="Times New Roman"/>
          <w:color w:val="auto"/>
          <w:sz w:val="32"/>
          <w:szCs w:val="32"/>
        </w:rPr>
        <w:t>集中式饮用水水源</w:t>
      </w:r>
      <w:r>
        <w:rPr>
          <w:rFonts w:hint="default" w:ascii="Times New Roman" w:hAnsi="Times New Roman" w:eastAsia="仿宋_GB2312" w:cs="Times New Roman"/>
          <w:color w:val="auto"/>
          <w:sz w:val="32"/>
          <w:szCs w:val="32"/>
          <w:lang w:val="en-US" w:eastAsia="zh-CN"/>
        </w:rPr>
        <w:t>24</w:t>
      </w:r>
      <w:r>
        <w:rPr>
          <w:rFonts w:hint="default" w:ascii="Times New Roman" w:hAnsi="Times New Roman" w:eastAsia="仿宋_GB2312" w:cs="Times New Roman"/>
          <w:color w:val="auto"/>
          <w:sz w:val="32"/>
          <w:szCs w:val="32"/>
        </w:rPr>
        <w:t>个，包括地级</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个、县级</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个、乡镇</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个</w:t>
      </w:r>
      <w:r>
        <w:rPr>
          <w:rFonts w:hint="default" w:ascii="Times New Roman" w:hAnsi="Times New Roman" w:eastAsia="仿宋_GB2312" w:cs="Times New Roman"/>
          <w:color w:val="auto"/>
          <w:sz w:val="32"/>
          <w:szCs w:val="32"/>
          <w:lang w:eastAsia="zh-CN"/>
        </w:rPr>
        <w:t>。其中水源类型湖库型</w:t>
      </w:r>
      <w:r>
        <w:rPr>
          <w:rFonts w:hint="default" w:ascii="Times New Roman" w:hAnsi="Times New Roman" w:eastAsia="仿宋_GB2312" w:cs="Times New Roman"/>
          <w:color w:val="auto"/>
          <w:sz w:val="32"/>
          <w:szCs w:val="32"/>
          <w:lang w:val="en-US" w:eastAsia="zh-CN"/>
        </w:rPr>
        <w:t>11个，河流型10个，地下水3个，</w:t>
      </w:r>
      <w:r>
        <w:rPr>
          <w:rFonts w:hint="default" w:ascii="Times New Roman" w:hAnsi="Times New Roman" w:eastAsia="仿宋_GB2312" w:cs="Times New Roman"/>
          <w:color w:val="auto"/>
          <w:sz w:val="32"/>
          <w:szCs w:val="32"/>
        </w:rPr>
        <w:t>水源</w:t>
      </w:r>
      <w:r>
        <w:rPr>
          <w:rFonts w:hint="default" w:ascii="Times New Roman" w:hAnsi="Times New Roman" w:eastAsia="仿宋_GB2312" w:cs="Times New Roman"/>
          <w:color w:val="auto"/>
          <w:sz w:val="32"/>
          <w:szCs w:val="32"/>
          <w:lang w:eastAsia="zh-CN"/>
        </w:rPr>
        <w:t>主要为地表水</w:t>
      </w:r>
      <w:r>
        <w:rPr>
          <w:rFonts w:hint="default" w:ascii="Times New Roman" w:hAnsi="Times New Roman" w:eastAsia="仿宋_GB2312" w:cs="Times New Roman"/>
          <w:color w:val="auto"/>
          <w:sz w:val="32"/>
          <w:szCs w:val="32"/>
        </w:rPr>
        <w:t>，占比</w:t>
      </w:r>
      <w:r>
        <w:rPr>
          <w:rFonts w:hint="default" w:ascii="Times New Roman" w:hAnsi="Times New Roman" w:eastAsia="仿宋_GB2312" w:cs="Times New Roman"/>
          <w:color w:val="auto"/>
          <w:sz w:val="32"/>
          <w:szCs w:val="32"/>
          <w:lang w:val="en-US" w:eastAsia="zh-CN"/>
        </w:rPr>
        <w:t>88</w:t>
      </w:r>
      <w:r>
        <w:rPr>
          <w:rFonts w:hint="default" w:ascii="Times New Roman" w:hAnsi="Times New Roman" w:eastAsia="仿宋_GB2312" w:cs="Times New Roman"/>
          <w:color w:val="auto"/>
          <w:sz w:val="32"/>
          <w:szCs w:val="32"/>
        </w:rPr>
        <w:t>%。集中式饮用水水源供水服务人口</w:t>
      </w:r>
      <w:r>
        <w:rPr>
          <w:rFonts w:hint="default" w:ascii="Times New Roman" w:hAnsi="Times New Roman" w:eastAsia="仿宋_GB2312" w:cs="Times New Roman"/>
          <w:color w:val="auto"/>
          <w:sz w:val="32"/>
          <w:szCs w:val="32"/>
          <w:lang w:val="en-US" w:eastAsia="zh-CN"/>
        </w:rPr>
        <w:t>105.72</w:t>
      </w:r>
      <w:r>
        <w:rPr>
          <w:rFonts w:hint="default" w:ascii="Times New Roman" w:hAnsi="Times New Roman" w:eastAsia="仿宋_GB2312" w:cs="Times New Roman"/>
          <w:color w:val="auto"/>
          <w:sz w:val="32"/>
          <w:szCs w:val="32"/>
        </w:rPr>
        <w:t>万人，占全市常住人口的</w:t>
      </w:r>
      <w:r>
        <w:rPr>
          <w:rFonts w:hint="default" w:ascii="Times New Roman" w:hAnsi="Times New Roman" w:eastAsia="仿宋_GB2312" w:cs="Times New Roman"/>
          <w:color w:val="auto"/>
          <w:sz w:val="32"/>
          <w:szCs w:val="32"/>
          <w:lang w:val="en-US" w:eastAsia="zh-CN"/>
        </w:rPr>
        <w:t>86.94</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米易县马鞍山水库</w:t>
      </w:r>
      <w:r>
        <w:rPr>
          <w:rFonts w:hint="eastAsia" w:ascii="Times New Roman" w:hAnsi="Times New Roman" w:eastAsia="仿宋_GB2312" w:cs="Times New Roman"/>
          <w:color w:val="auto"/>
          <w:sz w:val="32"/>
          <w:szCs w:val="32"/>
          <w:lang w:eastAsia="zh-CN"/>
        </w:rPr>
        <w:t>集中式</w:t>
      </w:r>
      <w:r>
        <w:rPr>
          <w:rFonts w:hint="default" w:ascii="Times New Roman" w:hAnsi="Times New Roman" w:eastAsia="仿宋_GB2312" w:cs="Times New Roman"/>
          <w:color w:val="auto"/>
          <w:sz w:val="32"/>
          <w:szCs w:val="32"/>
          <w:lang w:eastAsia="zh-CN"/>
        </w:rPr>
        <w:t>饮用水水源（米易县城区应急备用水源）正在建设。</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8522" w:type="dxa"/>
            <w:shd w:val="clear" w:color="auto" w:fill="EEECE1"/>
            <w:noWrap w:val="0"/>
            <w:vAlign w:val="top"/>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仿宋_GB2312" w:cs="Times New Roman"/>
                <w:color w:val="auto"/>
                <w:sz w:val="21"/>
                <w:szCs w:val="21"/>
                <w:vertAlign w:val="baseline"/>
              </w:rPr>
            </w:pPr>
            <w:r>
              <w:rPr>
                <w:rFonts w:hint="default" w:ascii="Times New Roman" w:hAnsi="Times New Roman" w:eastAsia="仿宋_GB2312" w:cs="Times New Roman"/>
                <w:b/>
                <w:bCs/>
                <w:color w:val="auto"/>
              </w:rPr>
              <w:t>专栏</w:t>
            </w:r>
            <w:r>
              <w:rPr>
                <w:rFonts w:hint="default" w:ascii="Times New Roman" w:hAnsi="Times New Roman" w:eastAsia="仿宋_GB2312" w:cs="Times New Roman"/>
                <w:b/>
                <w:bCs/>
                <w:color w:val="auto"/>
                <w:lang w:val="en-US" w:eastAsia="zh-CN"/>
              </w:rPr>
              <w:t>3</w:t>
            </w:r>
            <w:r>
              <w:rPr>
                <w:rFonts w:hint="default" w:ascii="Times New Roman" w:hAnsi="Times New Roman" w:eastAsia="仿宋_GB2312" w:cs="Times New Roman"/>
                <w:b/>
                <w:bCs/>
                <w:color w:val="auto"/>
              </w:rPr>
              <w:t xml:space="preserve">  </w:t>
            </w:r>
            <w:r>
              <w:rPr>
                <w:rFonts w:hint="default" w:ascii="Times New Roman" w:hAnsi="Times New Roman" w:eastAsia="仿宋_GB2312" w:cs="Times New Roman"/>
                <w:b/>
                <w:bCs/>
                <w:color w:val="auto"/>
                <w:lang w:eastAsia="zh-CN"/>
              </w:rPr>
              <w:t>攀枝花</w:t>
            </w:r>
            <w:r>
              <w:rPr>
                <w:rFonts w:hint="default" w:ascii="Times New Roman" w:hAnsi="Times New Roman" w:eastAsia="仿宋_GB2312" w:cs="Times New Roman"/>
                <w:b/>
                <w:bCs/>
                <w:color w:val="auto"/>
              </w:rPr>
              <w:t>市集中式饮用水水源现状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pStyle w:val="16"/>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19650" cy="2743200"/>
                  <wp:effectExtent l="4445" t="4445" r="14605" b="14605"/>
                  <wp:docPr id="8"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 xml:space="preserve">图1-1 </w:t>
            </w:r>
            <w:r>
              <w:rPr>
                <w:rFonts w:hint="default" w:ascii="Times New Roman" w:hAnsi="Times New Roman" w:eastAsia="仿宋_GB2312" w:cs="Times New Roman"/>
                <w:b/>
                <w:bCs/>
                <w:color w:val="auto"/>
                <w:szCs w:val="21"/>
                <w:lang w:eastAsia="zh-CN"/>
              </w:rPr>
              <w:t>攀枝花</w:t>
            </w:r>
            <w:r>
              <w:rPr>
                <w:rFonts w:hint="default" w:ascii="Times New Roman" w:hAnsi="Times New Roman" w:eastAsia="仿宋_GB2312" w:cs="Times New Roman"/>
                <w:b/>
                <w:bCs/>
                <w:color w:val="auto"/>
                <w:szCs w:val="21"/>
              </w:rPr>
              <w:t>市集中式饮用水水源类型占比</w:t>
            </w:r>
          </w:p>
          <w:p>
            <w:pPr>
              <w:pStyle w:val="1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19650" cy="2628900"/>
                  <wp:effectExtent l="4445" t="4445" r="14605" b="14605"/>
                  <wp:docPr id="9" name="图片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10"/>
              <w:jc w:val="center"/>
              <w:rPr>
                <w:rFonts w:hint="default" w:ascii="Times New Roman" w:hAnsi="Times New Roman" w:cs="Times New Roman"/>
                <w:color w:val="auto"/>
              </w:rPr>
            </w:pPr>
            <w:r>
              <w:rPr>
                <w:rFonts w:hint="default" w:ascii="Times New Roman" w:hAnsi="Times New Roman" w:eastAsia="仿宋_GB2312" w:cs="Times New Roman"/>
                <w:b/>
                <w:bCs/>
                <w:color w:val="auto"/>
                <w:szCs w:val="21"/>
              </w:rPr>
              <w:t xml:space="preserve">图1-2 </w:t>
            </w:r>
            <w:r>
              <w:rPr>
                <w:rFonts w:hint="default" w:ascii="Times New Roman" w:hAnsi="Times New Roman" w:eastAsia="仿宋_GB2312" w:cs="Times New Roman"/>
                <w:b/>
                <w:bCs/>
                <w:color w:val="auto"/>
                <w:szCs w:val="21"/>
                <w:lang w:eastAsia="zh-CN"/>
              </w:rPr>
              <w:t>攀枝花市</w:t>
            </w:r>
            <w:r>
              <w:rPr>
                <w:rFonts w:hint="default" w:ascii="Times New Roman" w:hAnsi="Times New Roman" w:eastAsia="仿宋_GB2312" w:cs="Times New Roman"/>
                <w:b/>
                <w:bCs/>
                <w:color w:val="auto"/>
                <w:szCs w:val="21"/>
              </w:rPr>
              <w:t>集中式水源</w:t>
            </w:r>
            <w:r>
              <w:rPr>
                <w:rFonts w:hint="default" w:ascii="Times New Roman" w:hAnsi="Times New Roman" w:eastAsia="仿宋_GB2312" w:cs="Times New Roman"/>
                <w:b/>
                <w:bCs/>
                <w:color w:val="auto"/>
              </w:rPr>
              <w:t>区县分布情况</w:t>
            </w:r>
          </w:p>
        </w:tc>
      </w:tr>
    </w:tbl>
    <w:p>
      <w:pPr>
        <w:spacing w:line="360" w:lineRule="auto"/>
        <w:ind w:firstLine="640" w:firstLineChars="200"/>
        <w:outlineLvl w:val="1"/>
        <w:rPr>
          <w:rFonts w:hint="default" w:ascii="Times New Roman" w:hAnsi="Times New Roman" w:eastAsia="楷体_GB2312" w:cs="Times New Roman"/>
          <w:b/>
          <w:color w:val="auto"/>
          <w:sz w:val="32"/>
          <w:szCs w:val="32"/>
          <w:lang w:eastAsia="zh-CN"/>
        </w:rPr>
      </w:pPr>
      <w:bookmarkStart w:id="35" w:name="_Toc116136561"/>
      <w:bookmarkStart w:id="36" w:name="_Toc4563"/>
      <w:r>
        <w:rPr>
          <w:rFonts w:hint="default" w:ascii="Times New Roman" w:hAnsi="Times New Roman" w:eastAsia="楷体_GB2312" w:cs="Times New Roman"/>
          <w:b w:val="0"/>
          <w:bCs/>
          <w:color w:val="auto"/>
          <w:sz w:val="32"/>
          <w:szCs w:val="32"/>
        </w:rPr>
        <w:t>（二）</w:t>
      </w:r>
      <w:r>
        <w:rPr>
          <w:rFonts w:hint="default" w:ascii="Times New Roman" w:hAnsi="Times New Roman" w:eastAsia="楷体_GB2312" w:cs="Times New Roman"/>
          <w:b w:val="0"/>
          <w:bCs/>
          <w:color w:val="auto"/>
          <w:sz w:val="32"/>
          <w:szCs w:val="32"/>
          <w:lang w:eastAsia="zh-CN"/>
        </w:rPr>
        <w:t>回顾</w:t>
      </w:r>
      <w:r>
        <w:rPr>
          <w:rFonts w:hint="default" w:ascii="Times New Roman" w:hAnsi="Times New Roman" w:eastAsia="楷体_GB2312" w:cs="Times New Roman"/>
          <w:b w:val="0"/>
          <w:bCs/>
          <w:color w:val="auto"/>
          <w:sz w:val="32"/>
          <w:szCs w:val="32"/>
        </w:rPr>
        <w:t>水源保护工作</w:t>
      </w:r>
      <w:bookmarkEnd w:id="35"/>
      <w:r>
        <w:rPr>
          <w:rFonts w:hint="default" w:ascii="Times New Roman" w:hAnsi="Times New Roman" w:eastAsia="楷体_GB2312" w:cs="Times New Roman"/>
          <w:b w:val="0"/>
          <w:bCs/>
          <w:color w:val="auto"/>
          <w:sz w:val="32"/>
          <w:szCs w:val="32"/>
          <w:lang w:eastAsia="zh-CN"/>
        </w:rPr>
        <w:t>成效</w:t>
      </w:r>
      <w:bookmarkEnd w:id="36"/>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应急备用水源建设有序推进。</w:t>
      </w:r>
      <w:r>
        <w:rPr>
          <w:rFonts w:hint="default" w:ascii="Times New Roman" w:hAnsi="Times New Roman" w:eastAsia="仿宋_GB2312" w:cs="Times New Roman"/>
          <w:b w:val="0"/>
          <w:bCs w:val="0"/>
          <w:color w:val="auto"/>
          <w:sz w:val="32"/>
          <w:szCs w:val="32"/>
          <w:lang w:val="en-US" w:eastAsia="zh-CN"/>
        </w:rPr>
        <w:t>积极推进中心城区应急备用水源地前期选址和设计工作，中心城区应急备用水源取水口已选定于盐边县雅砻江菩萨岩集中式饮用水水源地（四川省生态环境厅已认定）。为解决米易县单一水源问题，在丙谷镇橄榄河上新建马鞍山水库作为米易县城区应急备用水源，现马鞍山水库</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从莫佬河和撒里黑沟至马鞍山水库的引水渠均已建成。</w:t>
      </w:r>
      <w:r>
        <w:rPr>
          <w:rFonts w:hint="default" w:ascii="Times New Roman" w:hAnsi="Times New Roman" w:eastAsia="仿宋_GB2312" w:cs="Times New Roman"/>
          <w:b w:val="0"/>
          <w:bCs w:val="0"/>
          <w:color w:val="auto"/>
          <w:sz w:val="32"/>
          <w:szCs w:val="32"/>
          <w:lang w:eastAsia="zh-CN"/>
        </w:rPr>
        <w:t>旱季</w:t>
      </w:r>
      <w:r>
        <w:rPr>
          <w:rFonts w:hint="default" w:ascii="Times New Roman" w:hAnsi="Times New Roman" w:eastAsia="仿宋_GB2312" w:cs="Times New Roman"/>
          <w:b w:val="0"/>
          <w:bCs w:val="0"/>
          <w:color w:val="auto"/>
          <w:sz w:val="32"/>
          <w:szCs w:val="32"/>
          <w:lang w:val="en-US" w:eastAsia="zh-CN"/>
        </w:rPr>
        <w:t>期间，</w:t>
      </w:r>
      <w:r>
        <w:rPr>
          <w:rFonts w:hint="default" w:ascii="Times New Roman" w:hAnsi="Times New Roman" w:eastAsia="仿宋_GB2312" w:cs="Times New Roman"/>
          <w:b w:val="0"/>
          <w:bCs w:val="0"/>
          <w:color w:val="auto"/>
          <w:sz w:val="32"/>
          <w:szCs w:val="32"/>
          <w:lang w:eastAsia="zh-CN"/>
        </w:rPr>
        <w:t>仁和区胜利水库</w:t>
      </w:r>
      <w:r>
        <w:rPr>
          <w:rFonts w:hint="default" w:ascii="Times New Roman" w:hAnsi="Times New Roman" w:eastAsia="仿宋_GB2312" w:cs="Times New Roman"/>
          <w:b w:val="0"/>
          <w:bCs w:val="0"/>
          <w:color w:val="auto"/>
          <w:sz w:val="32"/>
          <w:szCs w:val="32"/>
          <w:lang w:val="en-US" w:eastAsia="zh-CN"/>
        </w:rPr>
        <w:t>因缺水，停止取水约3个月，为保证仁和区城区居民用水，建成跨区联网调度</w:t>
      </w:r>
      <w:r>
        <w:rPr>
          <w:rFonts w:hint="default" w:ascii="Times New Roman" w:hAnsi="Times New Roman" w:eastAsia="仿宋_GB2312" w:cs="Times New Roman"/>
          <w:b w:val="0"/>
          <w:bCs w:val="0"/>
          <w:color w:val="auto"/>
          <w:sz w:val="32"/>
          <w:szCs w:val="32"/>
          <w:lang w:eastAsia="zh-CN"/>
        </w:rPr>
        <w:t>供水管网</w:t>
      </w:r>
      <w:r>
        <w:rPr>
          <w:rFonts w:hint="default" w:ascii="Times New Roman" w:hAnsi="Times New Roman" w:eastAsia="仿宋_GB2312" w:cs="Times New Roman"/>
          <w:b w:val="0"/>
          <w:bCs w:val="0"/>
          <w:color w:val="auto"/>
          <w:sz w:val="32"/>
          <w:szCs w:val="32"/>
          <w:lang w:val="en-US" w:eastAsia="zh-CN"/>
        </w:rPr>
        <w:t>，从大渡口和炳草岗水厂分别调度1.5万m</w:t>
      </w:r>
      <w:r>
        <w:rPr>
          <w:rFonts w:hint="default" w:ascii="Times New Roman" w:hAnsi="Times New Roman" w:eastAsia="仿宋_GB2312" w:cs="Times New Roman"/>
          <w:b w:val="0"/>
          <w:bCs w:val="0"/>
          <w:color w:val="auto"/>
          <w:sz w:val="32"/>
          <w:szCs w:val="32"/>
          <w:vertAlign w:val="superscript"/>
          <w:lang w:val="en-US" w:eastAsia="zh-CN"/>
        </w:rPr>
        <w:t>3</w:t>
      </w:r>
      <w:r>
        <w:rPr>
          <w:rFonts w:hint="default" w:ascii="Times New Roman" w:hAnsi="Times New Roman" w:eastAsia="仿宋_GB2312" w:cs="Times New Roman"/>
          <w:b w:val="0"/>
          <w:bCs w:val="0"/>
          <w:color w:val="auto"/>
          <w:sz w:val="32"/>
          <w:szCs w:val="32"/>
          <w:vertAlign w:val="baseline"/>
          <w:lang w:val="en-US" w:eastAsia="zh-CN"/>
        </w:rPr>
        <w:t>/d，满足仁和区城区居民日常用水；</w:t>
      </w:r>
      <w:r>
        <w:rPr>
          <w:rFonts w:hint="default" w:ascii="Times New Roman" w:hAnsi="Times New Roman" w:eastAsia="仿宋_GB2312" w:cs="Times New Roman"/>
          <w:b w:val="0"/>
          <w:bCs w:val="0"/>
          <w:color w:val="auto"/>
          <w:sz w:val="32"/>
          <w:szCs w:val="32"/>
          <w:lang w:eastAsia="zh-CN"/>
        </w:rPr>
        <w:t>旱季</w:t>
      </w:r>
      <w:r>
        <w:rPr>
          <w:rFonts w:hint="default" w:ascii="Times New Roman" w:hAnsi="Times New Roman" w:eastAsia="仿宋_GB2312" w:cs="Times New Roman"/>
          <w:b w:val="0"/>
          <w:bCs w:val="0"/>
          <w:color w:val="auto"/>
          <w:sz w:val="32"/>
          <w:szCs w:val="32"/>
          <w:lang w:val="en-US" w:eastAsia="zh-CN"/>
        </w:rPr>
        <w:t>期间，渔门镇集中式饮用水水源地因缺水，停止取水约6个月，为保证渔门镇居民用水，建成跨区联网调度</w:t>
      </w:r>
      <w:r>
        <w:rPr>
          <w:rFonts w:hint="default" w:ascii="Times New Roman" w:hAnsi="Times New Roman" w:eastAsia="仿宋_GB2312" w:cs="Times New Roman"/>
          <w:b w:val="0"/>
          <w:bCs w:val="0"/>
          <w:color w:val="auto"/>
          <w:sz w:val="32"/>
          <w:szCs w:val="32"/>
          <w:lang w:eastAsia="zh-CN"/>
        </w:rPr>
        <w:t>供水管网</w:t>
      </w:r>
      <w:r>
        <w:rPr>
          <w:rFonts w:hint="default" w:ascii="Times New Roman" w:hAnsi="Times New Roman" w:eastAsia="仿宋_GB2312" w:cs="Times New Roman"/>
          <w:b w:val="0"/>
          <w:bCs w:val="0"/>
          <w:color w:val="auto"/>
          <w:sz w:val="32"/>
          <w:szCs w:val="32"/>
          <w:lang w:val="en-US" w:eastAsia="zh-CN"/>
        </w:rPr>
        <w:t>，从永兴镇永箐堰水源地调度0.5万m</w:t>
      </w:r>
      <w:r>
        <w:rPr>
          <w:rFonts w:hint="default" w:ascii="Times New Roman" w:hAnsi="Times New Roman" w:eastAsia="仿宋_GB2312" w:cs="Times New Roman"/>
          <w:b w:val="0"/>
          <w:bCs w:val="0"/>
          <w:color w:val="auto"/>
          <w:sz w:val="32"/>
          <w:szCs w:val="32"/>
          <w:vertAlign w:val="superscript"/>
          <w:lang w:val="en-US" w:eastAsia="zh-CN"/>
        </w:rPr>
        <w:t>3</w:t>
      </w:r>
      <w:r>
        <w:rPr>
          <w:rFonts w:hint="default" w:ascii="Times New Roman" w:hAnsi="Times New Roman" w:eastAsia="仿宋_GB2312" w:cs="Times New Roman"/>
          <w:b w:val="0"/>
          <w:bCs w:val="0"/>
          <w:color w:val="auto"/>
          <w:sz w:val="32"/>
          <w:szCs w:val="32"/>
          <w:vertAlign w:val="baseline"/>
          <w:lang w:val="en-US" w:eastAsia="zh-CN"/>
        </w:rPr>
        <w:t>/d，满足</w:t>
      </w:r>
      <w:r>
        <w:rPr>
          <w:rFonts w:hint="default" w:ascii="Times New Roman" w:hAnsi="Times New Roman" w:eastAsia="仿宋_GB2312" w:cs="Times New Roman"/>
          <w:b w:val="0"/>
          <w:bCs w:val="0"/>
          <w:color w:val="auto"/>
          <w:sz w:val="32"/>
          <w:szCs w:val="32"/>
          <w:lang w:val="en-US" w:eastAsia="zh-CN"/>
        </w:rPr>
        <w:t>渔门镇居民</w:t>
      </w:r>
      <w:r>
        <w:rPr>
          <w:rFonts w:hint="default" w:ascii="Times New Roman" w:hAnsi="Times New Roman" w:eastAsia="仿宋_GB2312" w:cs="Times New Roman"/>
          <w:b w:val="0"/>
          <w:bCs w:val="0"/>
          <w:color w:val="auto"/>
          <w:sz w:val="32"/>
          <w:szCs w:val="32"/>
          <w:vertAlign w:val="baseline"/>
          <w:lang w:val="en-US" w:eastAsia="zh-CN"/>
        </w:rPr>
        <w:t>日常用水。</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rPr>
        <w:t>水源水质持续</w:t>
      </w:r>
      <w:r>
        <w:rPr>
          <w:rFonts w:hint="default" w:ascii="Times New Roman" w:hAnsi="Times New Roman" w:eastAsia="仿宋_GB2312" w:cs="Times New Roman"/>
          <w:b/>
          <w:bCs/>
          <w:color w:val="auto"/>
          <w:sz w:val="32"/>
          <w:szCs w:val="32"/>
          <w:lang w:eastAsia="zh-CN"/>
        </w:rPr>
        <w:t>保持稳定。</w:t>
      </w:r>
      <w:r>
        <w:rPr>
          <w:rFonts w:hint="default" w:ascii="Times New Roman" w:hAnsi="Times New Roman" w:eastAsia="仿宋_GB2312" w:cs="Times New Roman"/>
          <w:b w:val="0"/>
          <w:bCs w:val="0"/>
          <w:color w:val="auto"/>
          <w:sz w:val="32"/>
          <w:szCs w:val="32"/>
          <w:lang w:val="en-US" w:eastAsia="zh-CN"/>
        </w:rPr>
        <w:t>2020年，</w:t>
      </w:r>
      <w:r>
        <w:rPr>
          <w:rFonts w:hint="default" w:ascii="Times New Roman" w:hAnsi="Times New Roman" w:eastAsia="仿宋_GB2312" w:cs="Times New Roman"/>
          <w:b w:val="0"/>
          <w:bCs w:val="0"/>
          <w:color w:val="auto"/>
          <w:sz w:val="32"/>
          <w:szCs w:val="32"/>
          <w:lang w:eastAsia="zh-CN"/>
        </w:rPr>
        <w:t>全市县级以上集中式饮用水水源地</w:t>
      </w:r>
      <w:r>
        <w:rPr>
          <w:rFonts w:hint="default" w:ascii="Times New Roman" w:hAnsi="Times New Roman" w:eastAsia="仿宋_GB2312" w:cs="Times New Roman"/>
          <w:b w:val="0"/>
          <w:bCs w:val="0"/>
          <w:color w:val="auto"/>
          <w:sz w:val="32"/>
          <w:szCs w:val="32"/>
          <w:lang w:val="en-US" w:eastAsia="zh-CN"/>
        </w:rPr>
        <w:t>4个，100%的水源水质达到或优于Ⅲ类，乡镇级集中式饮用水水源地20个，100%的水源（不包含国胜乡鱼洞水源地、箐河乡象鼻子水源地、米易县湾丘彝族乡湾丘基地水源地）水质达到或优于Ⅲ类，2016年至2020年全市集中式饮用水水源水质持续保持稳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规范化建设成效显著</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val="0"/>
          <w:bCs w:val="0"/>
          <w:color w:val="auto"/>
          <w:sz w:val="32"/>
          <w:szCs w:val="32"/>
          <w:lang w:eastAsia="zh-CN"/>
        </w:rPr>
        <w:t>全市集中式饮用水水源保护区划定率提升至100%；除在建水源外，保护区标志标牌规范设置率、一级保护区隔离设施完成率均达到100%。全市在用、备用水源均开展水质监测，攀枝花市观音岩水库具备在线监测能力。</w:t>
      </w:r>
      <w:r>
        <w:rPr>
          <w:rFonts w:hint="default" w:ascii="Times New Roman" w:hAnsi="Times New Roman" w:eastAsia="仿宋_GB2312" w:cs="Times New Roman"/>
          <w:color w:val="auto"/>
          <w:sz w:val="32"/>
          <w:szCs w:val="32"/>
        </w:rPr>
        <w:t>通过建设应急备用水源、跨区域联网调度等方式，</w:t>
      </w:r>
      <w:r>
        <w:rPr>
          <w:rFonts w:hint="default" w:ascii="Times New Roman" w:hAnsi="Times New Roman" w:eastAsia="仿宋_GB2312" w:cs="Times New Roman"/>
          <w:color w:val="auto"/>
          <w:sz w:val="32"/>
          <w:szCs w:val="32"/>
          <w:lang w:eastAsia="zh-CN"/>
        </w:rPr>
        <w:t>除盐边县以外，均形成</w:t>
      </w:r>
      <w:r>
        <w:rPr>
          <w:rFonts w:hint="default" w:ascii="Times New Roman" w:hAnsi="Times New Roman" w:eastAsia="仿宋_GB2312" w:cs="Times New Roman"/>
          <w:color w:val="auto"/>
          <w:sz w:val="32"/>
          <w:szCs w:val="32"/>
        </w:rPr>
        <w:t>“一用一备”</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供水格局。集中式饮用水水源地突发环境事件应急预案制定完成率</w:t>
      </w:r>
      <w:r>
        <w:rPr>
          <w:rFonts w:hint="default" w:ascii="Times New Roman" w:hAnsi="Times New Roman" w:eastAsia="仿宋_GB2312" w:cs="Times New Roman"/>
          <w:color w:val="auto"/>
          <w:sz w:val="32"/>
          <w:szCs w:val="32"/>
          <w:lang w:val="en-US" w:eastAsia="zh-CN"/>
        </w:rPr>
        <w:t>96</w:t>
      </w:r>
      <w:r>
        <w:rPr>
          <w:rFonts w:hint="default" w:ascii="Times New Roman" w:hAnsi="Times New Roman" w:eastAsia="仿宋_GB2312" w:cs="Times New Roman"/>
          <w:color w:val="auto"/>
          <w:sz w:val="32"/>
          <w:szCs w:val="32"/>
        </w:rPr>
        <w:t>%。</w:t>
      </w:r>
    </w:p>
    <w:p>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水源布局进</w:t>
      </w:r>
      <w:r>
        <w:rPr>
          <w:rFonts w:hint="default" w:ascii="Times New Roman" w:hAnsi="Times New Roman" w:eastAsia="仿宋_GB2312" w:cs="Times New Roman"/>
          <w:b/>
          <w:bCs/>
          <w:color w:val="auto"/>
          <w:sz w:val="32"/>
          <w:szCs w:val="32"/>
          <w:lang w:eastAsia="zh-CN"/>
        </w:rPr>
        <w:t>一</w:t>
      </w:r>
      <w:r>
        <w:rPr>
          <w:rFonts w:hint="default" w:ascii="Times New Roman" w:hAnsi="Times New Roman" w:eastAsia="仿宋_GB2312" w:cs="Times New Roman"/>
          <w:b/>
          <w:bCs/>
          <w:color w:val="auto"/>
          <w:sz w:val="32"/>
          <w:szCs w:val="32"/>
        </w:rPr>
        <w:t>步优化</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color w:val="auto"/>
          <w:sz w:val="32"/>
          <w:szCs w:val="32"/>
        </w:rPr>
        <w:t>进一步优化</w:t>
      </w:r>
      <w:r>
        <w:rPr>
          <w:rFonts w:hint="default" w:ascii="Times New Roman" w:hAnsi="Times New Roman" w:eastAsia="仿宋_GB2312" w:cs="Times New Roman"/>
          <w:color w:val="auto"/>
          <w:sz w:val="32"/>
          <w:szCs w:val="32"/>
          <w:lang w:eastAsia="zh-CN"/>
        </w:rPr>
        <w:t>饮用水源地</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以观音岩水库为中心城区饮用水水源地，取缔格里坪、河门口、大渡口、金江、陶家渡、荷花池、炳草岗、密地和凹乌林水库等9个集中式饮用水水源地，彻底解决攀枝花市饮用水源保护区内取水口、排水口交错分布问题，有效保障城市供水安全；盐边县集中式饮用水水源地由雅砻江纳尔河取水口迁建至原取水口上游菩萨岩取水口，避免原取水口上游支流周边的废水污染，有效保障饮水安全；为保障攀枝花高新技术产业园区（高粱坪园区）内人员的饮水安全，高粱坪园区内人员生活用水由攀枝花市观音岩水库集中饮用水水源地供水，取消高粱坪饮用水源地；</w:t>
      </w:r>
      <w:r>
        <w:rPr>
          <w:rFonts w:hint="default" w:ascii="Times New Roman" w:hAnsi="Times New Roman" w:eastAsia="仿宋_GB2312" w:cs="Times New Roman"/>
          <w:color w:val="auto"/>
          <w:sz w:val="32"/>
          <w:szCs w:val="32"/>
        </w:rPr>
        <w:t>推进乡镇</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水源</w:t>
      </w:r>
      <w:r>
        <w:rPr>
          <w:rFonts w:hint="default" w:ascii="Times New Roman" w:hAnsi="Times New Roman" w:eastAsia="仿宋_GB2312" w:cs="Times New Roman"/>
          <w:color w:val="auto"/>
          <w:sz w:val="32"/>
          <w:szCs w:val="32"/>
          <w:lang w:eastAsia="zh-CN"/>
        </w:rPr>
        <w:t>地建大，仁和区平地镇饮用水水源地由洛伍水库改迁至跃进水库；为保护地下水资源，水源由地下水改为地表水</w:t>
      </w:r>
      <w:r>
        <w:rPr>
          <w:rFonts w:hint="default" w:ascii="Times New Roman" w:hAnsi="Times New Roman" w:eastAsia="仿宋_GB2312" w:cs="Times New Roman"/>
          <w:color w:val="auto"/>
          <w:sz w:val="32"/>
          <w:szCs w:val="32"/>
        </w:rPr>
        <w:t>，撒莲镇龙洞河水源</w:t>
      </w:r>
      <w:r>
        <w:rPr>
          <w:rFonts w:hint="default" w:ascii="Times New Roman" w:hAnsi="Times New Roman" w:eastAsia="仿宋_GB2312" w:cs="Times New Roman"/>
          <w:color w:val="auto"/>
          <w:sz w:val="32"/>
          <w:szCs w:val="32"/>
          <w:lang w:eastAsia="zh-CN"/>
        </w:rPr>
        <w:t>地由地下水调整为地表水，红格</w:t>
      </w:r>
      <w:r>
        <w:rPr>
          <w:rFonts w:hint="eastAsia"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lang w:eastAsia="zh-CN"/>
        </w:rPr>
        <w:t>钻井水源地调整为高堰沟水库水源地。</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环境问题整治</w:t>
      </w:r>
      <w:r>
        <w:rPr>
          <w:rFonts w:hint="default" w:ascii="Times New Roman" w:hAnsi="Times New Roman" w:eastAsia="仿宋_GB2312" w:cs="Times New Roman"/>
          <w:b/>
          <w:bCs/>
          <w:color w:val="auto"/>
          <w:sz w:val="32"/>
          <w:szCs w:val="32"/>
          <w:lang w:eastAsia="zh-CN"/>
        </w:rPr>
        <w:t>有序推进。</w:t>
      </w:r>
      <w:r>
        <w:rPr>
          <w:rFonts w:hint="default" w:ascii="Times New Roman" w:hAnsi="Times New Roman" w:eastAsia="仿宋_GB2312" w:cs="Times New Roman"/>
          <w:b w:val="0"/>
          <w:bCs w:val="0"/>
          <w:color w:val="auto"/>
          <w:sz w:val="32"/>
          <w:szCs w:val="32"/>
          <w:lang w:eastAsia="zh-CN"/>
        </w:rPr>
        <w:t>扎实推进集中式饮用水水源保护区“划、立、治”专项行动，</w:t>
      </w:r>
      <w:r>
        <w:rPr>
          <w:rFonts w:hint="default" w:ascii="Times New Roman" w:hAnsi="Times New Roman" w:eastAsia="仿宋_GB2312" w:cs="Times New Roman"/>
          <w:color w:val="auto"/>
          <w:sz w:val="32"/>
          <w:szCs w:val="32"/>
        </w:rPr>
        <w:t>聚焦突出环境问题，定期开展水源环境隐患排查和不定期执法专项检查，全面完成地级、县级</w:t>
      </w:r>
      <w:r>
        <w:rPr>
          <w:rFonts w:hint="default" w:ascii="Times New Roman" w:hAnsi="Times New Roman" w:eastAsia="仿宋_GB2312" w:cs="Times New Roman"/>
          <w:color w:val="auto"/>
          <w:sz w:val="32"/>
          <w:szCs w:val="32"/>
          <w:lang w:eastAsia="zh-CN"/>
        </w:rPr>
        <w:t>集中式饮用水源地环境</w:t>
      </w:r>
      <w:r>
        <w:rPr>
          <w:rFonts w:hint="default" w:ascii="Times New Roman" w:hAnsi="Times New Roman" w:eastAsia="仿宋_GB2312" w:cs="Times New Roman"/>
          <w:color w:val="auto"/>
          <w:sz w:val="32"/>
          <w:szCs w:val="32"/>
        </w:rPr>
        <w:t>问题</w:t>
      </w:r>
      <w:r>
        <w:rPr>
          <w:rFonts w:hint="default" w:ascii="Times New Roman" w:hAnsi="Times New Roman" w:eastAsia="仿宋_GB2312" w:cs="Times New Roman"/>
          <w:color w:val="auto"/>
          <w:sz w:val="32"/>
          <w:szCs w:val="32"/>
          <w:lang w:eastAsia="zh-CN"/>
        </w:rPr>
        <w:t>整治</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积极开展乡镇级以下饮用水源地环境问题整治，</w:t>
      </w:r>
      <w:r>
        <w:rPr>
          <w:rFonts w:hint="default" w:ascii="Times New Roman" w:hAnsi="Times New Roman" w:eastAsia="仿宋_GB2312" w:cs="Times New Roman"/>
          <w:color w:val="auto"/>
          <w:sz w:val="32"/>
          <w:szCs w:val="32"/>
        </w:rPr>
        <w:t>按季度开展“划、立、治”整改回头看。关停、取缔、搬迁保护区内住房、工业企业、畜禽</w:t>
      </w:r>
      <w:r>
        <w:rPr>
          <w:rFonts w:hint="default" w:ascii="Times New Roman" w:hAnsi="Times New Roman" w:eastAsia="仿宋_GB2312" w:cs="Times New Roman"/>
          <w:color w:val="auto"/>
          <w:sz w:val="32"/>
          <w:szCs w:val="32"/>
          <w:lang w:eastAsia="zh-CN"/>
        </w:rPr>
        <w:t>养殖场</w:t>
      </w:r>
      <w:r>
        <w:rPr>
          <w:rFonts w:hint="default" w:ascii="Times New Roman" w:hAnsi="Times New Roman" w:eastAsia="仿宋_GB2312" w:cs="Times New Roman"/>
          <w:color w:val="auto"/>
          <w:sz w:val="32"/>
          <w:szCs w:val="32"/>
        </w:rPr>
        <w:t>，整治保护区内住房、工业企业、农家乐等项目，解决了历史遗留问题。</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rPr>
        <w:t>管护能力稳步加强</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val="0"/>
          <w:bCs w:val="0"/>
          <w:color w:val="auto"/>
          <w:sz w:val="32"/>
          <w:szCs w:val="32"/>
          <w:lang w:eastAsia="zh-CN"/>
        </w:rPr>
        <w:t>建立环境问题整治和不达标水源动态管理制度，严格实行问题“清单制+责任制+销号制”。完善水质定期监测制度和水源环境状况定期评估制度，建成饮用水水源基础数据库和饮用水水源保护区矢量数据库。完善各区县环境监测站硬件设施，提高饮用水水源应急监测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37" w:name="_Toc116136562"/>
      <w:bookmarkStart w:id="38" w:name="_Toc27121"/>
      <w:r>
        <w:rPr>
          <w:rFonts w:hint="default" w:ascii="Times New Roman" w:hAnsi="Times New Roman" w:eastAsia="楷体_GB2312" w:cs="Times New Roman"/>
          <w:b w:val="0"/>
          <w:bCs/>
          <w:color w:val="auto"/>
          <w:sz w:val="32"/>
          <w:szCs w:val="32"/>
        </w:rPr>
        <w:t>（三）问题与不足</w:t>
      </w:r>
      <w:bookmarkEnd w:id="37"/>
      <w:bookmarkEnd w:id="38"/>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rPr>
        <w:t>部分水源</w:t>
      </w:r>
      <w:r>
        <w:rPr>
          <w:rFonts w:hint="default" w:ascii="Times New Roman" w:hAnsi="Times New Roman" w:eastAsia="仿宋_GB2312" w:cs="Times New Roman"/>
          <w:b/>
          <w:bCs/>
          <w:color w:val="auto"/>
          <w:sz w:val="32"/>
          <w:szCs w:val="32"/>
          <w:lang w:eastAsia="zh-CN"/>
        </w:rPr>
        <w:t>供水能力不足</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b w:val="0"/>
          <w:bCs w:val="0"/>
          <w:color w:val="auto"/>
          <w:sz w:val="32"/>
          <w:szCs w:val="32"/>
          <w:lang w:eastAsia="zh-CN"/>
        </w:rPr>
        <w:t>全市所在区域旱季持续时间长，旱季期间大部分水库缺水，旱季</w:t>
      </w:r>
      <w:r>
        <w:rPr>
          <w:rFonts w:hint="default" w:ascii="Times New Roman" w:hAnsi="Times New Roman" w:eastAsia="仿宋_GB2312" w:cs="Times New Roman"/>
          <w:b w:val="0"/>
          <w:bCs w:val="0"/>
          <w:color w:val="auto"/>
          <w:sz w:val="32"/>
          <w:szCs w:val="32"/>
          <w:lang w:val="en-US" w:eastAsia="zh-CN"/>
        </w:rPr>
        <w:t>期间，</w:t>
      </w:r>
      <w:r>
        <w:rPr>
          <w:rFonts w:hint="default" w:ascii="Times New Roman" w:hAnsi="Times New Roman" w:eastAsia="仿宋_GB2312" w:cs="Times New Roman"/>
          <w:b w:val="0"/>
          <w:bCs w:val="0"/>
          <w:color w:val="auto"/>
          <w:sz w:val="32"/>
          <w:szCs w:val="32"/>
          <w:lang w:eastAsia="zh-CN"/>
        </w:rPr>
        <w:t>全市集中饮用水水源地</w:t>
      </w:r>
      <w:r>
        <w:rPr>
          <w:rFonts w:hint="default" w:ascii="Times New Roman" w:hAnsi="Times New Roman" w:eastAsia="仿宋_GB2312" w:cs="Times New Roman"/>
          <w:b w:val="0"/>
          <w:bCs w:val="0"/>
          <w:color w:val="auto"/>
          <w:sz w:val="32"/>
          <w:szCs w:val="32"/>
          <w:lang w:val="en-US" w:eastAsia="zh-CN"/>
        </w:rPr>
        <w:t>中有3个水源地缺水，分别为</w:t>
      </w:r>
      <w:r>
        <w:rPr>
          <w:rFonts w:hint="default" w:ascii="Times New Roman" w:hAnsi="Times New Roman" w:eastAsia="仿宋_GB2312" w:cs="Times New Roman"/>
          <w:b w:val="0"/>
          <w:bCs w:val="0"/>
          <w:color w:val="auto"/>
          <w:sz w:val="32"/>
          <w:szCs w:val="32"/>
          <w:lang w:eastAsia="zh-CN"/>
        </w:rPr>
        <w:t>仁和区胜利水库、渔门镇集中式饮用水水源地</w:t>
      </w:r>
      <w:r>
        <w:rPr>
          <w:rFonts w:hint="default" w:ascii="Times New Roman" w:hAnsi="Times New Roman" w:eastAsia="仿宋_GB2312" w:cs="Times New Roman"/>
          <w:b w:val="0"/>
          <w:bCs w:val="0"/>
          <w:color w:val="auto"/>
          <w:sz w:val="32"/>
          <w:szCs w:val="32"/>
          <w:lang w:val="en-US" w:eastAsia="zh-CN"/>
        </w:rPr>
        <w:t>和</w:t>
      </w:r>
      <w:r>
        <w:rPr>
          <w:rFonts w:hint="default" w:ascii="Times New Roman" w:hAnsi="Times New Roman" w:eastAsia="仿宋_GB2312" w:cs="Times New Roman"/>
          <w:b w:val="0"/>
          <w:bCs w:val="0"/>
          <w:color w:val="auto"/>
          <w:sz w:val="32"/>
          <w:szCs w:val="32"/>
          <w:lang w:eastAsia="zh-CN"/>
        </w:rPr>
        <w:t>高堰沟水库水源地，</w:t>
      </w:r>
      <w:r>
        <w:rPr>
          <w:rFonts w:hint="default" w:ascii="Times New Roman" w:hAnsi="Times New Roman" w:eastAsia="仿宋_GB2312" w:cs="Times New Roman"/>
          <w:b w:val="0"/>
          <w:bCs w:val="0"/>
          <w:color w:val="auto"/>
          <w:sz w:val="32"/>
          <w:szCs w:val="32"/>
          <w:lang w:val="en-US" w:eastAsia="zh-CN"/>
        </w:rPr>
        <w:t>因缺水停止取水时间，</w:t>
      </w:r>
      <w:r>
        <w:rPr>
          <w:rFonts w:hint="default" w:ascii="Times New Roman" w:hAnsi="Times New Roman" w:eastAsia="仿宋_GB2312" w:cs="Times New Roman"/>
          <w:b w:val="0"/>
          <w:bCs w:val="0"/>
          <w:color w:val="auto"/>
          <w:sz w:val="32"/>
          <w:szCs w:val="32"/>
          <w:lang w:eastAsia="zh-CN"/>
        </w:rPr>
        <w:t>仁和区胜利水库</w:t>
      </w:r>
      <w:r>
        <w:rPr>
          <w:rFonts w:hint="default" w:ascii="Times New Roman" w:hAnsi="Times New Roman" w:eastAsia="仿宋_GB2312" w:cs="Times New Roman"/>
          <w:b w:val="0"/>
          <w:bCs w:val="0"/>
          <w:color w:val="auto"/>
          <w:sz w:val="32"/>
          <w:szCs w:val="32"/>
          <w:lang w:val="en-US" w:eastAsia="zh-CN"/>
        </w:rPr>
        <w:t>约3个月，渔门镇集中式饮用水水源地约6个月，</w:t>
      </w:r>
      <w:r>
        <w:rPr>
          <w:rFonts w:hint="default" w:ascii="Times New Roman" w:hAnsi="Times New Roman" w:eastAsia="仿宋_GB2312" w:cs="Times New Roman"/>
          <w:b w:val="0"/>
          <w:bCs w:val="0"/>
          <w:color w:val="auto"/>
          <w:sz w:val="32"/>
          <w:szCs w:val="32"/>
          <w:lang w:eastAsia="zh-CN"/>
        </w:rPr>
        <w:t>高堰沟水库水源地</w:t>
      </w:r>
      <w:r>
        <w:rPr>
          <w:rFonts w:hint="default" w:ascii="Times New Roman" w:hAnsi="Times New Roman" w:eastAsia="仿宋_GB2312" w:cs="Times New Roman"/>
          <w:b w:val="0"/>
          <w:bCs w:val="0"/>
          <w:color w:val="auto"/>
          <w:sz w:val="32"/>
          <w:szCs w:val="32"/>
          <w:lang w:val="en-US" w:eastAsia="zh-CN"/>
        </w:rPr>
        <w:t>6～8个月。采取跨区联网调度</w:t>
      </w:r>
      <w:r>
        <w:rPr>
          <w:rFonts w:hint="default" w:ascii="Times New Roman" w:hAnsi="Times New Roman" w:eastAsia="仿宋_GB2312" w:cs="Times New Roman"/>
          <w:b w:val="0"/>
          <w:bCs w:val="0"/>
          <w:color w:val="auto"/>
          <w:sz w:val="32"/>
          <w:szCs w:val="32"/>
          <w:lang w:eastAsia="zh-CN"/>
        </w:rPr>
        <w:t>的</w:t>
      </w:r>
      <w:r>
        <w:rPr>
          <w:rFonts w:hint="default" w:ascii="Times New Roman" w:hAnsi="Times New Roman" w:eastAsia="仿宋_GB2312" w:cs="Times New Roman"/>
          <w:b w:val="0"/>
          <w:bCs w:val="0"/>
          <w:color w:val="auto"/>
          <w:sz w:val="32"/>
          <w:szCs w:val="32"/>
          <w:lang w:val="en-US" w:eastAsia="zh-CN"/>
        </w:rPr>
        <w:t>方法，</w:t>
      </w:r>
      <w:r>
        <w:rPr>
          <w:rFonts w:hint="default" w:ascii="Times New Roman" w:hAnsi="Times New Roman" w:eastAsia="仿宋_GB2312" w:cs="Times New Roman"/>
          <w:b w:val="0"/>
          <w:bCs w:val="0"/>
          <w:color w:val="auto"/>
          <w:sz w:val="32"/>
          <w:szCs w:val="32"/>
          <w:lang w:eastAsia="zh-CN"/>
        </w:rPr>
        <w:t>仁和区</w:t>
      </w:r>
      <w:r>
        <w:rPr>
          <w:rFonts w:hint="default" w:ascii="Times New Roman" w:hAnsi="Times New Roman" w:eastAsia="仿宋_GB2312" w:cs="Times New Roman"/>
          <w:b w:val="0"/>
          <w:bCs w:val="0"/>
          <w:color w:val="auto"/>
          <w:sz w:val="32"/>
          <w:szCs w:val="32"/>
          <w:lang w:val="en-US" w:eastAsia="zh-CN"/>
        </w:rPr>
        <w:t>城区和</w:t>
      </w:r>
      <w:r>
        <w:rPr>
          <w:rFonts w:hint="default" w:ascii="Times New Roman" w:hAnsi="Times New Roman" w:eastAsia="仿宋_GB2312" w:cs="Times New Roman"/>
          <w:b w:val="0"/>
          <w:bCs w:val="0"/>
          <w:color w:val="auto"/>
          <w:sz w:val="32"/>
          <w:szCs w:val="32"/>
          <w:lang w:eastAsia="zh-CN"/>
        </w:rPr>
        <w:t>渔门镇</w:t>
      </w:r>
      <w:r>
        <w:rPr>
          <w:rFonts w:hint="default" w:ascii="Times New Roman" w:hAnsi="Times New Roman" w:eastAsia="仿宋_GB2312" w:cs="Times New Roman"/>
          <w:b w:val="0"/>
          <w:bCs w:val="0"/>
          <w:color w:val="auto"/>
          <w:sz w:val="32"/>
          <w:szCs w:val="32"/>
          <w:lang w:val="en-US" w:eastAsia="zh-CN"/>
        </w:rPr>
        <w:t>旱季期间缺水问题得到有效解决。</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rPr>
        <w:t>部分水源水质有待提升。</w:t>
      </w:r>
      <w:r>
        <w:rPr>
          <w:rFonts w:hint="default" w:ascii="Times New Roman" w:hAnsi="Times New Roman" w:eastAsia="仿宋_GB2312" w:cs="Times New Roman"/>
          <w:b w:val="0"/>
          <w:bCs w:val="0"/>
          <w:color w:val="auto"/>
          <w:sz w:val="32"/>
          <w:szCs w:val="32"/>
          <w:lang w:val="en-US" w:eastAsia="zh-CN"/>
        </w:rPr>
        <w:t>2021年下半年盐边县</w:t>
      </w:r>
      <w:r>
        <w:rPr>
          <w:rFonts w:hint="eastAsia" w:ascii="Times New Roman" w:hAnsi="Times New Roman" w:eastAsia="仿宋_GB2312" w:cs="Times New Roman"/>
          <w:b w:val="0"/>
          <w:bCs w:val="0"/>
          <w:color w:val="auto"/>
          <w:sz w:val="32"/>
          <w:szCs w:val="32"/>
          <w:lang w:val="en-US" w:eastAsia="zh-CN"/>
        </w:rPr>
        <w:t>新九镇</w:t>
      </w:r>
      <w:r>
        <w:rPr>
          <w:rFonts w:hint="default" w:ascii="Times New Roman" w:hAnsi="Times New Roman" w:eastAsia="仿宋_GB2312" w:cs="Times New Roman"/>
          <w:b w:val="0"/>
          <w:bCs w:val="0"/>
          <w:color w:val="auto"/>
          <w:sz w:val="32"/>
          <w:szCs w:val="32"/>
          <w:lang w:eastAsia="zh-CN"/>
        </w:rPr>
        <w:t>高堰沟水库水源地</w:t>
      </w:r>
      <w:r>
        <w:rPr>
          <w:rFonts w:hint="default" w:ascii="Times New Roman" w:hAnsi="Times New Roman" w:eastAsia="仿宋_GB2312" w:cs="Times New Roman"/>
          <w:color w:val="auto"/>
          <w:sz w:val="32"/>
          <w:szCs w:val="32"/>
          <w:lang w:eastAsia="zh-CN"/>
        </w:rPr>
        <w:t>五日生化需氧量、高锰酸盐指数、总磷超标；</w:t>
      </w:r>
      <w:r>
        <w:rPr>
          <w:rFonts w:hint="default" w:ascii="Times New Roman" w:hAnsi="Times New Roman" w:eastAsia="仿宋_GB2312" w:cs="Times New Roman"/>
          <w:b w:val="0"/>
          <w:bCs w:val="0"/>
          <w:color w:val="auto"/>
          <w:sz w:val="32"/>
          <w:szCs w:val="32"/>
          <w:lang w:val="en-US" w:eastAsia="zh-CN"/>
        </w:rPr>
        <w:t>2022年上半年盐边县国胜乡鱼洞水源地（地下水）和箐河乡象鼻子水源地（地下水）的总大肠菌群超标；全市集中式饮用水水源地中尚有</w:t>
      </w:r>
      <w:r>
        <w:rPr>
          <w:rFonts w:hint="default" w:ascii="Times New Roman" w:hAnsi="Times New Roman" w:eastAsia="仿宋_GB2312" w:cs="Times New Roman"/>
          <w:color w:val="auto"/>
          <w:sz w:val="32"/>
          <w:szCs w:val="32"/>
          <w:lang w:eastAsia="zh-CN"/>
        </w:rPr>
        <w:t>晃桥水库、胜利水库、清香水库、占田水库、小纸房水库和芭蕉菁水库水源地总氮超标（总氮单独评价，不参与水质评价）；晃桥水库、胜利水库、高堰沟水库、清香水库和小河沟水库水源地</w:t>
      </w:r>
      <w:r>
        <w:rPr>
          <w:rFonts w:hint="default" w:ascii="Times New Roman" w:hAnsi="Times New Roman" w:eastAsia="仿宋_GB2312" w:cs="Times New Roman"/>
          <w:color w:val="auto"/>
          <w:sz w:val="32"/>
          <w:szCs w:val="32"/>
        </w:rPr>
        <w:t>水质呈中营养状态，存在藻华发生风险。</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风险防控亟待加强。</w:t>
      </w:r>
      <w:r>
        <w:rPr>
          <w:rFonts w:hint="eastAsia" w:ascii="Times New Roman" w:hAnsi="Times New Roman" w:eastAsia="仿宋_GB2312" w:cs="Times New Roman"/>
          <w:b w:val="0"/>
          <w:bCs w:val="0"/>
          <w:color w:val="auto"/>
          <w:sz w:val="32"/>
          <w:szCs w:val="32"/>
          <w:lang w:eastAsia="zh-CN"/>
        </w:rPr>
        <w:t>除仁和区以外，其他县级和中心</w:t>
      </w:r>
      <w:r>
        <w:rPr>
          <w:rFonts w:hint="default" w:ascii="Times New Roman" w:hAnsi="Times New Roman" w:eastAsia="仿宋_GB2312" w:cs="Times New Roman"/>
          <w:b w:val="0"/>
          <w:bCs w:val="0"/>
          <w:color w:val="auto"/>
          <w:sz w:val="32"/>
          <w:szCs w:val="32"/>
          <w:lang w:eastAsia="zh-CN"/>
        </w:rPr>
        <w:t>城区均不具备应急供水能力，米易县城区应急备用水源</w:t>
      </w:r>
      <w:r>
        <w:rPr>
          <w:rFonts w:hint="eastAsia" w:ascii="Times New Roman" w:hAnsi="Times New Roman" w:eastAsia="仿宋_GB2312" w:cs="Times New Roman"/>
          <w:b w:val="0"/>
          <w:bCs w:val="0"/>
          <w:color w:val="auto"/>
          <w:sz w:val="32"/>
          <w:szCs w:val="32"/>
          <w:lang w:eastAsia="zh-CN"/>
        </w:rPr>
        <w:t>正在</w:t>
      </w:r>
      <w:r>
        <w:rPr>
          <w:rFonts w:hint="default" w:ascii="Times New Roman" w:hAnsi="Times New Roman" w:eastAsia="仿宋_GB2312" w:cs="Times New Roman"/>
          <w:b w:val="0"/>
          <w:bCs w:val="0"/>
          <w:color w:val="auto"/>
          <w:sz w:val="32"/>
          <w:szCs w:val="32"/>
          <w:lang w:eastAsia="zh-CN"/>
        </w:rPr>
        <w:t>建</w:t>
      </w:r>
      <w:r>
        <w:rPr>
          <w:rFonts w:hint="eastAsia" w:ascii="Times New Roman" w:hAnsi="Times New Roman" w:eastAsia="仿宋_GB2312" w:cs="Times New Roman"/>
          <w:b w:val="0"/>
          <w:bCs w:val="0"/>
          <w:color w:val="auto"/>
          <w:sz w:val="32"/>
          <w:szCs w:val="32"/>
          <w:lang w:eastAsia="zh-CN"/>
        </w:rPr>
        <w:t>设</w:t>
      </w:r>
      <w:r>
        <w:rPr>
          <w:rFonts w:hint="default" w:ascii="Times New Roman" w:hAnsi="Times New Roman" w:eastAsia="仿宋_GB2312" w:cs="Times New Roman"/>
          <w:b w:val="0"/>
          <w:bCs w:val="0"/>
          <w:color w:val="auto"/>
          <w:sz w:val="32"/>
          <w:szCs w:val="32"/>
          <w:lang w:eastAsia="zh-CN"/>
        </w:rPr>
        <w:t>，攀枝花市中心城区和盐边县城区</w:t>
      </w:r>
      <w:r>
        <w:rPr>
          <w:rFonts w:hint="default" w:ascii="Times New Roman" w:hAnsi="Times New Roman" w:eastAsia="仿宋_GB2312" w:cs="Times New Roman"/>
          <w:color w:val="auto"/>
          <w:sz w:val="32"/>
          <w:szCs w:val="32"/>
        </w:rPr>
        <w:t>跨区域应急备用水源联网调度</w:t>
      </w:r>
      <w:r>
        <w:rPr>
          <w:rFonts w:hint="default" w:ascii="Times New Roman" w:hAnsi="Times New Roman" w:eastAsia="仿宋_GB2312" w:cs="Times New Roman"/>
          <w:b w:val="0"/>
          <w:bCs w:val="0"/>
          <w:color w:val="auto"/>
          <w:sz w:val="32"/>
          <w:szCs w:val="32"/>
          <w:lang w:eastAsia="zh-CN"/>
        </w:rPr>
        <w:t>供水管网未建成。部分乡镇级集中式饮用水源地应急物资储备不齐全，现在用水源</w:t>
      </w:r>
      <w:r>
        <w:rPr>
          <w:rFonts w:hint="eastAsia" w:ascii="Times New Roman" w:hAnsi="Times New Roman" w:eastAsia="仿宋_GB2312" w:cs="Times New Roman"/>
          <w:b w:val="0"/>
          <w:bCs w:val="0"/>
          <w:color w:val="auto"/>
          <w:sz w:val="32"/>
          <w:szCs w:val="32"/>
          <w:lang w:eastAsia="zh-CN"/>
        </w:rPr>
        <w:t>中</w:t>
      </w:r>
      <w:r>
        <w:rPr>
          <w:rFonts w:hint="default" w:ascii="Times New Roman" w:hAnsi="Times New Roman" w:eastAsia="仿宋_GB2312" w:cs="Times New Roman"/>
          <w:b w:val="0"/>
          <w:bCs w:val="0"/>
          <w:color w:val="auto"/>
          <w:sz w:val="32"/>
          <w:szCs w:val="32"/>
          <w:lang w:eastAsia="zh-CN"/>
        </w:rPr>
        <w:t>盐边县雅砻江菩萨岩集中式饮用水水源地未编制突发环境事件应急预案，米易县马鞍山水库集中式饮用水水源地规范化建成后，应编制突发环境事件应急预案，全市集中式饮用水源未定期开展应急演练，应急能力</w:t>
      </w:r>
      <w:r>
        <w:rPr>
          <w:rFonts w:hint="default" w:ascii="Times New Roman" w:hAnsi="Times New Roman" w:eastAsia="仿宋_GB2312" w:cs="Times New Roman"/>
          <w:color w:val="auto"/>
          <w:sz w:val="32"/>
          <w:szCs w:val="32"/>
        </w:rPr>
        <w:t>亟需</w:t>
      </w:r>
      <w:r>
        <w:rPr>
          <w:rFonts w:hint="default" w:ascii="Times New Roman" w:hAnsi="Times New Roman" w:eastAsia="仿宋_GB2312" w:cs="Times New Roman"/>
          <w:b w:val="0"/>
          <w:bCs w:val="0"/>
          <w:color w:val="auto"/>
          <w:sz w:val="32"/>
          <w:szCs w:val="32"/>
          <w:lang w:eastAsia="zh-CN"/>
        </w:rPr>
        <w:t>加强。</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rPr>
        <w:t>污染整治有待深化。</w:t>
      </w:r>
      <w:r>
        <w:rPr>
          <w:rFonts w:hint="default" w:ascii="Times New Roman" w:hAnsi="Times New Roman" w:eastAsia="仿宋_GB2312" w:cs="Times New Roman"/>
          <w:color w:val="auto"/>
          <w:sz w:val="32"/>
          <w:szCs w:val="32"/>
        </w:rPr>
        <w:t>农村面源污染治理仍有不足，乡镇</w:t>
      </w:r>
      <w:r>
        <w:rPr>
          <w:rFonts w:hint="default" w:ascii="Times New Roman" w:hAnsi="Times New Roman" w:eastAsia="仿宋_GB2312" w:cs="Times New Roman"/>
          <w:color w:val="auto"/>
          <w:sz w:val="32"/>
          <w:szCs w:val="32"/>
          <w:lang w:eastAsia="zh-CN"/>
        </w:rPr>
        <w:t>级集中式饮用水</w:t>
      </w:r>
      <w:r>
        <w:rPr>
          <w:rFonts w:hint="default" w:ascii="Times New Roman" w:hAnsi="Times New Roman" w:eastAsia="仿宋_GB2312" w:cs="Times New Roman"/>
          <w:color w:val="auto"/>
          <w:sz w:val="32"/>
          <w:szCs w:val="32"/>
        </w:rPr>
        <w:t>水源保护区内存在农药、化肥使用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乡镇</w:t>
      </w:r>
      <w:r>
        <w:rPr>
          <w:rFonts w:hint="default" w:ascii="Times New Roman" w:hAnsi="Times New Roman" w:eastAsia="仿宋_GB2312" w:cs="Times New Roman"/>
          <w:color w:val="auto"/>
          <w:sz w:val="32"/>
          <w:szCs w:val="32"/>
          <w:lang w:eastAsia="zh-CN"/>
        </w:rPr>
        <w:t>级集中式饮用水</w:t>
      </w:r>
      <w:r>
        <w:rPr>
          <w:rFonts w:hint="default" w:ascii="Times New Roman" w:hAnsi="Times New Roman" w:eastAsia="仿宋_GB2312" w:cs="Times New Roman"/>
          <w:color w:val="auto"/>
          <w:sz w:val="32"/>
          <w:szCs w:val="32"/>
        </w:rPr>
        <w:t>水源</w:t>
      </w:r>
      <w:r>
        <w:rPr>
          <w:rFonts w:hint="default" w:ascii="Times New Roman" w:hAnsi="Times New Roman" w:eastAsia="仿宋_GB2312" w:cs="Times New Roman"/>
          <w:color w:val="auto"/>
          <w:sz w:val="32"/>
          <w:szCs w:val="32"/>
          <w:lang w:eastAsia="zh-CN"/>
        </w:rPr>
        <w:t>保护区内尚存在农村生活污水散排、垂钓等现象，</w:t>
      </w:r>
      <w:r>
        <w:rPr>
          <w:rFonts w:hint="default" w:ascii="Times New Roman" w:hAnsi="Times New Roman" w:eastAsia="仿宋_GB2312" w:cs="Times New Roman"/>
          <w:color w:val="auto"/>
          <w:sz w:val="32"/>
          <w:szCs w:val="32"/>
        </w:rPr>
        <w:t>保护区内遗留问题有待解决，高堰沟水库水源地</w:t>
      </w:r>
      <w:r>
        <w:rPr>
          <w:rFonts w:hint="default" w:ascii="Times New Roman" w:hAnsi="Times New Roman" w:eastAsia="仿宋_GB2312" w:cs="Times New Roman"/>
          <w:color w:val="auto"/>
          <w:sz w:val="32"/>
          <w:szCs w:val="32"/>
          <w:lang w:eastAsia="zh-CN"/>
        </w:rPr>
        <w:t>、清香水库水源地、渔门镇集中式饮用水水源地保护区环境问题尤为突出，加快保护区环境整治；有序推进</w:t>
      </w:r>
      <w:r>
        <w:rPr>
          <w:rFonts w:hint="default" w:ascii="Times New Roman" w:hAnsi="Times New Roman" w:eastAsia="仿宋_GB2312" w:cs="Times New Roman"/>
          <w:b w:val="0"/>
          <w:bCs w:val="0"/>
          <w:color w:val="auto"/>
          <w:sz w:val="32"/>
          <w:szCs w:val="32"/>
          <w:lang w:eastAsia="zh-CN"/>
        </w:rPr>
        <w:t>米易县马鞍山水库集中式饮用水水源的规划建设和环境整治。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color w:val="auto"/>
          <w:sz w:val="32"/>
          <w:szCs w:val="32"/>
        </w:rPr>
      </w:pPr>
      <w:bookmarkStart w:id="39" w:name="_Toc21009"/>
      <w:bookmarkStart w:id="40" w:name="_Toc5543"/>
      <w:bookmarkStart w:id="41" w:name="_Toc116136563"/>
      <w:r>
        <w:rPr>
          <w:rFonts w:hint="default" w:ascii="Times New Roman" w:hAnsi="Times New Roman" w:eastAsia="黑体" w:cs="Times New Roman"/>
          <w:b w:val="0"/>
          <w:bCs/>
          <w:color w:val="auto"/>
          <w:sz w:val="32"/>
          <w:szCs w:val="32"/>
        </w:rPr>
        <w:t>三、总体要求</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42" w:name="_Toc116136564"/>
      <w:bookmarkStart w:id="43" w:name="_Toc21953"/>
      <w:r>
        <w:rPr>
          <w:rFonts w:hint="default" w:ascii="Times New Roman" w:hAnsi="Times New Roman" w:eastAsia="楷体_GB2312" w:cs="Times New Roman"/>
          <w:b w:val="0"/>
          <w:bCs/>
          <w:color w:val="auto"/>
          <w:sz w:val="32"/>
          <w:szCs w:val="32"/>
        </w:rPr>
        <w:t>（一）指导思想</w:t>
      </w:r>
      <w:bookmarkEnd w:id="42"/>
      <w:bookmarkEnd w:id="43"/>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以习近平新时代中国特色社会主义思想为指导，深入贯彻党的二十大精神，认真落实党中央、国务院和省委、省政府的决策部署，立足新发展阶段，贯彻新发展理念，融入新发展格局，认真践行绿水青山就是金山银山理念，以保障人民群众饮水安全为根本出发点，以持续改善水源地水环境质量为目标，坚持问题导向与目标导向，持续推进水源保护区环境问题整治，增强重要水源涵养区保护修复，巩固提升风险防范和应急预警能力，强化环境监管水平，保障饮用水源安全，确保饮用水源安全和人民群众身体健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44" w:name="_Toc28015"/>
      <w:bookmarkStart w:id="45" w:name="_Toc116136565"/>
      <w:r>
        <w:rPr>
          <w:rFonts w:hint="default" w:ascii="Times New Roman" w:hAnsi="Times New Roman" w:eastAsia="楷体_GB2312" w:cs="Times New Roman"/>
          <w:b w:val="0"/>
          <w:bCs/>
          <w:color w:val="auto"/>
          <w:sz w:val="32"/>
          <w:szCs w:val="32"/>
        </w:rPr>
        <w:t>（二）基本原则</w:t>
      </w:r>
      <w:bookmarkEnd w:id="44"/>
      <w:bookmarkEnd w:id="45"/>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rPr>
        <w:t>以人为本，保护优先。</w:t>
      </w:r>
      <w:r>
        <w:rPr>
          <w:rFonts w:hint="default" w:ascii="Times New Roman" w:hAnsi="Times New Roman" w:eastAsia="仿宋_GB2312" w:cs="Times New Roman"/>
          <w:b w:val="0"/>
          <w:bCs w:val="0"/>
          <w:color w:val="auto"/>
          <w:sz w:val="32"/>
          <w:szCs w:val="32"/>
        </w:rPr>
        <w:t>饮用水水源保护是重大民生工程，坚持以人民为中心，把人民群众饮水安全作为规划的出发点和落脚点，着力解决人民群众关心的饮水问题，牢固树立底线思维和风险意识，把饮用水水源保护作为保障群众饮水安全的首要环节，健全饮用水水源管理体系，严格落实饮用水水源保护区制度。</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突出重点，分类施治。</w:t>
      </w:r>
      <w:r>
        <w:rPr>
          <w:rFonts w:hint="default" w:ascii="Times New Roman" w:hAnsi="Times New Roman" w:eastAsia="仿宋_GB2312" w:cs="Times New Roman"/>
          <w:b w:val="0"/>
          <w:bCs w:val="0"/>
          <w:color w:val="auto"/>
          <w:sz w:val="32"/>
          <w:szCs w:val="32"/>
        </w:rPr>
        <w:t>以不达标饮用水源地为重点，加强突出环境问题整治。准确把握饮用水水源地类型特点、自然禀赋条件、城乡差异，分析自然因素和人类活动影响，精准施策、分类施治，科学制定饮用水水源保护举措。</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建管并重，补齐短板。</w:t>
      </w:r>
      <w:r>
        <w:rPr>
          <w:rFonts w:hint="default" w:ascii="Times New Roman" w:hAnsi="Times New Roman" w:eastAsia="仿宋_GB2312" w:cs="Times New Roman"/>
          <w:b w:val="0"/>
          <w:bCs w:val="0"/>
          <w:color w:val="auto"/>
          <w:sz w:val="32"/>
          <w:szCs w:val="32"/>
        </w:rPr>
        <w:t>强化饮用水水源地基础设施建设和运行维护，建立长效保障机制。以“划、立、治”为重点，补齐饮用水水源保护短板，统筹饮用水水源地周边及上游风险管控，进一步提升饮用水安全保障水平。</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齐抓共管，统筹推进。</w:t>
      </w:r>
      <w:r>
        <w:rPr>
          <w:rFonts w:hint="default" w:ascii="Times New Roman" w:hAnsi="Times New Roman" w:eastAsia="仿宋_GB2312" w:cs="Times New Roman"/>
          <w:b w:val="0"/>
          <w:bCs w:val="0"/>
          <w:color w:val="auto"/>
          <w:sz w:val="32"/>
          <w:szCs w:val="32"/>
        </w:rPr>
        <w:t>深化生态环境领域相关改革举措，加快构建现代环境治理体系，创新水源地规范化建设、管理、考核。落实生态环境保护“党政同责”“一岗双责”，压实地方政府责任，加强生态环境部门、水利部门、住房和城乡建设部门、自然资源部门、农业农村部门、卫生健康部门等协作和工作衔接，形成保护合力。</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强化宣传引导，建立健全从水源到龙头的全过程监管体系；坚持全民共治，引导公众有序参与饮用水源保护、监督、宣传、教育等，建立共建共治共享新格局，充分调度全社会参与饮用水源保护的积极性，形成政府、公众良好互动的环境共治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46" w:name="_Toc116136566"/>
      <w:bookmarkStart w:id="47" w:name="_Toc31079"/>
      <w:r>
        <w:rPr>
          <w:rFonts w:hint="default" w:ascii="Times New Roman" w:hAnsi="Times New Roman" w:eastAsia="楷体_GB2312" w:cs="Times New Roman"/>
          <w:b w:val="0"/>
          <w:bCs/>
          <w:color w:val="auto"/>
          <w:sz w:val="32"/>
          <w:szCs w:val="32"/>
        </w:rPr>
        <w:t>（三）规划期限</w:t>
      </w:r>
      <w:bookmarkEnd w:id="46"/>
      <w:bookmarkEnd w:id="4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规划基准年：2020年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规划时限为：2021</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2025年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48" w:name="_Toc116136567"/>
      <w:bookmarkStart w:id="49" w:name="_Toc2984"/>
      <w:r>
        <w:rPr>
          <w:rFonts w:hint="default" w:ascii="Times New Roman" w:hAnsi="Times New Roman" w:eastAsia="楷体_GB2312" w:cs="Times New Roman"/>
          <w:b w:val="0"/>
          <w:bCs/>
          <w:color w:val="auto"/>
          <w:sz w:val="32"/>
          <w:szCs w:val="32"/>
        </w:rPr>
        <w:t>（四）编制依据</w:t>
      </w:r>
      <w:bookmarkEnd w:id="48"/>
      <w:bookmarkEnd w:id="49"/>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1.法律法规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《中华人民共和国环境保护法》（2015.1.1 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《中华人民共和国水法》（2016.7.2 修订施行）；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《中华人民共和国水污染防治法》（2018.1.1 施行）；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《中华人民共和国水土保持法》（2011.3.1 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《中华人民共和国长江保护法》（2021.3.1 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《四川省水资源条例》（2022.7.1 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《四川省河湖长制条例》（2022.3.1 施行）；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《四川省饮用水水源保护管理条例》（2019.9.26 修订施行）</w:t>
      </w:r>
      <w:r>
        <w:rPr>
          <w:rFonts w:hint="default" w:ascii="Times New Roman" w:hAnsi="Times New Roman" w:eastAsia="仿宋_GB2312" w:cs="Times New Roman"/>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2.</w:t>
      </w:r>
      <w:r>
        <w:rPr>
          <w:rFonts w:hint="default" w:ascii="Times New Roman" w:hAnsi="Times New Roman" w:eastAsia="仿宋_GB2312" w:cs="Times New Roman"/>
          <w:b/>
          <w:bCs/>
          <w:color w:val="auto"/>
          <w:sz w:val="32"/>
          <w:szCs w:val="32"/>
        </w:rPr>
        <w:t>规范性文件</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《关于实行最严格水资源管理制度的意见》（国发〔2012〕3号）；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《饮用水水源保护区污染防治管理规定》（2010年修正版）；</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《关于加强农村饮用水水源保护工作的指导意见》（环办〔2015〕53号）；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《全国集中式饮用水水源地环境保护专项行动方案》（环环监〔2018〕25号）；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《关于进一步开展饮用水水源地环境保护工作的通知》（环执法〔2018〕142号）；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《关于</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水污染防治法</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中饮用水水源保护有关规定进行法律解释有关意见的复函》（环办函〔2018〕667号）；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《关于推进乡镇及以下集中式饮用水水源地生态环境保护工作的指导意见》（环水体函〔2019〕92号）；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《关于答复2019年饮用水水源地环境保护专项行动有关问题的函》（环办执法函〔2019〕647号）；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《四川省生态环境厅办公室关于进一步加强集中式饮用水水源保护管理工作的通知》（2019年11月10日）</w:t>
      </w:r>
      <w:r>
        <w:rPr>
          <w:rFonts w:hint="default" w:ascii="Times New Roman" w:hAnsi="Times New Roman" w:eastAsia="仿宋_GB2312" w:cs="Times New Roman"/>
          <w:b w:val="0"/>
          <w:bCs w:val="0"/>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《关于加强饮用水水源保护管理工作的通知》（川环函〔2023〕220号）。</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3</w:t>
      </w:r>
      <w:r>
        <w:rPr>
          <w:rFonts w:hint="default" w:ascii="Times New Roman" w:hAnsi="Times New Roman" w:eastAsia="仿宋_GB2312" w:cs="Times New Roman"/>
          <w:b/>
          <w:bCs/>
          <w:color w:val="auto"/>
          <w:sz w:val="32"/>
          <w:szCs w:val="32"/>
        </w:rPr>
        <w:t>.技术规范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《地表水环境质量标准》（GB3838-2002）；</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《地下水环境质量标准》（GB14848-2017）；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《饮用水水源保护区标志技术要求》（HJ/T433-2008）；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《水源涵养林建设规范》（GB/T26903-2011）；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《农村饮用水水源地环境保护技术指南》（HJ2032-2013）；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《饮用水水源保护区划分技术规范》（HJ 338-2018）；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《集中式饮用水水源地规范化建设环境保护技术要求》（HJ 773-2015）；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《集中式饮用水水源地环境保护状况评估技术规范》（HJ 774-2015）。</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bCs/>
          <w:color w:val="auto"/>
          <w:sz w:val="32"/>
          <w:szCs w:val="32"/>
          <w:lang w:val="en-US" w:eastAsia="zh-CN"/>
        </w:rPr>
        <w:t>4</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b/>
          <w:bCs/>
          <w:color w:val="auto"/>
          <w:sz w:val="32"/>
          <w:szCs w:val="32"/>
          <w:lang w:eastAsia="zh-CN"/>
        </w:rPr>
        <w:t>其他相关规划和文件</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《四川省打好饮用水水源地环境问题整治攻坚实施方案》（川府发〔2019〕4号）；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《四川省长江经济带集中式饮用水水源地环境保护专项行动工作方案》（川污防攻坚办〔2019〕15号）；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《四川省“十四五”饮用水水源环境保护规划》（2022年9月27日）；</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《四川省国民经济和社会发展第十四个五年规划和二O三五年远景目标纲要》；</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《四川省“十四五”生态环境保护规划》（川府发〔2022〕2号）；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《四川省“十四五”农业农村生态环境保护规划》（川环发〔2022〕3号）</w:t>
      </w:r>
      <w:r>
        <w:rPr>
          <w:rFonts w:hint="default" w:ascii="Times New Roman" w:hAnsi="Times New Roman" w:eastAsia="仿宋_GB2312" w:cs="Times New Roman"/>
          <w:b w:val="0"/>
          <w:bCs w:val="0"/>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《攀枝花市“十四五”水安全保障规划》；</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《攀枝花市“十四五”重点流域水生态环境保护规划》（攀办发〔2023〕4号）；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《攀枝花市“十四五”生态环境保护规划》（攀府发〔2022〕6号）；</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《攀枝花市国土空间生态修复规划（2021—2035年）》</w:t>
      </w:r>
      <w:r>
        <w:rPr>
          <w:rFonts w:hint="eastAsia" w:ascii="Times New Roman" w:hAnsi="Times New Roman" w:eastAsia="仿宋_GB2312" w:cs="Times New Roman"/>
          <w:color w:val="auto"/>
          <w:sz w:val="32"/>
          <w:szCs w:val="32"/>
          <w:lang w:val="en-US"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《攀枝花市畜禽养殖污染防治“十四五”规划》</w:t>
      </w:r>
      <w:r>
        <w:rPr>
          <w:rFonts w:hint="eastAsia" w:ascii="Times New Roman" w:hAnsi="Times New Roman" w:eastAsia="仿宋_GB2312" w:cs="Times New Roman"/>
          <w:color w:val="auto"/>
          <w:sz w:val="32"/>
          <w:szCs w:val="32"/>
          <w:lang w:val="en-US"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《攀枝花市环境质量状况公报》（202</w:t>
      </w:r>
      <w:r>
        <w:rPr>
          <w:rFonts w:hint="default" w:ascii="Times New Roman" w:hAnsi="Times New Roman" w:eastAsia="仿宋_GB2312" w:cs="Times New Roman"/>
          <w:b w:val="0"/>
          <w:bCs w:val="0"/>
          <w:color w:val="auto"/>
          <w:sz w:val="32"/>
          <w:szCs w:val="32"/>
          <w:lang w:val="en-US" w:eastAsia="zh-CN"/>
        </w:rPr>
        <w:t>0</w:t>
      </w:r>
      <w:r>
        <w:rPr>
          <w:rFonts w:hint="default" w:ascii="Times New Roman" w:hAnsi="Times New Roman" w:eastAsia="仿宋_GB2312" w:cs="Times New Roman"/>
          <w:b w:val="0"/>
          <w:bCs w:val="0"/>
          <w:color w:val="auto"/>
          <w:sz w:val="32"/>
          <w:szCs w:val="32"/>
        </w:rPr>
        <w:t>年度）；</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val="0"/>
          <w:bCs w:val="0"/>
          <w:color w:val="auto"/>
          <w:sz w:val="32"/>
          <w:szCs w:val="32"/>
          <w:lang w:eastAsia="zh-CN"/>
        </w:rPr>
        <w:t>《攀枝花市仁和区集中式饮用水水源地环境保护规划（</w:t>
      </w:r>
      <w:r>
        <w:rPr>
          <w:rFonts w:hint="default" w:ascii="Times New Roman" w:hAnsi="Times New Roman" w:eastAsia="仿宋_GB2312" w:cs="Times New Roman"/>
          <w:b w:val="0"/>
          <w:bCs w:val="0"/>
          <w:color w:val="auto"/>
          <w:sz w:val="32"/>
          <w:szCs w:val="32"/>
          <w:lang w:val="en-US" w:eastAsia="zh-CN"/>
        </w:rPr>
        <w:t>2021年—2025年</w:t>
      </w:r>
      <w:r>
        <w:rPr>
          <w:rFonts w:hint="default" w:ascii="Times New Roman" w:hAnsi="Times New Roman" w:eastAsia="仿宋_GB2312" w:cs="Times New Roman"/>
          <w:b w:val="0"/>
          <w:bCs w:val="0"/>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b w:val="0"/>
          <w:bCs w:val="0"/>
          <w:color w:val="auto"/>
          <w:sz w:val="32"/>
          <w:szCs w:val="32"/>
          <w:lang w:eastAsia="zh-CN"/>
        </w:rPr>
        <w:t>《米易县饮用水水源地环境保护规划（</w:t>
      </w:r>
      <w:r>
        <w:rPr>
          <w:rFonts w:hint="default" w:ascii="Times New Roman" w:hAnsi="Times New Roman" w:eastAsia="仿宋_GB2312" w:cs="Times New Roman"/>
          <w:b w:val="0"/>
          <w:bCs w:val="0"/>
          <w:color w:val="auto"/>
          <w:sz w:val="32"/>
          <w:szCs w:val="32"/>
          <w:lang w:val="en-US" w:eastAsia="zh-CN"/>
        </w:rPr>
        <w:t>2021年—2025年</w:t>
      </w:r>
      <w:r>
        <w:rPr>
          <w:rFonts w:hint="default" w:ascii="Times New Roman" w:hAnsi="Times New Roman" w:eastAsia="仿宋_GB2312" w:cs="Times New Roman"/>
          <w:b w:val="0"/>
          <w:bCs w:val="0"/>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《盐边县“十四五”饮用水水源地环境保护和污染防治规划》</w:t>
      </w:r>
      <w:r>
        <w:rPr>
          <w:rFonts w:hint="eastAsia" w:ascii="Times New Roman" w:hAnsi="Times New Roman" w:eastAsia="仿宋_GB2312" w:cs="Times New Roman"/>
          <w:b w:val="0"/>
          <w:bCs w:val="0"/>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color w:val="auto"/>
          <w:sz w:val="32"/>
          <w:szCs w:val="32"/>
          <w:lang w:val="en-US" w:eastAsia="zh-CN"/>
        </w:rPr>
        <w:t>《攀枝花市盐边县沙坝水库工程及二滩南部片区供水工程受水区水污染防治规划》</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50" w:name="_Toc25816"/>
      <w:bookmarkStart w:id="51" w:name="_Toc116136568"/>
      <w:r>
        <w:rPr>
          <w:rFonts w:hint="default" w:ascii="Times New Roman" w:hAnsi="Times New Roman" w:eastAsia="楷体_GB2312" w:cs="Times New Roman"/>
          <w:b w:val="0"/>
          <w:bCs/>
          <w:color w:val="auto"/>
          <w:sz w:val="32"/>
          <w:szCs w:val="32"/>
        </w:rPr>
        <w:t>（五）</w:t>
      </w:r>
      <w:r>
        <w:rPr>
          <w:rFonts w:hint="default" w:ascii="Times New Roman" w:hAnsi="Times New Roman" w:eastAsia="楷体_GB2312" w:cs="Times New Roman"/>
          <w:b w:val="0"/>
          <w:bCs/>
          <w:color w:val="auto"/>
          <w:sz w:val="32"/>
          <w:szCs w:val="32"/>
          <w:lang w:val="en-US" w:eastAsia="zh-CN"/>
        </w:rPr>
        <w:t>与相关规划协调性分析</w:t>
      </w:r>
      <w:bookmarkEnd w:id="50"/>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1、与《四川省“十四五”饮用水水源环境保护规划》协调性分析</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《四川省“十四五”饮用水水源环境保护规划》提出：“</w:t>
      </w:r>
      <w:r>
        <w:rPr>
          <w:rFonts w:hint="default" w:ascii="Times New Roman" w:hAnsi="Times New Roman" w:eastAsia="仿宋_GB2312" w:cs="Times New Roman"/>
          <w:color w:val="auto"/>
          <w:sz w:val="32"/>
          <w:szCs w:val="32"/>
        </w:rPr>
        <w:t>到2025年，集中式饮用水水源水质达到或优于Ⅲ类比例达100%，</w:t>
      </w:r>
      <w:r>
        <w:rPr>
          <w:rFonts w:hint="default" w:ascii="Times New Roman" w:hAnsi="Times New Roman" w:eastAsia="仿宋_GB2312" w:cs="Times New Roman"/>
          <w:color w:val="auto"/>
          <w:sz w:val="32"/>
          <w:szCs w:val="32"/>
          <w:lang w:eastAsia="zh-CN"/>
        </w:rPr>
        <w:t>集中式饮用水水源</w:t>
      </w:r>
      <w:r>
        <w:rPr>
          <w:rFonts w:hint="default" w:ascii="Times New Roman" w:hAnsi="Times New Roman" w:eastAsia="仿宋_GB2312" w:cs="Times New Roman"/>
          <w:color w:val="auto"/>
          <w:sz w:val="32"/>
          <w:szCs w:val="32"/>
        </w:rPr>
        <w:t>保护区规范化建设水平显著提升，县级及以上应急备用水源建设</w:t>
      </w:r>
      <w:r>
        <w:rPr>
          <w:rFonts w:hint="default" w:ascii="Times New Roman" w:hAnsi="Times New Roman" w:eastAsia="仿宋_GB2312" w:cs="Times New Roman"/>
          <w:color w:val="auto"/>
          <w:sz w:val="32"/>
          <w:szCs w:val="32"/>
          <w:lang w:eastAsia="zh-CN"/>
        </w:rPr>
        <w:t>有序推进，</w:t>
      </w:r>
      <w:r>
        <w:rPr>
          <w:rFonts w:hint="default" w:ascii="Times New Roman" w:hAnsi="Times New Roman" w:eastAsia="仿宋_GB2312" w:cs="Times New Roman"/>
          <w:color w:val="auto"/>
          <w:sz w:val="32"/>
          <w:szCs w:val="32"/>
        </w:rPr>
        <w:t>风险防范能力持续增强，分散式饮用水水源保护有序推进，饮用水水源保护治理能力现代化水平进一步提升</w:t>
      </w:r>
      <w:r>
        <w:rPr>
          <w:rFonts w:hint="default" w:ascii="Times New Roman" w:hAnsi="Times New Roman" w:eastAsia="仿宋_GB2312" w:cs="Times New Roman"/>
          <w:color w:val="auto"/>
          <w:sz w:val="32"/>
          <w:szCs w:val="32"/>
          <w:lang w:eastAsia="zh-CN"/>
        </w:rPr>
        <w:t>。”“加快城市应急备用水源建设。大力推进雅砻江菩萨岩、永丰水库、石峡子水库等应急备用水源建设，积极推进跨区域应急备用水源联网调度。”</w:t>
      </w:r>
      <w:r>
        <w:rPr>
          <w:rFonts w:hint="default" w:ascii="Times New Roman" w:hAnsi="Times New Roman" w:eastAsia="仿宋_GB2312" w:cs="Times New Roman"/>
          <w:color w:val="auto"/>
          <w:sz w:val="32"/>
          <w:szCs w:val="32"/>
          <w:lang w:val="en-US" w:eastAsia="zh-CN"/>
        </w:rPr>
        <w:t>本《规划》严格按照《四川省“十四五”饮用水水源环境保护规划》的规划目标指标要求，制定本规划目标指标体系和任务。明确大力推进攀枝花市中心城区应急备用水源跨区域联网供水工程</w:t>
      </w:r>
      <w:r>
        <w:rPr>
          <w:rFonts w:hint="default" w:ascii="Times New Roman" w:hAnsi="Times New Roman" w:eastAsia="仿宋_GB2312" w:cs="Times New Roman"/>
          <w:color w:val="auto"/>
          <w:sz w:val="32"/>
          <w:szCs w:val="32"/>
          <w:lang w:eastAsia="zh-CN"/>
        </w:rPr>
        <w:t>、盐边县城区</w:t>
      </w:r>
      <w:r>
        <w:rPr>
          <w:rFonts w:hint="default" w:ascii="Times New Roman" w:hAnsi="Times New Roman" w:eastAsia="仿宋_GB2312" w:cs="Times New Roman"/>
          <w:color w:val="auto"/>
          <w:sz w:val="32"/>
          <w:szCs w:val="32"/>
        </w:rPr>
        <w:t>应急备用水源</w:t>
      </w:r>
      <w:r>
        <w:rPr>
          <w:rFonts w:hint="default" w:ascii="Times New Roman" w:hAnsi="Times New Roman" w:eastAsia="仿宋_GB2312" w:cs="Times New Roman"/>
          <w:color w:val="auto"/>
          <w:sz w:val="32"/>
          <w:szCs w:val="32"/>
          <w:lang w:val="en-US" w:eastAsia="zh-CN"/>
        </w:rPr>
        <w:t>跨区域联网供水工程</w:t>
      </w:r>
      <w:r>
        <w:rPr>
          <w:rFonts w:hint="default" w:ascii="Times New Roman" w:hAnsi="Times New Roman" w:eastAsia="仿宋_GB2312" w:cs="Times New Roman"/>
          <w:color w:val="auto"/>
          <w:sz w:val="32"/>
          <w:szCs w:val="32"/>
          <w:lang w:eastAsia="zh-CN"/>
        </w:rPr>
        <w:t>、米易县应急备用水源地马鞍山水库保护区规范化建设和</w:t>
      </w:r>
      <w:r>
        <w:rPr>
          <w:rFonts w:hint="default" w:ascii="Times New Roman" w:hAnsi="Times New Roman" w:eastAsia="仿宋_GB2312" w:cs="Times New Roman"/>
          <w:color w:val="auto"/>
          <w:sz w:val="32"/>
          <w:szCs w:val="32"/>
          <w:lang w:val="en-US" w:eastAsia="zh-CN"/>
        </w:rPr>
        <w:t>综合</w:t>
      </w:r>
      <w:r>
        <w:rPr>
          <w:rFonts w:hint="default" w:ascii="Times New Roman" w:hAnsi="Times New Roman" w:eastAsia="仿宋_GB2312" w:cs="Times New Roman"/>
          <w:color w:val="auto"/>
          <w:sz w:val="32"/>
          <w:szCs w:val="32"/>
          <w:lang w:eastAsia="zh-CN"/>
        </w:rPr>
        <w:t>整治。与《四川省“十四五”饮用水水源环境保护规划》衔接较好。</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2、与《攀枝花市“十四五”重点流域水生态环境保护规划》协调性分析</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《攀枝花市“十四五”重点流域水生态环境保护规划》</w:t>
      </w:r>
      <w:r>
        <w:rPr>
          <w:rFonts w:hint="default" w:ascii="Times New Roman" w:hAnsi="Times New Roman" w:eastAsia="仿宋_GB2312" w:cs="Times New Roman"/>
          <w:color w:val="auto"/>
          <w:sz w:val="32"/>
          <w:szCs w:val="32"/>
          <w:lang w:val="en-US" w:eastAsia="zh-CN"/>
        </w:rPr>
        <w:t>明确</w:t>
      </w:r>
      <w:r>
        <w:rPr>
          <w:rFonts w:hint="default" w:ascii="Times New Roman" w:hAnsi="Times New Roman" w:eastAsia="仿宋_GB2312" w:cs="Times New Roman"/>
          <w:color w:val="auto"/>
          <w:sz w:val="32"/>
          <w:szCs w:val="32"/>
          <w:lang w:eastAsia="zh-CN"/>
        </w:rPr>
        <w:t>：“实现水环境清洁。水环境质量持续改善，金沙江流域干流及重要支流水质稳定保持在优良水平，饮用水水源达到Ⅲ类水质比例持续巩固。......以保障饮用水水质为核心，深化饮用水水源地综合整治，开展美丽河湖建设，打造优美城市景观水体，为人民群众提供优质的水生态产品。加强饮用水水源地规范化建设。落实饮用水水源保护区勘界定标，完善界碑、交通警示牌和宣传牌等标志标牌建设，做好物理隔离防护措施。......加强饮用水水源地环境监管。开展集中式饮用水水源地环境保护专项行动“回头看”，加强水源水、出厂水、管网水、末梢水的全过程管理，建立健全水源环境档案制度，定期开展饮用水水源环境状况调查评估。”本《规划》与《攀枝花市“十四五”重点流域水生态环境保护规划》中全面保障饮用水水质安全中相关规划要求相协调。</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3、与《攀枝花市“十四五”水安全保障规划》协调性分析</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《攀枝花市“十四五”水安全保障规划》</w:t>
      </w:r>
      <w:r>
        <w:rPr>
          <w:rFonts w:hint="default" w:ascii="Times New Roman" w:hAnsi="Times New Roman" w:eastAsia="仿宋_GB2312" w:cs="Times New Roman"/>
          <w:color w:val="auto"/>
          <w:sz w:val="32"/>
          <w:szCs w:val="32"/>
          <w:lang w:val="en-US" w:eastAsia="zh-CN"/>
        </w:rPr>
        <w:t>明确</w:t>
      </w:r>
      <w:r>
        <w:rPr>
          <w:rFonts w:hint="default" w:ascii="Times New Roman" w:hAnsi="Times New Roman" w:eastAsia="仿宋_GB2312" w:cs="Times New Roman"/>
          <w:color w:val="auto"/>
          <w:sz w:val="32"/>
          <w:szCs w:val="32"/>
          <w:lang w:eastAsia="zh-CN"/>
        </w:rPr>
        <w:t>：“紧紧围绕“一芯双廊、三区四片”格局，强化整体保护、系统修复、综合治理，突出山地和沿江的特点，加强涉水空间管控，切实保障河湖生态流量，推进河湖生态廊道建设，维护河湖生态健康，推进饮用水水源地保护区规范化建设，强化水源涵养与水土保持综合治理，建设生态宜居水美乡村，加快构建优美健康的幸福河湖体系。”本《规划》与《攀枝花市“十四五”水安全保障规划》中水源地规范化建设相协调。</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4、与《攀枝花市“十四五”生态环境保护规划》协调性分析</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《攀枝花市“十四五”生态环境保护规划》提出：“</w:t>
      </w:r>
      <w:r>
        <w:rPr>
          <w:rFonts w:hint="default" w:ascii="Times New Roman" w:hAnsi="Times New Roman" w:eastAsia="仿宋_GB2312" w:cs="Times New Roman"/>
          <w:color w:val="auto"/>
          <w:sz w:val="32"/>
          <w:szCs w:val="32"/>
        </w:rPr>
        <w:t>优化雅砻江流域水资源配置，加快推进沙坝水库等水利工程建设，解决盐边县城及红格片区生活、生产和生态用水。</w:t>
      </w:r>
      <w:r>
        <w:rPr>
          <w:rFonts w:hint="default" w:ascii="Times New Roman" w:hAnsi="Times New Roman" w:eastAsia="仿宋_GB2312" w:cs="Times New Roman"/>
          <w:color w:val="auto"/>
          <w:sz w:val="32"/>
          <w:szCs w:val="32"/>
          <w:lang w:val="en-US" w:eastAsia="zh-CN"/>
        </w:rPr>
        <w:t>”“巩固提升饮用水水源地整治成果。加强集中式饮用水水源地水质监测和预警，定期开展监测和评估，并向社会公开水质状况。持续推进乡镇及以下集中式饮用水水源地规范化建设和农村分散式饮用水水源地保护。全面实施农村饮水安全巩固提升工程，大力提高农村集中供水率和自来水普及率，重点提升“二半山区”农村饮水安全保障能力。到2025年，县级及以上城市集中式饮用水水源地水质均达到或优于Ⅲ类；乡镇集中式饮用水水源地规范化建设全部完成，水质达到或优于Ⅲ类比例不低于95%。”本《规划》与《攀枝花市“十四五”生态环境保护规划》中规划指标体系要求相协调，同时积极推进盐边县规划建设的盐边沙坝水库工程及二滩南部片区供水工程建设，</w:t>
      </w:r>
      <w:r>
        <w:rPr>
          <w:rFonts w:hint="default" w:ascii="Times New Roman" w:hAnsi="Times New Roman" w:eastAsia="仿宋_GB2312" w:cs="Times New Roman"/>
          <w:color w:val="auto"/>
          <w:sz w:val="32"/>
          <w:szCs w:val="32"/>
        </w:rPr>
        <w:t>解决盐边县城及红格片区生活、生产和生态用水。</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5、与《攀枝花市国土空间总体规划（2021—2035年）》协调性分析</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攀枝花市国土空间总体规划（2021—2035年）》提出：“优化水资源配置，提升水源保障程度。构建“一带三片、一横两纵”的水资源配置格局，依托金沙江干热河谷水资源配置工程、“北水南用”水资源配置工程、“引雅济安”工程等骨干供水“主动脉”，充分保障城乡用水需求。”上述相关规划工程均为供水工程，与本《规划》有关。本《规划》与《攀枝花市国土空间总体规划（2021—2035年）》中相关相协调。</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6、与《攀枝花市国土空间生态修复规划（2021—2035年）》协调性分析</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攀枝花市国土空间生态修复规划（2021—2035年）》提出：“通过重大生态修复工程项目的实施，至2025年，……显著提高市域内各支流水质，安宁河地表水水质稳定达Ⅲ类及以上水质标准，城市及乡镇集中式饮用水水源地稳定达到率达到100%，生产生活质量得到有效改善与美化，保障全市上百万人的饮用水安全。”同时，重点工程：大河流域水土流失综合治理和人居环境提升项目包含“万人千吨”集中式饮用水水源地</w:t>
      </w:r>
      <w:r>
        <w:rPr>
          <w:rFonts w:hint="eastAsia" w:ascii="Times New Roman" w:hAnsi="Times New Roman" w:eastAsia="仿宋_GB2312" w:cs="Times New Roman"/>
          <w:color w:val="auto"/>
          <w:sz w:val="32"/>
          <w:szCs w:val="32"/>
          <w:lang w:val="en-US" w:eastAsia="zh-CN"/>
        </w:rPr>
        <w:t>规范化</w:t>
      </w:r>
      <w:r>
        <w:rPr>
          <w:rFonts w:hint="default" w:ascii="Times New Roman" w:hAnsi="Times New Roman" w:eastAsia="仿宋_GB2312" w:cs="Times New Roman"/>
          <w:color w:val="auto"/>
          <w:sz w:val="32"/>
          <w:szCs w:val="32"/>
          <w:lang w:val="en-US" w:eastAsia="zh-CN"/>
        </w:rPr>
        <w:t>整治1个；橄榄河—小河流域土地综合整治项目（橄榄河为米易县城区应急备用水源地—马鞍山水库上游河道）；安宁河水资源调节工程项目：安宁河流域以“引雅济安”工程为骨干水网工程，新建米易县老街子、五马箐水库等关键屯蓄水库，实施米易县中型灌区续建配套与节水改造工程、晃桥水库除险加固项目，建设安宁河左右岸水系连通工程；二滩库区水资源调节工程项目：新建盐边县沙坝水库，建设盐边县二滩南部片区供水工程，实施盐边县中型灌区续建配套与节水改造工程，盐边县渔门镇生态调节坝工程。上述重点工程均与饮用水水源有关。本《规划》与《攀枝花市国土空间生态修复规划（2021—2035年）》中相关规划要求和重点工程项目相协调。</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7、与《攀枝花市畜禽养殖污染防治“十四五”规划》协调性分析</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攀枝花市畜禽养殖污染防治“十四五”规划》提出：东区畜禽养殖禁养区包括饮用水水源保护区及城镇居民区和文化教育科学研究区禁养区两个类别。西区畜禽养殖禁养区包括人口集中区域、饮用水水源保护区、重要水质功能区、其他生态功能区以及其他法律、法规、规章等规定的禁止畜禽养殖的区域禁养区五个类别。仁和区畜禽养殖禁养区包括人口集中区域、集中式饮用水水源保护区、重要水质功能区、其他生态功能区和非饮用水源水库、渠道及河道管理范围禁养区五个类别。米易县畜禽养殖禁养区包括饮用水水源保护区的一级保护区、白坡山自然保护区核心区及缓冲区、颛顼溶洞核心景区、人口居住密集区域和国家或地方法律、法规、规章等规定的禁止畜禽养殖的区域禁养区五个类别。盐边县区畜禽养殖禁养区包括饮用水水源一级保护区、自然保护区核心区及缓冲区、风景名胜区的核心景区、人口集中</w:t>
      </w:r>
      <w:r>
        <w:rPr>
          <w:rFonts w:hint="default" w:ascii="Times New Roman" w:hAnsi="Times New Roman" w:eastAsia="仿宋_GB2312" w:cs="Times New Roman"/>
          <w:color w:val="auto"/>
          <w:sz w:val="32"/>
          <w:szCs w:val="32"/>
          <w:lang w:val="en-US" w:eastAsia="zh-CN"/>
        </w:rPr>
        <w:t>区域和国家或地方法律、法规、规章等规定的禁止畜禽养殖的区域五个类别。本《规划》与《攀枝花市“十四五”生态环境保护规划》中禁养区相关规划要求相协调。</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8、与《攀枝花市盐边县沙坝水库工程及二滩南部片区供水工程受水区水污染防治规划》衔接关系说明</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攀枝花市盐边县沙坝水库工程及二滩南部片区供水工程受水区水污染防治规划》明确：“盐边县二滩南部片区供水工程涉及盐边县三个镇（桐子林镇、红格镇和新九镇），供水人口为17.43万人（移民后扶6495人）。……高堰沟水库由于受近年来降雨量偏少的影响，蓄水量严重不足；新九镇移民生活用水主要引山泉水，枯期水量严重不足，用水不安全情况突出。为全面解决盐边县南部片区桐子林镇、红格镇、新九镇的供水矛盾，保障移民供水安全，提高供水保证率，并降低供水成本，亟需寻找新的供水水源，保障盐边县二滩南部片区供水安全，为南部片区社会经济发展护航。”本《规划》明确积极推进盐边县规划建设的盐边沙坝水库工程及二滩南部片区供水工程建设，</w:t>
      </w:r>
      <w:r>
        <w:rPr>
          <w:rFonts w:hint="default" w:ascii="Times New Roman" w:hAnsi="Times New Roman" w:eastAsia="仿宋_GB2312" w:cs="Times New Roman"/>
          <w:color w:val="auto"/>
          <w:sz w:val="32"/>
          <w:szCs w:val="32"/>
        </w:rPr>
        <w:t>解决盐边县城及红格片区生活、生产和生态用水</w:t>
      </w:r>
      <w:r>
        <w:rPr>
          <w:rFonts w:hint="default" w:ascii="Times New Roman" w:hAnsi="Times New Roman" w:eastAsia="仿宋_GB2312" w:cs="Times New Roman"/>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9、与各区县规划衔接关系说明</w:t>
      </w:r>
    </w:p>
    <w:p>
      <w:pPr>
        <w:pStyle w:val="10"/>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本《规划》结合盐边县、米易县和仁和区饮用水水源地环境保护规划提出规划建设的不足、保护区规范化建设工程内容，根据《规划》需完成的规划目标、指标体系和急需解决的问题编制本《规划》。</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10、与相关规划协调性分析</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本规划以保障饮用水安全为目标</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持续推进饮用水水源地规范化建设，提升饮用水水源保护治理现代化水平，持续加强风险防范能力，保障饮用水水源水质持续稳定达到或优于Ⅲ类。加快推进单一水源供水城市应急备用水源建设，提升城市应急供水能力。规划目标和主要任务与《四川省“十四五”饮用水水源环境保护规划》《攀枝花市“十四五”水安全保障规划》《攀枝花市“十四五”重点流域水生态环境保护规划》《攀枝花市“十四五”生态环境保护规划》《攀枝花市国土空间总体规划（2021—2035年）》《攀枝花市国土空间生态修复规划（2021—2035年）》《攀枝花市畜禽养殖污染防治“十四五”规划》《攀枝花市盐边县沙坝水库工程及二滩南部片区供水工程受水区水污染防治规划》等相关规划中关于饮用水水源相关要求总体符合，符合流域综合治理和生态环境保护的总体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52" w:name="_Toc21023"/>
      <w:r>
        <w:rPr>
          <w:rFonts w:hint="default" w:ascii="Times New Roman" w:hAnsi="Times New Roman" w:eastAsia="楷体_GB2312" w:cs="Times New Roman"/>
          <w:b w:val="0"/>
          <w:bCs/>
          <w:color w:val="auto"/>
          <w:sz w:val="32"/>
          <w:szCs w:val="32"/>
        </w:rPr>
        <w:t>（</w:t>
      </w:r>
      <w:r>
        <w:rPr>
          <w:rFonts w:hint="default" w:ascii="Times New Roman" w:hAnsi="Times New Roman" w:eastAsia="楷体_GB2312" w:cs="Times New Roman"/>
          <w:b w:val="0"/>
          <w:bCs/>
          <w:color w:val="auto"/>
          <w:sz w:val="32"/>
          <w:szCs w:val="32"/>
          <w:lang w:val="en-US" w:eastAsia="zh-CN"/>
        </w:rPr>
        <w:t>六</w:t>
      </w:r>
      <w:r>
        <w:rPr>
          <w:rFonts w:hint="default" w:ascii="Times New Roman" w:hAnsi="Times New Roman" w:eastAsia="楷体_GB2312" w:cs="Times New Roman"/>
          <w:b w:val="0"/>
          <w:bCs/>
          <w:color w:val="auto"/>
          <w:sz w:val="32"/>
          <w:szCs w:val="32"/>
        </w:rPr>
        <w:t>）规划范围</w:t>
      </w:r>
      <w:bookmarkEnd w:id="51"/>
      <w:bookmarkEnd w:id="5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规划范围以全市集中式饮用水水源。其中，集中式饮用水水源包括地级</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个、县级</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个、乡镇</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个</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在建的米易县城区应急备用水源1个</w:t>
      </w:r>
      <w:r>
        <w:rPr>
          <w:rFonts w:hint="default" w:ascii="Times New Roman" w:hAnsi="Times New Roman" w:eastAsia="仿宋_GB2312" w:cs="Times New Roman"/>
          <w:color w:val="auto"/>
          <w:sz w:val="32"/>
          <w:szCs w:val="32"/>
        </w:rPr>
        <w:t>。</w:t>
      </w:r>
    </w:p>
    <w:p>
      <w:pPr>
        <w:spacing w:line="360" w:lineRule="auto"/>
        <w:ind w:firstLine="643" w:firstLineChars="200"/>
        <w:rPr>
          <w:rFonts w:hint="default" w:ascii="Times New Roman" w:hAnsi="Times New Roman" w:eastAsia="仿宋_GB2312" w:cs="Times New Roman"/>
          <w:b/>
          <w:color w:val="auto"/>
          <w:kern w:val="0"/>
          <w:sz w:val="32"/>
          <w:szCs w:val="32"/>
          <w:lang w:eastAsia="zh-CN"/>
        </w:rPr>
      </w:pPr>
      <w:r>
        <w:rPr>
          <w:rFonts w:hint="default" w:ascii="Times New Roman" w:hAnsi="Times New Roman" w:eastAsia="仿宋_GB2312" w:cs="Times New Roman"/>
          <w:b/>
          <w:color w:val="auto"/>
          <w:kern w:val="0"/>
          <w:sz w:val="32"/>
          <w:szCs w:val="32"/>
          <w:lang w:eastAsia="zh-CN"/>
        </w:rPr>
        <w:t>地级</w:t>
      </w:r>
      <w:r>
        <w:rPr>
          <w:rFonts w:hint="default" w:ascii="Times New Roman" w:hAnsi="Times New Roman" w:eastAsia="仿宋_GB2312" w:cs="Times New Roman"/>
          <w:b/>
          <w:color w:val="auto"/>
          <w:spacing w:val="-2"/>
          <w:sz w:val="32"/>
          <w:szCs w:val="32"/>
        </w:rPr>
        <w:t>集中式饮用水水源地：</w:t>
      </w:r>
      <w:r>
        <w:rPr>
          <w:rFonts w:hint="default" w:ascii="Times New Roman" w:hAnsi="Times New Roman" w:eastAsia="仿宋_GB2312" w:cs="Times New Roman"/>
          <w:color w:val="auto"/>
          <w:spacing w:val="-2"/>
          <w:sz w:val="32"/>
          <w:szCs w:val="32"/>
        </w:rPr>
        <w:t>1个</w:t>
      </w:r>
      <w:r>
        <w:rPr>
          <w:rFonts w:hint="default" w:ascii="Times New Roman" w:hAnsi="Times New Roman" w:eastAsia="仿宋_GB2312" w:cs="Times New Roman"/>
          <w:color w:val="auto"/>
          <w:spacing w:val="-2"/>
          <w:sz w:val="32"/>
          <w:szCs w:val="32"/>
          <w:lang w:eastAsia="zh-CN"/>
        </w:rPr>
        <w:t>，</w:t>
      </w:r>
      <w:r>
        <w:rPr>
          <w:rFonts w:hint="eastAsia" w:ascii="Times New Roman" w:hAnsi="Times New Roman" w:eastAsia="仿宋_GB2312" w:cs="Times New Roman"/>
          <w:color w:val="auto"/>
          <w:spacing w:val="-2"/>
          <w:sz w:val="32"/>
          <w:szCs w:val="32"/>
          <w:lang w:eastAsia="zh-CN"/>
        </w:rPr>
        <w:t>攀枝花市</w:t>
      </w:r>
      <w:r>
        <w:rPr>
          <w:rFonts w:hint="default" w:ascii="Times New Roman" w:hAnsi="Times New Roman" w:eastAsia="仿宋_GB2312" w:cs="Times New Roman"/>
          <w:color w:val="auto"/>
          <w:spacing w:val="-2"/>
          <w:sz w:val="32"/>
          <w:szCs w:val="32"/>
        </w:rPr>
        <w:t>观音岩水库集中</w:t>
      </w:r>
      <w:r>
        <w:rPr>
          <w:rFonts w:hint="eastAsia" w:ascii="Times New Roman" w:hAnsi="Times New Roman" w:eastAsia="仿宋_GB2312" w:cs="Times New Roman"/>
          <w:color w:val="auto"/>
          <w:spacing w:val="-2"/>
          <w:sz w:val="32"/>
          <w:szCs w:val="32"/>
          <w:lang w:eastAsia="zh-CN"/>
        </w:rPr>
        <w:t>式</w:t>
      </w:r>
      <w:r>
        <w:rPr>
          <w:rFonts w:hint="default" w:ascii="Times New Roman" w:hAnsi="Times New Roman" w:eastAsia="仿宋_GB2312" w:cs="Times New Roman"/>
          <w:color w:val="auto"/>
          <w:spacing w:val="-2"/>
          <w:sz w:val="32"/>
          <w:szCs w:val="32"/>
        </w:rPr>
        <w:t>饮用水水源地</w:t>
      </w:r>
    </w:p>
    <w:p>
      <w:pPr>
        <w:spacing w:line="360" w:lineRule="auto"/>
        <w:ind w:firstLine="643" w:firstLineChars="200"/>
        <w:rPr>
          <w:rFonts w:hint="default" w:ascii="Times New Roman" w:hAnsi="Times New Roman" w:eastAsia="仿宋_GB2312" w:cs="Times New Roman"/>
          <w:color w:val="auto"/>
          <w:spacing w:val="-2"/>
          <w:sz w:val="32"/>
          <w:szCs w:val="32"/>
          <w:lang w:eastAsia="zh-CN"/>
        </w:rPr>
      </w:pPr>
      <w:r>
        <w:rPr>
          <w:rFonts w:hint="default" w:ascii="Times New Roman" w:hAnsi="Times New Roman" w:eastAsia="仿宋_GB2312" w:cs="Times New Roman"/>
          <w:b/>
          <w:color w:val="auto"/>
          <w:kern w:val="0"/>
          <w:sz w:val="32"/>
          <w:szCs w:val="32"/>
        </w:rPr>
        <w:t>县级</w:t>
      </w:r>
      <w:r>
        <w:rPr>
          <w:rFonts w:hint="default" w:ascii="Times New Roman" w:hAnsi="Times New Roman" w:eastAsia="仿宋_GB2312" w:cs="Times New Roman"/>
          <w:b/>
          <w:color w:val="auto"/>
          <w:spacing w:val="-2"/>
          <w:sz w:val="32"/>
          <w:szCs w:val="32"/>
        </w:rPr>
        <w:t>集中式饮用水水源地：</w:t>
      </w:r>
      <w:r>
        <w:rPr>
          <w:rFonts w:hint="default" w:ascii="Times New Roman" w:hAnsi="Times New Roman" w:eastAsia="仿宋_GB2312" w:cs="Times New Roman"/>
          <w:color w:val="auto"/>
          <w:spacing w:val="-2"/>
          <w:sz w:val="32"/>
          <w:szCs w:val="32"/>
          <w:lang w:val="en-US" w:eastAsia="zh-CN"/>
        </w:rPr>
        <w:t>3</w:t>
      </w:r>
      <w:r>
        <w:rPr>
          <w:rFonts w:hint="default" w:ascii="Times New Roman" w:hAnsi="Times New Roman" w:eastAsia="仿宋_GB2312" w:cs="Times New Roman"/>
          <w:color w:val="auto"/>
          <w:spacing w:val="-2"/>
          <w:sz w:val="32"/>
          <w:szCs w:val="32"/>
        </w:rPr>
        <w:t>个，</w:t>
      </w:r>
      <w:r>
        <w:rPr>
          <w:rFonts w:hint="default" w:ascii="Times New Roman" w:hAnsi="Times New Roman" w:eastAsia="仿宋_GB2312" w:cs="Times New Roman"/>
          <w:color w:val="auto"/>
          <w:spacing w:val="-2"/>
          <w:sz w:val="32"/>
          <w:szCs w:val="32"/>
          <w:lang w:eastAsia="zh-CN"/>
        </w:rPr>
        <w:t>分别为盐边县雅砻江菩萨岩</w:t>
      </w:r>
      <w:r>
        <w:rPr>
          <w:rFonts w:hint="eastAsia" w:ascii="Times New Roman" w:hAnsi="Times New Roman" w:eastAsia="仿宋_GB2312" w:cs="Times New Roman"/>
          <w:color w:val="auto"/>
          <w:spacing w:val="-2"/>
          <w:sz w:val="32"/>
          <w:szCs w:val="32"/>
          <w:lang w:eastAsia="zh-CN"/>
        </w:rPr>
        <w:t>集中式</w:t>
      </w:r>
      <w:r>
        <w:rPr>
          <w:rFonts w:hint="default" w:ascii="Times New Roman" w:hAnsi="Times New Roman" w:eastAsia="仿宋_GB2312" w:cs="Times New Roman"/>
          <w:color w:val="auto"/>
          <w:spacing w:val="-2"/>
          <w:sz w:val="32"/>
          <w:szCs w:val="32"/>
          <w:lang w:eastAsia="zh-CN"/>
        </w:rPr>
        <w:t>饮用水</w:t>
      </w:r>
      <w:r>
        <w:rPr>
          <w:rFonts w:hint="eastAsia" w:ascii="Times New Roman" w:hAnsi="Times New Roman" w:eastAsia="仿宋_GB2312" w:cs="Times New Roman"/>
          <w:color w:val="auto"/>
          <w:spacing w:val="-2"/>
          <w:sz w:val="32"/>
          <w:szCs w:val="32"/>
          <w:lang w:eastAsia="zh-CN"/>
        </w:rPr>
        <w:t>水</w:t>
      </w:r>
      <w:r>
        <w:rPr>
          <w:rFonts w:hint="default" w:ascii="Times New Roman" w:hAnsi="Times New Roman" w:eastAsia="仿宋_GB2312" w:cs="Times New Roman"/>
          <w:color w:val="auto"/>
          <w:spacing w:val="-2"/>
          <w:sz w:val="32"/>
          <w:szCs w:val="32"/>
          <w:lang w:eastAsia="zh-CN"/>
        </w:rPr>
        <w:t>源地，胜利水库</w:t>
      </w:r>
      <w:r>
        <w:rPr>
          <w:rFonts w:hint="eastAsia" w:ascii="Times New Roman" w:hAnsi="Times New Roman" w:eastAsia="仿宋_GB2312" w:cs="Times New Roman"/>
          <w:color w:val="auto"/>
          <w:spacing w:val="-2"/>
          <w:sz w:val="32"/>
          <w:szCs w:val="32"/>
          <w:lang w:eastAsia="zh-CN"/>
        </w:rPr>
        <w:t>集中式饮用水水源地</w:t>
      </w:r>
      <w:r>
        <w:rPr>
          <w:rFonts w:hint="default" w:ascii="Times New Roman" w:hAnsi="Times New Roman" w:eastAsia="仿宋_GB2312" w:cs="Times New Roman"/>
          <w:color w:val="auto"/>
          <w:spacing w:val="-2"/>
          <w:sz w:val="32"/>
          <w:szCs w:val="32"/>
          <w:lang w:eastAsia="zh-CN"/>
        </w:rPr>
        <w:t>，晃桥水库</w:t>
      </w:r>
      <w:r>
        <w:rPr>
          <w:rFonts w:hint="eastAsia" w:ascii="Times New Roman" w:hAnsi="Times New Roman" w:eastAsia="仿宋_GB2312" w:cs="Times New Roman"/>
          <w:color w:val="auto"/>
          <w:spacing w:val="-2"/>
          <w:sz w:val="32"/>
          <w:szCs w:val="32"/>
          <w:lang w:eastAsia="zh-CN"/>
        </w:rPr>
        <w:t>集中式饮用水水源地</w:t>
      </w:r>
      <w:r>
        <w:rPr>
          <w:rFonts w:hint="default" w:ascii="Times New Roman" w:hAnsi="Times New Roman" w:eastAsia="仿宋_GB2312" w:cs="Times New Roman"/>
          <w:color w:val="auto"/>
          <w:spacing w:val="-2"/>
          <w:sz w:val="32"/>
          <w:szCs w:val="32"/>
          <w:lang w:eastAsia="zh-CN"/>
        </w:rPr>
        <w:t>。</w:t>
      </w:r>
    </w:p>
    <w:p>
      <w:pPr>
        <w:spacing w:line="360" w:lineRule="auto"/>
        <w:ind w:firstLine="635" w:firstLineChars="200"/>
        <w:rPr>
          <w:rFonts w:hint="default" w:ascii="Times New Roman" w:hAnsi="Times New Roman" w:eastAsia="仿宋_GB2312" w:cs="Times New Roman"/>
          <w:color w:val="auto"/>
          <w:spacing w:val="-2"/>
          <w:sz w:val="32"/>
          <w:szCs w:val="32"/>
          <w:lang w:val="en-US" w:eastAsia="zh-CN"/>
        </w:rPr>
      </w:pPr>
      <w:r>
        <w:rPr>
          <w:rFonts w:hint="default" w:ascii="Times New Roman" w:hAnsi="Times New Roman" w:eastAsia="仿宋_GB2312" w:cs="Times New Roman"/>
          <w:b/>
          <w:color w:val="auto"/>
          <w:spacing w:val="-2"/>
          <w:sz w:val="32"/>
          <w:szCs w:val="32"/>
        </w:rPr>
        <w:t>乡镇集中式饮用水水源地：</w:t>
      </w:r>
      <w:r>
        <w:rPr>
          <w:rFonts w:hint="default" w:ascii="Times New Roman" w:hAnsi="Times New Roman" w:eastAsia="仿宋_GB2312" w:cs="Times New Roman"/>
          <w:color w:val="auto"/>
          <w:spacing w:val="-2"/>
          <w:sz w:val="32"/>
          <w:szCs w:val="32"/>
        </w:rPr>
        <w:t>共计</w:t>
      </w:r>
      <w:r>
        <w:rPr>
          <w:rFonts w:hint="default" w:ascii="Times New Roman" w:hAnsi="Times New Roman" w:eastAsia="仿宋_GB2312" w:cs="Times New Roman"/>
          <w:color w:val="auto"/>
          <w:spacing w:val="-2"/>
          <w:sz w:val="32"/>
          <w:szCs w:val="32"/>
          <w:lang w:val="en-US" w:eastAsia="zh-CN"/>
        </w:rPr>
        <w:t>20</w:t>
      </w:r>
      <w:r>
        <w:rPr>
          <w:rFonts w:hint="default" w:ascii="Times New Roman" w:hAnsi="Times New Roman" w:eastAsia="仿宋_GB2312" w:cs="Times New Roman"/>
          <w:color w:val="auto"/>
          <w:spacing w:val="-2"/>
          <w:sz w:val="32"/>
          <w:szCs w:val="32"/>
        </w:rPr>
        <w:t>个，</w:t>
      </w:r>
      <w:r>
        <w:rPr>
          <w:rFonts w:hint="default" w:ascii="Times New Roman" w:hAnsi="Times New Roman" w:eastAsia="仿宋_GB2312" w:cs="Times New Roman"/>
          <w:color w:val="auto"/>
          <w:spacing w:val="-2"/>
          <w:sz w:val="32"/>
          <w:szCs w:val="32"/>
          <w:lang w:eastAsia="zh-CN"/>
        </w:rPr>
        <w:t>其中仁和区</w:t>
      </w:r>
      <w:r>
        <w:rPr>
          <w:rFonts w:hint="default" w:ascii="Times New Roman" w:hAnsi="Times New Roman" w:eastAsia="仿宋_GB2312" w:cs="Times New Roman"/>
          <w:color w:val="auto"/>
          <w:spacing w:val="-2"/>
          <w:sz w:val="32"/>
          <w:szCs w:val="32"/>
          <w:lang w:val="en-US" w:eastAsia="zh-CN"/>
        </w:rPr>
        <w:t>5个，米易县7个，盐边县8个。</w:t>
      </w:r>
    </w:p>
    <w:p>
      <w:pPr>
        <w:spacing w:line="360" w:lineRule="auto"/>
        <w:ind w:firstLine="635" w:firstLineChars="200"/>
        <w:rPr>
          <w:rFonts w:hint="default" w:ascii="Times New Roman" w:hAnsi="Times New Roman" w:eastAsia="仿宋_GB2312" w:cs="Times New Roman"/>
          <w:color w:val="auto"/>
          <w:spacing w:val="-2"/>
          <w:sz w:val="32"/>
          <w:szCs w:val="32"/>
          <w:lang w:val="en-US" w:eastAsia="zh-CN"/>
        </w:rPr>
      </w:pPr>
      <w:r>
        <w:rPr>
          <w:rFonts w:hint="default" w:ascii="Times New Roman" w:hAnsi="Times New Roman" w:eastAsia="仿宋_GB2312" w:cs="Times New Roman"/>
          <w:b/>
          <w:bCs/>
          <w:color w:val="auto"/>
          <w:spacing w:val="-2"/>
          <w:sz w:val="32"/>
          <w:szCs w:val="32"/>
          <w:lang w:val="en-US" w:eastAsia="zh-CN"/>
        </w:rPr>
        <w:t>在建米易县城区应急备用水源地：</w:t>
      </w:r>
      <w:r>
        <w:rPr>
          <w:rFonts w:hint="default" w:ascii="Times New Roman" w:hAnsi="Times New Roman" w:eastAsia="仿宋_GB2312" w:cs="Times New Roman"/>
          <w:color w:val="auto"/>
          <w:spacing w:val="-2"/>
          <w:sz w:val="32"/>
          <w:szCs w:val="32"/>
          <w:lang w:val="en-US" w:eastAsia="zh-CN"/>
        </w:rPr>
        <w:t>1个，马鞍山水库</w:t>
      </w:r>
      <w:r>
        <w:rPr>
          <w:rFonts w:hint="eastAsia" w:ascii="Times New Roman" w:hAnsi="Times New Roman" w:eastAsia="仿宋_GB2312" w:cs="Times New Roman"/>
          <w:color w:val="auto"/>
          <w:spacing w:val="-2"/>
          <w:sz w:val="32"/>
          <w:szCs w:val="32"/>
          <w:lang w:val="en-US" w:eastAsia="zh-CN"/>
        </w:rPr>
        <w:t>集中式</w:t>
      </w:r>
      <w:r>
        <w:rPr>
          <w:rFonts w:hint="default" w:ascii="Times New Roman" w:hAnsi="Times New Roman" w:eastAsia="仿宋_GB2312" w:cs="Times New Roman"/>
          <w:color w:val="auto"/>
          <w:spacing w:val="-2"/>
          <w:sz w:val="32"/>
          <w:szCs w:val="32"/>
          <w:lang w:val="en-US" w:eastAsia="zh-CN"/>
        </w:rPr>
        <w:t>饮用水水源地。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53" w:name="_Toc116136569"/>
      <w:bookmarkStart w:id="54" w:name="_Toc26032"/>
      <w:r>
        <w:rPr>
          <w:rFonts w:hint="default" w:ascii="Times New Roman" w:hAnsi="Times New Roman" w:eastAsia="楷体_GB2312" w:cs="Times New Roman"/>
          <w:b w:val="0"/>
          <w:bCs/>
          <w:color w:val="auto"/>
          <w:sz w:val="32"/>
          <w:szCs w:val="32"/>
        </w:rPr>
        <w:t>（</w:t>
      </w:r>
      <w:r>
        <w:rPr>
          <w:rFonts w:hint="default" w:ascii="Times New Roman" w:hAnsi="Times New Roman" w:eastAsia="楷体_GB2312" w:cs="Times New Roman"/>
          <w:b w:val="0"/>
          <w:bCs/>
          <w:color w:val="auto"/>
          <w:sz w:val="32"/>
          <w:szCs w:val="32"/>
          <w:lang w:val="en-US" w:eastAsia="zh-CN"/>
        </w:rPr>
        <w:t>七</w:t>
      </w:r>
      <w:r>
        <w:rPr>
          <w:rFonts w:hint="default" w:ascii="Times New Roman" w:hAnsi="Times New Roman" w:eastAsia="楷体_GB2312" w:cs="Times New Roman"/>
          <w:b w:val="0"/>
          <w:bCs/>
          <w:color w:val="auto"/>
          <w:sz w:val="32"/>
          <w:szCs w:val="32"/>
        </w:rPr>
        <w:t>）规划目标</w:t>
      </w:r>
      <w:bookmarkEnd w:id="53"/>
      <w:bookmarkEnd w:id="54"/>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到2025年，集中式饮用水水源水质达到或优于Ⅲ类比例达100%，</w:t>
      </w:r>
      <w:r>
        <w:rPr>
          <w:rFonts w:hint="default" w:ascii="Times New Roman" w:hAnsi="Times New Roman" w:eastAsia="仿宋_GB2312" w:cs="Times New Roman"/>
          <w:color w:val="auto"/>
          <w:sz w:val="32"/>
          <w:szCs w:val="32"/>
          <w:lang w:eastAsia="zh-CN"/>
        </w:rPr>
        <w:t>集中式饮用水水源</w:t>
      </w:r>
      <w:r>
        <w:rPr>
          <w:rFonts w:hint="default" w:ascii="Times New Roman" w:hAnsi="Times New Roman" w:eastAsia="仿宋_GB2312" w:cs="Times New Roman"/>
          <w:color w:val="auto"/>
          <w:sz w:val="32"/>
          <w:szCs w:val="32"/>
        </w:rPr>
        <w:t>保护区规范化建设水平显著提升，</w:t>
      </w:r>
      <w:r>
        <w:rPr>
          <w:rFonts w:hint="default" w:ascii="Times New Roman" w:hAnsi="Times New Roman" w:eastAsia="仿宋_GB2312" w:cs="Times New Roman"/>
          <w:color w:val="auto"/>
          <w:kern w:val="0"/>
          <w:sz w:val="32"/>
          <w:szCs w:val="32"/>
        </w:rPr>
        <w:t>县级及以上应急备用水源建设</w:t>
      </w:r>
      <w:r>
        <w:rPr>
          <w:rFonts w:hint="default" w:ascii="Times New Roman" w:hAnsi="Times New Roman" w:eastAsia="仿宋_GB2312" w:cs="Times New Roman"/>
          <w:color w:val="auto"/>
          <w:kern w:val="0"/>
          <w:sz w:val="32"/>
          <w:szCs w:val="32"/>
          <w:lang w:eastAsia="zh-CN"/>
        </w:rPr>
        <w:t>有序推进，</w:t>
      </w:r>
      <w:r>
        <w:rPr>
          <w:rFonts w:hint="default" w:ascii="Times New Roman" w:hAnsi="Times New Roman" w:eastAsia="仿宋_GB2312" w:cs="Times New Roman"/>
          <w:color w:val="auto"/>
          <w:sz w:val="32"/>
          <w:szCs w:val="32"/>
        </w:rPr>
        <w:t>风险防范能力持续增强，分散式饮用水水源保护有序推进，饮用水水源保护治理能力现代化水平进一步提升</w:t>
      </w:r>
      <w:r>
        <w:rPr>
          <w:rFonts w:hint="default" w:ascii="Times New Roman" w:hAnsi="Times New Roman" w:eastAsia="仿宋_GB2312" w:cs="Times New Roman"/>
          <w:color w:val="auto"/>
          <w:sz w:val="32"/>
          <w:szCs w:val="32"/>
          <w:vertAlign w:val="superscript"/>
          <w:lang w:val="en-US" w:eastAsia="zh-CN"/>
        </w:rPr>
        <w:t>2</w:t>
      </w:r>
      <w:r>
        <w:rPr>
          <w:rFonts w:hint="default" w:ascii="Times New Roman" w:hAnsi="Times New Roman" w:eastAsia="仿宋_GB2312" w:cs="Times New Roman"/>
          <w:color w:val="auto"/>
          <w:sz w:val="32"/>
          <w:szCs w:val="32"/>
        </w:rPr>
        <w:t>。</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056"/>
        <w:gridCol w:w="4456"/>
        <w:gridCol w:w="781"/>
        <w:gridCol w:w="839"/>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EEECE1"/>
            <w:noWrap w:val="0"/>
            <w:vAlign w:val="center"/>
          </w:tcPr>
          <w:p>
            <w:pPr>
              <w:ind w:firstLine="422"/>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sz w:val="21"/>
                <w:szCs w:val="21"/>
              </w:rPr>
              <w:t>专栏</w:t>
            </w:r>
            <w:r>
              <w:rPr>
                <w:rFonts w:hint="default" w:ascii="Times New Roman" w:hAnsi="Times New Roman" w:eastAsia="仿宋_GB2312" w:cs="Times New Roman"/>
                <w:b/>
                <w:bCs/>
                <w:color w:val="auto"/>
                <w:sz w:val="21"/>
                <w:szCs w:val="21"/>
                <w:lang w:val="en-US" w:eastAsia="zh-CN"/>
              </w:rPr>
              <w:t>5</w:t>
            </w:r>
            <w:r>
              <w:rPr>
                <w:rFonts w:hint="default" w:ascii="Times New Roman" w:hAnsi="Times New Roman" w:eastAsia="仿宋_GB2312" w:cs="Times New Roman"/>
                <w:b/>
                <w:bCs/>
                <w:color w:val="auto"/>
                <w:sz w:val="21"/>
                <w:szCs w:val="21"/>
              </w:rPr>
              <w:t xml:space="preserve">  </w:t>
            </w:r>
            <w:r>
              <w:rPr>
                <w:rFonts w:hint="default" w:ascii="Times New Roman" w:hAnsi="Times New Roman" w:eastAsia="仿宋_GB2312" w:cs="Times New Roman"/>
                <w:b/>
                <w:bCs/>
                <w:color w:val="auto"/>
                <w:sz w:val="21"/>
                <w:szCs w:val="21"/>
                <w:lang w:eastAsia="zh-CN"/>
              </w:rPr>
              <w:t>攀枝花</w:t>
            </w:r>
            <w:r>
              <w:rPr>
                <w:rFonts w:hint="default" w:ascii="Times New Roman" w:hAnsi="Times New Roman" w:eastAsia="仿宋_GB2312" w:cs="Times New Roman"/>
                <w:b/>
                <w:bCs/>
                <w:color w:val="auto"/>
                <w:sz w:val="21"/>
                <w:szCs w:val="21"/>
              </w:rPr>
              <w:t>市“十四五”饮用水水源环境保护规划目标指标表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noWrap w:val="0"/>
            <w:vAlign w:val="center"/>
          </w:tcPr>
          <w:p>
            <w:pPr>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序号</w:t>
            </w:r>
          </w:p>
        </w:tc>
        <w:tc>
          <w:tcPr>
            <w:tcW w:w="583" w:type="pct"/>
            <w:noWrap w:val="0"/>
            <w:vAlign w:val="center"/>
          </w:tcPr>
          <w:p>
            <w:pPr>
              <w:jc w:val="center"/>
              <w:rPr>
                <w:rFonts w:hint="default" w:ascii="Times New Roman" w:hAnsi="Times New Roman" w:eastAsia="仿宋_GB2312" w:cs="Times New Roman"/>
                <w:b/>
                <w:bCs/>
                <w:color w:val="auto"/>
                <w:sz w:val="21"/>
                <w:szCs w:val="21"/>
                <w:lang w:eastAsia="zh-CN"/>
              </w:rPr>
            </w:pPr>
            <w:r>
              <w:rPr>
                <w:rFonts w:hint="default" w:ascii="Times New Roman" w:hAnsi="Times New Roman" w:eastAsia="仿宋_GB2312" w:cs="Times New Roman"/>
                <w:b/>
                <w:bCs/>
                <w:color w:val="auto"/>
                <w:sz w:val="21"/>
                <w:szCs w:val="21"/>
                <w:lang w:eastAsia="zh-CN"/>
              </w:rPr>
              <w:t>类型</w:t>
            </w:r>
          </w:p>
        </w:tc>
        <w:tc>
          <w:tcPr>
            <w:tcW w:w="2460" w:type="pct"/>
            <w:noWrap w:val="0"/>
            <w:vAlign w:val="center"/>
          </w:tcPr>
          <w:p>
            <w:pPr>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指标</w:t>
            </w:r>
          </w:p>
        </w:tc>
        <w:tc>
          <w:tcPr>
            <w:tcW w:w="431" w:type="pct"/>
            <w:noWrap w:val="0"/>
            <w:vAlign w:val="center"/>
          </w:tcPr>
          <w:p>
            <w:pPr>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pacing w:val="-20"/>
                <w:sz w:val="21"/>
                <w:szCs w:val="21"/>
              </w:rPr>
              <w:t>2020年</w:t>
            </w:r>
          </w:p>
        </w:tc>
        <w:tc>
          <w:tcPr>
            <w:tcW w:w="463" w:type="pct"/>
            <w:noWrap w:val="0"/>
            <w:vAlign w:val="center"/>
          </w:tcPr>
          <w:p>
            <w:pPr>
              <w:jc w:val="center"/>
              <w:rPr>
                <w:rFonts w:hint="default" w:ascii="Times New Roman" w:hAnsi="Times New Roman" w:eastAsia="仿宋_GB2312" w:cs="Times New Roman"/>
                <w:b/>
                <w:bCs/>
                <w:color w:val="auto"/>
                <w:spacing w:val="-20"/>
                <w:sz w:val="21"/>
                <w:szCs w:val="21"/>
              </w:rPr>
            </w:pPr>
            <w:r>
              <w:rPr>
                <w:rFonts w:hint="default" w:ascii="Times New Roman" w:hAnsi="Times New Roman" w:eastAsia="仿宋_GB2312" w:cs="Times New Roman"/>
                <w:b/>
                <w:bCs/>
                <w:color w:val="auto"/>
                <w:spacing w:val="-20"/>
                <w:sz w:val="21"/>
                <w:szCs w:val="21"/>
              </w:rPr>
              <w:t>2025年</w:t>
            </w:r>
          </w:p>
        </w:tc>
        <w:tc>
          <w:tcPr>
            <w:tcW w:w="680" w:type="pct"/>
            <w:noWrap w:val="0"/>
            <w:vAlign w:val="center"/>
          </w:tcPr>
          <w:p>
            <w:pPr>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w:t>
            </w:r>
          </w:p>
        </w:tc>
        <w:tc>
          <w:tcPr>
            <w:tcW w:w="583" w:type="pct"/>
            <w:vMerge w:val="restart"/>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水质</w:t>
            </w: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县级及以上集中式饮用水水源水质达到或优于Ⅲ类比例（%）</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2</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rPr>
              <w:t>乡镇</w:t>
            </w:r>
            <w:r>
              <w:rPr>
                <w:rFonts w:hint="default" w:ascii="Times New Roman" w:hAnsi="Times New Roman" w:eastAsia="仿宋_GB2312" w:cs="Times New Roman"/>
                <w:bCs/>
                <w:color w:val="auto"/>
                <w:sz w:val="21"/>
                <w:szCs w:val="21"/>
                <w:lang w:eastAsia="zh-CN"/>
              </w:rPr>
              <w:t>级</w:t>
            </w:r>
            <w:r>
              <w:rPr>
                <w:rFonts w:hint="default" w:ascii="Times New Roman" w:hAnsi="Times New Roman" w:eastAsia="仿宋_GB2312" w:cs="Times New Roman"/>
                <w:bCs/>
                <w:color w:val="auto"/>
                <w:sz w:val="21"/>
                <w:szCs w:val="21"/>
              </w:rPr>
              <w:t>集中式饮用水水源水质达到或优于Ⅲ类比例（%）</w:t>
            </w:r>
            <w:r>
              <w:rPr>
                <w:rFonts w:hint="default" w:ascii="Times New Roman" w:hAnsi="Times New Roman" w:eastAsia="仿宋_GB2312" w:cs="Times New Roman"/>
                <w:bCs/>
                <w:color w:val="auto"/>
                <w:sz w:val="21"/>
                <w:szCs w:val="21"/>
                <w:vertAlign w:val="superscript"/>
                <w:lang w:val="en-US" w:eastAsia="zh-CN"/>
              </w:rPr>
              <w:t>*</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90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eastAsia="zh-CN"/>
              </w:rPr>
            </w:pPr>
            <w:r>
              <w:rPr>
                <w:rFonts w:hint="default" w:ascii="Times New Roman" w:hAnsi="Times New Roman" w:eastAsia="仿宋_GB2312" w:cs="Times New Roman"/>
                <w:bCs/>
                <w:color w:val="auto"/>
                <w:sz w:val="21"/>
                <w:szCs w:val="21"/>
                <w:lang w:val="en-US" w:eastAsia="zh-CN"/>
              </w:rPr>
              <w:t>3</w:t>
            </w:r>
          </w:p>
        </w:tc>
        <w:tc>
          <w:tcPr>
            <w:tcW w:w="583" w:type="pct"/>
            <w:vMerge w:val="restart"/>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lang w:eastAsia="zh-CN"/>
              </w:rPr>
            </w:pPr>
            <w:r>
              <w:rPr>
                <w:rFonts w:hint="default" w:ascii="Times New Roman" w:hAnsi="Times New Roman" w:eastAsia="仿宋_GB2312" w:cs="Times New Roman"/>
                <w:bCs/>
                <w:color w:val="auto"/>
                <w:sz w:val="21"/>
                <w:szCs w:val="21"/>
                <w:lang w:eastAsia="zh-CN"/>
              </w:rPr>
              <w:t>保护区规范化建设</w:t>
            </w: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保护区划定完成率（%）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eastAsia="zh-CN"/>
              </w:rPr>
            </w:pPr>
            <w:r>
              <w:rPr>
                <w:rFonts w:hint="default" w:ascii="Times New Roman" w:hAnsi="Times New Roman" w:eastAsia="仿宋_GB2312" w:cs="Times New Roman"/>
                <w:bCs/>
                <w:color w:val="auto"/>
                <w:sz w:val="21"/>
                <w:szCs w:val="21"/>
                <w:lang w:val="en-US" w:eastAsia="zh-CN"/>
              </w:rPr>
              <w:t>4</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保护区标识标牌规范化设置完成率（%）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94.5</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eastAsia="zh-CN"/>
              </w:rPr>
            </w:pPr>
            <w:r>
              <w:rPr>
                <w:rFonts w:hint="default" w:ascii="Times New Roman" w:hAnsi="Times New Roman" w:eastAsia="仿宋_GB2312" w:cs="Times New Roman"/>
                <w:bCs/>
                <w:color w:val="auto"/>
                <w:sz w:val="21"/>
                <w:szCs w:val="21"/>
                <w:lang w:val="en-US" w:eastAsia="zh-CN"/>
              </w:rPr>
              <w:t>5</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一级保护区隔离防护设施建设完成率（%）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94.5</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6</w:t>
            </w:r>
          </w:p>
        </w:tc>
        <w:tc>
          <w:tcPr>
            <w:tcW w:w="583" w:type="pct"/>
            <w:vMerge w:val="restart"/>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lang w:eastAsia="zh-CN"/>
              </w:rPr>
            </w:pPr>
            <w:r>
              <w:rPr>
                <w:rFonts w:hint="default" w:ascii="Times New Roman" w:hAnsi="Times New Roman" w:eastAsia="仿宋_GB2312" w:cs="Times New Roman"/>
                <w:bCs/>
                <w:color w:val="auto"/>
                <w:sz w:val="21"/>
                <w:szCs w:val="21"/>
                <w:lang w:eastAsia="zh-CN"/>
              </w:rPr>
              <w:t>保护区整治要求</w:t>
            </w: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rPr>
              <w:t>县级及以上集中式饮用水水源</w:t>
            </w:r>
            <w:r>
              <w:rPr>
                <w:rFonts w:hint="default" w:ascii="Times New Roman" w:hAnsi="Times New Roman" w:eastAsia="仿宋_GB2312" w:cs="Times New Roman"/>
                <w:bCs/>
                <w:color w:val="auto"/>
                <w:sz w:val="21"/>
                <w:szCs w:val="21"/>
                <w:lang w:eastAsia="zh-CN"/>
              </w:rPr>
              <w:t>地一级保护区环境整治完成率</w:t>
            </w:r>
            <w:r>
              <w:rPr>
                <w:rFonts w:hint="default" w:ascii="Times New Roman" w:hAnsi="Times New Roman" w:eastAsia="仿宋_GB2312" w:cs="Times New Roman"/>
                <w:bCs/>
                <w:color w:val="auto"/>
                <w:sz w:val="21"/>
                <w:szCs w:val="21"/>
                <w:lang w:val="en-US" w:eastAsia="zh-CN"/>
              </w:rPr>
              <w:t>%</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7</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县级及以上集中式饮用水水源</w:t>
            </w:r>
            <w:r>
              <w:rPr>
                <w:rFonts w:hint="default" w:ascii="Times New Roman" w:hAnsi="Times New Roman" w:eastAsia="仿宋_GB2312" w:cs="Times New Roman"/>
                <w:bCs/>
                <w:color w:val="auto"/>
                <w:sz w:val="21"/>
                <w:szCs w:val="21"/>
                <w:lang w:eastAsia="zh-CN"/>
              </w:rPr>
              <w:t>地二级保护区环境整治完成率</w:t>
            </w:r>
            <w:r>
              <w:rPr>
                <w:rFonts w:hint="default" w:ascii="Times New Roman" w:hAnsi="Times New Roman" w:eastAsia="仿宋_GB2312" w:cs="Times New Roman"/>
                <w:bCs/>
                <w:color w:val="auto"/>
                <w:sz w:val="21"/>
                <w:szCs w:val="21"/>
                <w:lang w:val="en-US" w:eastAsia="zh-CN"/>
              </w:rPr>
              <w:t>%</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80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8</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lang w:eastAsia="zh-CN"/>
              </w:rPr>
              <w:t>乡镇级</w:t>
            </w:r>
            <w:r>
              <w:rPr>
                <w:rFonts w:hint="default" w:ascii="Times New Roman" w:hAnsi="Times New Roman" w:eastAsia="仿宋_GB2312" w:cs="Times New Roman"/>
                <w:bCs/>
                <w:color w:val="auto"/>
                <w:sz w:val="21"/>
                <w:szCs w:val="21"/>
              </w:rPr>
              <w:t>集中式饮用水水源</w:t>
            </w:r>
            <w:r>
              <w:rPr>
                <w:rFonts w:hint="default" w:ascii="Times New Roman" w:hAnsi="Times New Roman" w:eastAsia="仿宋_GB2312" w:cs="Times New Roman"/>
                <w:bCs/>
                <w:color w:val="auto"/>
                <w:sz w:val="21"/>
                <w:szCs w:val="21"/>
                <w:lang w:eastAsia="zh-CN"/>
              </w:rPr>
              <w:t>地一级保护区环境整治完成率</w:t>
            </w:r>
            <w:r>
              <w:rPr>
                <w:rFonts w:hint="default" w:ascii="Times New Roman" w:hAnsi="Times New Roman" w:eastAsia="仿宋_GB2312" w:cs="Times New Roman"/>
                <w:bCs/>
                <w:color w:val="auto"/>
                <w:sz w:val="21"/>
                <w:szCs w:val="21"/>
                <w:lang w:val="en-US" w:eastAsia="zh-CN"/>
              </w:rPr>
              <w:t>%</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90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9</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lang w:eastAsia="zh-CN"/>
              </w:rPr>
              <w:t>乡镇级</w:t>
            </w:r>
            <w:r>
              <w:rPr>
                <w:rFonts w:hint="default" w:ascii="Times New Roman" w:hAnsi="Times New Roman" w:eastAsia="仿宋_GB2312" w:cs="Times New Roman"/>
                <w:bCs/>
                <w:color w:val="auto"/>
                <w:sz w:val="21"/>
                <w:szCs w:val="21"/>
              </w:rPr>
              <w:t>集中式饮用水水源</w:t>
            </w:r>
            <w:r>
              <w:rPr>
                <w:rFonts w:hint="default" w:ascii="Times New Roman" w:hAnsi="Times New Roman" w:eastAsia="仿宋_GB2312" w:cs="Times New Roman"/>
                <w:bCs/>
                <w:color w:val="auto"/>
                <w:sz w:val="21"/>
                <w:szCs w:val="21"/>
                <w:lang w:eastAsia="zh-CN"/>
              </w:rPr>
              <w:t>地二级保护区环境整治完成率</w:t>
            </w:r>
            <w:r>
              <w:rPr>
                <w:rFonts w:hint="default" w:ascii="Times New Roman" w:hAnsi="Times New Roman" w:eastAsia="仿宋_GB2312" w:cs="Times New Roman"/>
                <w:bCs/>
                <w:color w:val="auto"/>
                <w:sz w:val="21"/>
                <w:szCs w:val="21"/>
                <w:lang w:val="en-US" w:eastAsia="zh-CN"/>
              </w:rPr>
              <w:t>%</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75</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w:t>
            </w:r>
          </w:p>
        </w:tc>
        <w:tc>
          <w:tcPr>
            <w:tcW w:w="583" w:type="pct"/>
            <w:vMerge w:val="restart"/>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监控能力建设要求</w:t>
            </w: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“千吨万人”集中式饮用水水源视频监控建设完成率（%）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11</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常规监测完成率（%）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12</w:t>
            </w:r>
          </w:p>
        </w:tc>
        <w:tc>
          <w:tcPr>
            <w:tcW w:w="583" w:type="pct"/>
            <w:vMerge w:val="restart"/>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风险防控与应急能力建设要求</w:t>
            </w: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lang w:eastAsia="zh-CN"/>
              </w:rPr>
              <w:t>单一水源供水</w:t>
            </w:r>
            <w:r>
              <w:rPr>
                <w:rFonts w:hint="default" w:ascii="Times New Roman" w:hAnsi="Times New Roman" w:eastAsia="仿宋_GB2312" w:cs="Times New Roman"/>
                <w:bCs/>
                <w:color w:val="auto"/>
                <w:sz w:val="21"/>
                <w:szCs w:val="21"/>
              </w:rPr>
              <w:t>城市应急备用水源建设完成率（%）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13</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集中式饮用水水源突发环境事件应急预案编制完成率（%）</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96</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8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14</w:t>
            </w:r>
          </w:p>
        </w:tc>
        <w:tc>
          <w:tcPr>
            <w:tcW w:w="583" w:type="pct"/>
            <w:vMerge w:val="continue"/>
            <w:noWrap w:val="0"/>
            <w:vAlign w:val="center"/>
          </w:tcPr>
          <w:p>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仿宋_GB2312" w:cs="Times New Roman"/>
                <w:bCs/>
                <w:color w:val="auto"/>
                <w:sz w:val="21"/>
                <w:szCs w:val="21"/>
              </w:rPr>
            </w:pPr>
          </w:p>
        </w:tc>
        <w:tc>
          <w:tcPr>
            <w:tcW w:w="2460" w:type="pct"/>
            <w:noWrap w:val="0"/>
            <w:vAlign w:val="center"/>
          </w:tcPr>
          <w:p>
            <w:pPr>
              <w:overflowPunct w:val="0"/>
              <w:topLinePunct/>
              <w:rPr>
                <w:rFonts w:hint="default" w:ascii="Times New Roman" w:hAnsi="Times New Roman" w:eastAsia="仿宋_GB2312" w:cs="Times New Roman"/>
                <w:bCs/>
                <w:color w:val="auto"/>
                <w:sz w:val="21"/>
                <w:szCs w:val="21"/>
                <w:lang w:eastAsia="zh-CN"/>
              </w:rPr>
            </w:pPr>
            <w:r>
              <w:rPr>
                <w:rFonts w:hint="default" w:ascii="Times New Roman" w:hAnsi="Times New Roman" w:eastAsia="仿宋_GB2312" w:cs="Times New Roman"/>
                <w:bCs/>
                <w:color w:val="auto"/>
                <w:sz w:val="21"/>
                <w:szCs w:val="21"/>
              </w:rPr>
              <w:t>集中式饮用水水源</w:t>
            </w:r>
            <w:r>
              <w:rPr>
                <w:rFonts w:hint="default" w:ascii="Times New Roman" w:hAnsi="Times New Roman" w:eastAsia="仿宋_GB2312" w:cs="Times New Roman"/>
                <w:bCs/>
                <w:color w:val="auto"/>
                <w:sz w:val="21"/>
                <w:szCs w:val="21"/>
                <w:lang w:eastAsia="zh-CN"/>
              </w:rPr>
              <w:t>地开展应急演练比例</w:t>
            </w:r>
            <w:r>
              <w:rPr>
                <w:rFonts w:hint="default" w:ascii="Times New Roman" w:hAnsi="Times New Roman" w:eastAsia="仿宋_GB2312" w:cs="Times New Roman"/>
                <w:bCs/>
                <w:color w:val="auto"/>
                <w:sz w:val="21"/>
                <w:szCs w:val="21"/>
              </w:rPr>
              <w:t>（%）</w:t>
            </w:r>
          </w:p>
        </w:tc>
        <w:tc>
          <w:tcPr>
            <w:tcW w:w="431"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0</w:t>
            </w:r>
          </w:p>
        </w:tc>
        <w:tc>
          <w:tcPr>
            <w:tcW w:w="463" w:type="pct"/>
            <w:noWrap w:val="0"/>
            <w:vAlign w:val="center"/>
          </w:tcPr>
          <w:p>
            <w:pPr>
              <w:overflowPunct w:val="0"/>
              <w:topLinePunc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100</w:t>
            </w:r>
          </w:p>
        </w:tc>
        <w:tc>
          <w:tcPr>
            <w:tcW w:w="680" w:type="pct"/>
            <w:noWrap w:val="0"/>
            <w:vAlign w:val="center"/>
          </w:tcPr>
          <w:p>
            <w:pPr>
              <w:overflowPunct w:val="0"/>
              <w:topLinePun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000" w:type="pct"/>
            <w:gridSpan w:val="6"/>
            <w:noWrap w:val="0"/>
            <w:vAlign w:val="center"/>
          </w:tcPr>
          <w:p>
            <w:pPr>
              <w:keepNext w:val="0"/>
              <w:keepLines w:val="0"/>
              <w:widowControl/>
              <w:suppressLineNumbers w:val="0"/>
              <w:jc w:val="left"/>
              <w:rPr>
                <w:rFonts w:hint="default" w:ascii="Times New Roman" w:hAnsi="Times New Roman" w:eastAsia="仿宋_GB2312" w:cs="Times New Roman"/>
                <w:bCs/>
                <w:color w:val="auto"/>
                <w:sz w:val="21"/>
                <w:szCs w:val="21"/>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仿宋_GB2312" w:cs="Times New Roman"/>
                <w:color w:val="auto"/>
                <w:kern w:val="0"/>
                <w:sz w:val="21"/>
                <w:szCs w:val="21"/>
                <w:lang w:val="en-US" w:eastAsia="zh-CN" w:bidi="ar"/>
              </w:rPr>
              <w:t>注：因自然背景原因造成超标且后续水厂已采取针对处理工艺的除外。</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color w:val="auto"/>
          <w:sz w:val="32"/>
          <w:szCs w:val="32"/>
        </w:rPr>
      </w:pPr>
      <w:bookmarkStart w:id="55" w:name="_Toc16091"/>
      <w:bookmarkStart w:id="56" w:name="_Toc1789"/>
      <w:bookmarkStart w:id="57" w:name="_Toc116136570"/>
      <w:r>
        <w:rPr>
          <w:rFonts w:hint="default" w:ascii="Times New Roman" w:hAnsi="Times New Roman" w:eastAsia="黑体" w:cs="Times New Roman"/>
          <w:b w:val="0"/>
          <w:bCs/>
          <w:color w:val="auto"/>
          <w:sz w:val="32"/>
          <w:szCs w:val="32"/>
        </w:rPr>
        <w:t>四、主要任务</w:t>
      </w:r>
      <w:bookmarkEnd w:id="55"/>
      <w:bookmarkEnd w:id="56"/>
      <w:bookmarkEnd w:id="5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58" w:name="_Toc1161"/>
      <w:bookmarkStart w:id="59" w:name="_Toc116136571"/>
      <w:r>
        <w:rPr>
          <w:rFonts w:hint="default" w:ascii="Times New Roman" w:hAnsi="Times New Roman" w:eastAsia="楷体_GB2312" w:cs="Times New Roman"/>
          <w:b w:val="0"/>
          <w:bCs/>
          <w:color w:val="auto"/>
          <w:sz w:val="32"/>
          <w:szCs w:val="32"/>
        </w:rPr>
        <w:t>（一）优化饮用水水源布局</w:t>
      </w:r>
      <w:bookmarkEnd w:id="58"/>
      <w:bookmarkEnd w:id="59"/>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推进水源</w:t>
      </w:r>
      <w:r>
        <w:rPr>
          <w:rFonts w:hint="default" w:ascii="Times New Roman" w:hAnsi="Times New Roman" w:eastAsia="仿宋_GB2312" w:cs="Times New Roman"/>
          <w:b/>
          <w:bCs/>
          <w:color w:val="auto"/>
          <w:sz w:val="32"/>
          <w:szCs w:val="32"/>
          <w:lang w:eastAsia="zh-CN"/>
        </w:rPr>
        <w:t>和供水</w:t>
      </w:r>
      <w:r>
        <w:rPr>
          <w:rFonts w:hint="default" w:ascii="Times New Roman" w:hAnsi="Times New Roman" w:eastAsia="仿宋_GB2312" w:cs="Times New Roman"/>
          <w:b/>
          <w:bCs/>
          <w:color w:val="auto"/>
          <w:sz w:val="32"/>
          <w:szCs w:val="32"/>
        </w:rPr>
        <w:t>工程新建。</w:t>
      </w:r>
      <w:r>
        <w:rPr>
          <w:rFonts w:hint="default" w:ascii="Times New Roman" w:hAnsi="Times New Roman" w:eastAsia="仿宋_GB2312" w:cs="Times New Roman"/>
          <w:b w:val="0"/>
          <w:bCs w:val="0"/>
          <w:color w:val="auto"/>
          <w:sz w:val="32"/>
          <w:szCs w:val="32"/>
        </w:rPr>
        <w:t>大力推进稳定水源工程建设，强化饮用水水源选址论证，实施规模化供水工程建设和小型工程标准化改造，以人口集聚的乡镇或行政村为中心，因地制宜建设一批中小型水库水源工程，推进千人供水工程饮用水水源建设保护</w:t>
      </w:r>
      <w:r>
        <w:rPr>
          <w:rStyle w:val="23"/>
          <w:rFonts w:hint="default" w:ascii="Times New Roman" w:hAnsi="Times New Roman" w:eastAsia="仿宋_GB2312" w:cs="Times New Roman"/>
          <w:color w:val="auto"/>
          <w:sz w:val="32"/>
          <w:szCs w:val="32"/>
        </w:rPr>
        <w:footnoteReference w:id="1"/>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积极</w:t>
      </w:r>
      <w:r>
        <w:rPr>
          <w:rFonts w:hint="default" w:ascii="Times New Roman" w:hAnsi="Times New Roman" w:eastAsia="仿宋_GB2312" w:cs="Times New Roman"/>
          <w:color w:val="auto"/>
          <w:kern w:val="0"/>
          <w:sz w:val="32"/>
          <w:szCs w:val="32"/>
        </w:rPr>
        <w:t>推进沙坝水库</w:t>
      </w:r>
      <w:r>
        <w:rPr>
          <w:rFonts w:hint="default" w:ascii="Times New Roman" w:hAnsi="Times New Roman" w:eastAsia="仿宋_GB2312" w:cs="Times New Roman"/>
          <w:color w:val="auto"/>
          <w:kern w:val="0"/>
          <w:sz w:val="32"/>
          <w:szCs w:val="32"/>
          <w:lang w:eastAsia="zh-CN"/>
        </w:rPr>
        <w:t>工程及二滩南部片区供水工程</w:t>
      </w:r>
      <w:r>
        <w:rPr>
          <w:rFonts w:hint="default" w:ascii="Times New Roman" w:hAnsi="Times New Roman" w:eastAsia="仿宋_GB2312" w:cs="Times New Roman"/>
          <w:color w:val="auto"/>
          <w:kern w:val="0"/>
          <w:sz w:val="32"/>
          <w:szCs w:val="32"/>
        </w:rPr>
        <w:t>建设</w:t>
      </w:r>
      <w:r>
        <w:rPr>
          <w:rStyle w:val="23"/>
          <w:rFonts w:hint="default" w:ascii="Times New Roman" w:hAnsi="Times New Roman" w:eastAsia="仿宋_GB2312" w:cs="Times New Roman"/>
          <w:color w:val="auto"/>
          <w:sz w:val="32"/>
          <w:szCs w:val="32"/>
        </w:rPr>
        <w:footnoteReference w:id="2"/>
      </w:r>
      <w:r>
        <w:rPr>
          <w:rFonts w:hint="default" w:ascii="Times New Roman" w:hAnsi="Times New Roman" w:eastAsia="仿宋_GB2312" w:cs="Times New Roman"/>
          <w:color w:val="auto"/>
          <w:kern w:val="0"/>
          <w:sz w:val="32"/>
          <w:szCs w:val="32"/>
        </w:rPr>
        <w:t>，解决盐边县城</w:t>
      </w:r>
      <w:r>
        <w:rPr>
          <w:rFonts w:hint="default" w:ascii="Times New Roman" w:hAnsi="Times New Roman" w:eastAsia="仿宋_GB2312" w:cs="Times New Roman"/>
          <w:color w:val="auto"/>
          <w:kern w:val="0"/>
          <w:sz w:val="32"/>
          <w:szCs w:val="32"/>
          <w:lang w:eastAsia="zh-CN"/>
        </w:rPr>
        <w:t>、新九、</w:t>
      </w:r>
      <w:r>
        <w:rPr>
          <w:rFonts w:hint="default" w:ascii="Times New Roman" w:hAnsi="Times New Roman" w:eastAsia="仿宋_GB2312" w:cs="Times New Roman"/>
          <w:color w:val="auto"/>
          <w:kern w:val="0"/>
          <w:sz w:val="32"/>
          <w:szCs w:val="32"/>
        </w:rPr>
        <w:t>红格片区生活、生产和生态用水</w:t>
      </w:r>
      <w:r>
        <w:rPr>
          <w:rFonts w:hint="default" w:ascii="Times New Roman" w:hAnsi="Times New Roman" w:eastAsia="仿宋_GB2312" w:cs="Times New Roman"/>
          <w:color w:val="auto"/>
          <w:kern w:val="0"/>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加快应急备用水源建设。</w:t>
      </w:r>
      <w:r>
        <w:rPr>
          <w:rFonts w:hint="default" w:ascii="Times New Roman" w:hAnsi="Times New Roman" w:eastAsia="仿宋_GB2312" w:cs="Times New Roman"/>
          <w:color w:val="auto"/>
          <w:sz w:val="32"/>
          <w:szCs w:val="32"/>
          <w:lang w:val="en-US" w:eastAsia="zh-CN"/>
        </w:rPr>
        <w:t>大力推进攀枝花市中心城区应急备用水源跨区域联网供水工程建设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bCs w:val="0"/>
          <w:color w:val="auto"/>
          <w:sz w:val="32"/>
          <w:szCs w:val="32"/>
          <w:lang w:eastAsia="zh-CN"/>
        </w:rPr>
        <w:t>加快推荐</w:t>
      </w:r>
      <w:r>
        <w:rPr>
          <w:rFonts w:hint="default" w:ascii="Times New Roman" w:hAnsi="Times New Roman" w:eastAsia="仿宋_GB2312" w:cs="Times New Roman"/>
          <w:color w:val="auto"/>
          <w:sz w:val="32"/>
          <w:szCs w:val="32"/>
          <w:lang w:eastAsia="zh-CN"/>
        </w:rPr>
        <w:t>盐边县城区</w:t>
      </w:r>
      <w:r>
        <w:rPr>
          <w:rFonts w:hint="default" w:ascii="Times New Roman" w:hAnsi="Times New Roman" w:eastAsia="仿宋_GB2312" w:cs="Times New Roman"/>
          <w:color w:val="auto"/>
          <w:sz w:val="32"/>
          <w:szCs w:val="32"/>
        </w:rPr>
        <w:t>应急备用水源</w:t>
      </w:r>
      <w:r>
        <w:rPr>
          <w:rFonts w:hint="default" w:ascii="Times New Roman" w:hAnsi="Times New Roman" w:eastAsia="仿宋_GB2312" w:cs="Times New Roman"/>
          <w:color w:val="auto"/>
          <w:sz w:val="32"/>
          <w:szCs w:val="32"/>
          <w:lang w:val="en-US" w:eastAsia="zh-CN"/>
        </w:rPr>
        <w:t>跨区域联网供水工程建设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bCs w:val="0"/>
          <w:color w:val="auto"/>
          <w:sz w:val="32"/>
          <w:szCs w:val="32"/>
          <w:lang w:eastAsia="zh-CN"/>
        </w:rPr>
        <w:t>加快推荐米易县应急备用水源地马鞍山水库保护区规范化建设和</w:t>
      </w:r>
      <w:r>
        <w:rPr>
          <w:rFonts w:hint="default" w:ascii="Times New Roman" w:hAnsi="Times New Roman" w:eastAsia="仿宋_GB2312" w:cs="Times New Roman"/>
          <w:b w:val="0"/>
          <w:bCs w:val="0"/>
          <w:color w:val="auto"/>
          <w:sz w:val="32"/>
          <w:szCs w:val="32"/>
          <w:lang w:val="en-US" w:eastAsia="zh-CN"/>
        </w:rPr>
        <w:t>综合</w:t>
      </w:r>
      <w:r>
        <w:rPr>
          <w:rFonts w:hint="default" w:ascii="Times New Roman" w:hAnsi="Times New Roman" w:eastAsia="仿宋_GB2312" w:cs="Times New Roman"/>
          <w:b w:val="0"/>
          <w:bCs w:val="0"/>
          <w:color w:val="auto"/>
          <w:sz w:val="32"/>
          <w:szCs w:val="32"/>
          <w:lang w:eastAsia="zh-CN"/>
        </w:rPr>
        <w:t>整治</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val="0"/>
          <w:bCs w:val="0"/>
          <w:color w:val="auto"/>
          <w:sz w:val="32"/>
          <w:szCs w:val="32"/>
        </w:rPr>
        <w:t>完善应急备用水源取供水设施，健全取供水设施运行管理制度，维持常态低压供水，有效保障应急备用功能。到2025年底，</w:t>
      </w:r>
      <w:r>
        <w:rPr>
          <w:rFonts w:hint="default" w:ascii="Times New Roman" w:hAnsi="Times New Roman" w:eastAsia="仿宋_GB2312" w:cs="Times New Roman"/>
          <w:color w:val="auto"/>
          <w:sz w:val="32"/>
          <w:szCs w:val="32"/>
        </w:rPr>
        <w:t>县级及以上城市完成</w:t>
      </w:r>
      <w:r>
        <w:rPr>
          <w:rFonts w:hint="default" w:ascii="Times New Roman" w:hAnsi="Times New Roman" w:eastAsia="仿宋_GB2312" w:cs="Times New Roman"/>
          <w:color w:val="auto"/>
          <w:sz w:val="32"/>
          <w:szCs w:val="32"/>
          <w:lang w:val="en-US" w:eastAsia="zh-CN"/>
        </w:rPr>
        <w:t>100%的</w:t>
      </w:r>
      <w:r>
        <w:rPr>
          <w:rFonts w:hint="default" w:ascii="Times New Roman" w:hAnsi="Times New Roman" w:eastAsia="仿宋_GB2312" w:cs="Times New Roman"/>
          <w:color w:val="auto"/>
          <w:sz w:val="32"/>
          <w:szCs w:val="32"/>
        </w:rPr>
        <w:t>应急备用水源建设。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60" w:name="_Toc18234"/>
      <w:bookmarkStart w:id="61" w:name="_Toc116136572"/>
      <w:r>
        <w:rPr>
          <w:rFonts w:hint="default" w:ascii="Times New Roman" w:hAnsi="Times New Roman" w:eastAsia="楷体_GB2312" w:cs="Times New Roman"/>
          <w:b w:val="0"/>
          <w:bCs/>
          <w:color w:val="auto"/>
          <w:sz w:val="32"/>
          <w:szCs w:val="32"/>
        </w:rPr>
        <w:t>（二）深化水源地规范化建设</w:t>
      </w:r>
      <w:bookmarkEnd w:id="60"/>
      <w:bookmarkEnd w:id="61"/>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依法设立饮用水水源保护区。</w:t>
      </w:r>
      <w:r>
        <w:rPr>
          <w:rFonts w:hint="default" w:ascii="Times New Roman" w:hAnsi="Times New Roman" w:eastAsia="仿宋_GB2312" w:cs="Times New Roman"/>
          <w:color w:val="auto"/>
          <w:sz w:val="32"/>
          <w:szCs w:val="32"/>
        </w:rPr>
        <w:t>依法、科学开展</w:t>
      </w:r>
      <w:r>
        <w:rPr>
          <w:rFonts w:hint="default" w:ascii="Times New Roman" w:hAnsi="Times New Roman" w:eastAsia="仿宋_GB2312" w:cs="Times New Roman"/>
          <w:color w:val="auto"/>
          <w:sz w:val="32"/>
          <w:szCs w:val="32"/>
          <w:lang w:eastAsia="zh-CN"/>
        </w:rPr>
        <w:t>米易县马鞍山水库</w:t>
      </w:r>
      <w:r>
        <w:rPr>
          <w:rFonts w:hint="default" w:ascii="Times New Roman" w:hAnsi="Times New Roman" w:eastAsia="仿宋_GB2312" w:cs="Times New Roman"/>
          <w:color w:val="auto"/>
          <w:sz w:val="32"/>
          <w:szCs w:val="32"/>
        </w:rPr>
        <w:t>集中式饮用水水源</w:t>
      </w:r>
      <w:r>
        <w:rPr>
          <w:rFonts w:hint="default" w:ascii="Times New Roman" w:hAnsi="Times New Roman" w:eastAsia="仿宋_GB2312" w:cs="Times New Roman"/>
          <w:color w:val="auto"/>
          <w:sz w:val="32"/>
          <w:szCs w:val="32"/>
          <w:lang w:eastAsia="zh-CN"/>
        </w:rPr>
        <w:t>地</w:t>
      </w:r>
      <w:r>
        <w:rPr>
          <w:rFonts w:hint="default" w:ascii="Times New Roman" w:hAnsi="Times New Roman" w:eastAsia="仿宋_GB2312" w:cs="Times New Roman"/>
          <w:color w:val="auto"/>
          <w:sz w:val="32"/>
          <w:szCs w:val="32"/>
        </w:rPr>
        <w:t>保护区划定工作，同步开展规范化建设。已停止供水，且替换水源已完成规范化建设、并已安全供水的水源，需按程序撤销。</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完善饮用水水源标识和隔离设施。</w:t>
      </w:r>
      <w:r>
        <w:rPr>
          <w:rFonts w:hint="default" w:ascii="Times New Roman" w:hAnsi="Times New Roman" w:eastAsia="仿宋_GB2312" w:cs="Times New Roman"/>
          <w:color w:val="auto"/>
          <w:sz w:val="32"/>
          <w:szCs w:val="32"/>
        </w:rPr>
        <w:t>推进饮用水水源保护区界标、宣传牌、交通警示牌规范化设置</w:t>
      </w:r>
      <w:r>
        <w:rPr>
          <w:rFonts w:hint="default" w:ascii="Times New Roman" w:hAnsi="Times New Roman" w:eastAsia="仿宋_GB2312" w:cs="Times New Roman"/>
          <w:color w:val="auto"/>
          <w:sz w:val="32"/>
          <w:szCs w:val="32"/>
          <w:lang w:eastAsia="zh-CN"/>
        </w:rPr>
        <w:t>，及时更换污损、破损的标识标牌。</w:t>
      </w:r>
      <w:r>
        <w:rPr>
          <w:rFonts w:hint="default" w:ascii="Times New Roman" w:hAnsi="Times New Roman" w:eastAsia="仿宋_GB2312" w:cs="Times New Roman"/>
          <w:color w:val="auto"/>
          <w:sz w:val="32"/>
          <w:szCs w:val="32"/>
        </w:rPr>
        <w:t>跨保护区水体的桥梁或沿河、湖（库）公路，应在穿越桥梁或路段两端设置交通警示牌。科学规范设置隔离防护设施，因地制宜采用生物隔离、物理隔离等</w:t>
      </w:r>
      <w:r>
        <w:rPr>
          <w:rFonts w:hint="default" w:ascii="Times New Roman" w:hAnsi="Times New Roman" w:eastAsia="仿宋_GB2312" w:cs="Times New Roman"/>
          <w:color w:val="auto"/>
          <w:sz w:val="32"/>
          <w:szCs w:val="32"/>
          <w:lang w:eastAsia="zh-CN"/>
        </w:rPr>
        <w:t>多种</w:t>
      </w:r>
      <w:r>
        <w:rPr>
          <w:rFonts w:hint="default" w:ascii="Times New Roman" w:hAnsi="Times New Roman" w:eastAsia="仿宋_GB2312" w:cs="Times New Roman"/>
          <w:color w:val="auto"/>
          <w:sz w:val="32"/>
          <w:szCs w:val="32"/>
        </w:rPr>
        <w:t>方式科学设置隔离防护设施，一级保护区实行封闭式管理，鼓励对受人为活动影响突出的二级保护区采取隔离防护措施。到2024年底，乡镇级饮用水水源保护区完成标识标牌设立；到2025年底，集中式饮用水水源一级保护区隔离防护设施设置率达到100%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62" w:name="_Toc116136573"/>
      <w:bookmarkStart w:id="63" w:name="_Toc28188"/>
      <w:r>
        <w:rPr>
          <w:rFonts w:hint="default" w:ascii="Times New Roman" w:hAnsi="Times New Roman" w:eastAsia="楷体_GB2312" w:cs="Times New Roman"/>
          <w:b w:val="0"/>
          <w:bCs/>
          <w:color w:val="auto"/>
          <w:sz w:val="32"/>
          <w:szCs w:val="32"/>
        </w:rPr>
        <w:t>（三）持续推进环境问题整治</w:t>
      </w:r>
      <w:bookmarkEnd w:id="62"/>
      <w:bookmarkEnd w:id="63"/>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rPr>
        <w:t>实施不达标水源整治。</w:t>
      </w:r>
      <w:r>
        <w:rPr>
          <w:rFonts w:hint="default" w:ascii="Times New Roman" w:hAnsi="Times New Roman" w:eastAsia="仿宋_GB2312" w:cs="Times New Roman"/>
          <w:b w:val="0"/>
          <w:bCs w:val="0"/>
          <w:color w:val="auto"/>
          <w:sz w:val="32"/>
          <w:szCs w:val="32"/>
          <w:lang w:eastAsia="zh-CN"/>
        </w:rPr>
        <w:t>对于高堰沟水库水源地、国胜乡鱼洞水源地</w:t>
      </w:r>
      <w:r>
        <w:rPr>
          <w:rFonts w:hint="default" w:ascii="Times New Roman" w:hAnsi="Times New Roman" w:eastAsia="仿宋_GB2312" w:cs="Times New Roman"/>
          <w:b w:val="0"/>
          <w:bCs w:val="0"/>
          <w:color w:val="auto"/>
          <w:sz w:val="32"/>
          <w:szCs w:val="32"/>
          <w:lang w:val="en-US" w:eastAsia="zh-CN"/>
        </w:rPr>
        <w:t>和箐河乡象鼻子水源地</w:t>
      </w:r>
      <w:r>
        <w:rPr>
          <w:rFonts w:hint="default" w:ascii="Times New Roman" w:hAnsi="Times New Roman" w:eastAsia="仿宋_GB2312" w:cs="Times New Roman"/>
          <w:b w:val="0"/>
          <w:bCs w:val="0"/>
          <w:color w:val="auto"/>
          <w:sz w:val="32"/>
          <w:szCs w:val="32"/>
          <w:lang w:eastAsia="zh-CN"/>
        </w:rPr>
        <w:t>等</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个人类活动导致不稳定达标饮用水水源</w:t>
      </w:r>
      <w:r>
        <w:rPr>
          <w:rFonts w:hint="default" w:ascii="Times New Roman" w:hAnsi="Times New Roman" w:eastAsia="仿宋_GB2312" w:cs="Times New Roman"/>
          <w:color w:val="auto"/>
          <w:sz w:val="32"/>
          <w:szCs w:val="32"/>
          <w:lang w:eastAsia="zh-CN"/>
        </w:rPr>
        <w:t>（见附件</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要因地制宜，分类施策，采取污染治理等措施，实现水质稳定达标</w:t>
      </w:r>
      <w:r>
        <w:rPr>
          <w:rFonts w:hint="default" w:ascii="Times New Roman" w:hAnsi="Times New Roman" w:eastAsia="仿宋_GB2312" w:cs="Times New Roman"/>
          <w:color w:val="auto"/>
          <w:sz w:val="32"/>
          <w:szCs w:val="32"/>
          <w:lang w:eastAsia="zh-CN"/>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推进保护区环境整治。</w:t>
      </w:r>
      <w:r>
        <w:rPr>
          <w:rFonts w:hint="default" w:ascii="Times New Roman" w:hAnsi="Times New Roman" w:eastAsia="仿宋_GB2312" w:cs="Times New Roman"/>
          <w:color w:val="auto"/>
          <w:sz w:val="32"/>
          <w:szCs w:val="32"/>
        </w:rPr>
        <w:t>开展饮用水水源地环境保护专项行动“回头看”，严查保护区内环境问题新增，防止原有问题反弹。以乡镇</w:t>
      </w:r>
      <w:r>
        <w:rPr>
          <w:rFonts w:hint="default" w:ascii="Times New Roman" w:hAnsi="Times New Roman" w:eastAsia="仿宋_GB2312" w:cs="Times New Roman"/>
          <w:color w:val="auto"/>
          <w:sz w:val="32"/>
          <w:szCs w:val="32"/>
          <w:lang w:eastAsia="zh-CN"/>
        </w:rPr>
        <w:t>级和</w:t>
      </w:r>
      <w:r>
        <w:rPr>
          <w:rFonts w:hint="default" w:ascii="Times New Roman" w:hAnsi="Times New Roman" w:eastAsia="仿宋_GB2312" w:cs="Times New Roman"/>
          <w:color w:val="auto"/>
          <w:sz w:val="32"/>
          <w:szCs w:val="32"/>
        </w:rPr>
        <w:t>新划定县级及以上水源保护区为重点，开展保护区内规模化畜禽养殖、涉水工业企业等违法建设项目和排污口排查整治，</w:t>
      </w:r>
      <w:r>
        <w:rPr>
          <w:rFonts w:hint="default" w:ascii="Times New Roman" w:hAnsi="Times New Roman" w:eastAsia="仿宋_GB2312" w:cs="Times New Roman"/>
          <w:color w:val="auto"/>
          <w:sz w:val="32"/>
          <w:szCs w:val="32"/>
          <w:lang w:eastAsia="zh-CN"/>
        </w:rPr>
        <w:t>依法依规处置</w:t>
      </w:r>
      <w:r>
        <w:rPr>
          <w:rFonts w:hint="default" w:ascii="Times New Roman" w:hAnsi="Times New Roman" w:eastAsia="仿宋_GB2312" w:cs="Times New Roman"/>
          <w:color w:val="auto"/>
          <w:sz w:val="32"/>
          <w:szCs w:val="32"/>
        </w:rPr>
        <w:t>一级、二级保护区内非法种植，推进准保护区内的水体污染严重建设项目、违规矿山开采活动等突出环境问题排查整治。结合乡村振兴规划和农村环境整治，推进保护区内生活污水治理、垃圾处理处置，补齐基础设施短板，强化治污设施运维管护，逐步搬迁一级保护区内原住居民，开展饮用水水源保护区雨污混排口整治，确保雨水排口水质符合饮用水水源地水质保护要求</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促进水源涵养和生态修复。</w:t>
      </w:r>
      <w:r>
        <w:rPr>
          <w:rFonts w:hint="default" w:ascii="Times New Roman" w:hAnsi="Times New Roman" w:eastAsia="仿宋_GB2312" w:cs="Times New Roman"/>
          <w:color w:val="auto"/>
          <w:sz w:val="32"/>
          <w:szCs w:val="32"/>
        </w:rPr>
        <w:t>以县级及以上水源</w:t>
      </w:r>
      <w:r>
        <w:rPr>
          <w:rFonts w:hint="default" w:ascii="Times New Roman" w:hAnsi="Times New Roman" w:eastAsia="仿宋_GB2312" w:cs="Times New Roman"/>
          <w:color w:val="auto"/>
          <w:sz w:val="32"/>
          <w:szCs w:val="32"/>
          <w:lang w:eastAsia="zh-CN"/>
        </w:rPr>
        <w:t>和水质不达标集中式饮用水源为重点，优先持续</w:t>
      </w:r>
      <w:r>
        <w:rPr>
          <w:rFonts w:hint="default" w:ascii="Times New Roman" w:hAnsi="Times New Roman" w:eastAsia="仿宋_GB2312" w:cs="Times New Roman"/>
          <w:color w:val="auto"/>
          <w:sz w:val="32"/>
          <w:szCs w:val="32"/>
        </w:rPr>
        <w:t>开展河流、湖库型饮用水水源生态缓冲带、湖滨带建设，推进农业面源污染防治，鼓励</w:t>
      </w:r>
      <w:r>
        <w:rPr>
          <w:rFonts w:hint="default" w:ascii="Times New Roman" w:hAnsi="Times New Roman" w:eastAsia="仿宋_GB2312" w:cs="Times New Roman"/>
          <w:b w:val="0"/>
          <w:bCs w:val="0"/>
          <w:color w:val="auto"/>
          <w:sz w:val="32"/>
          <w:szCs w:val="32"/>
          <w:lang w:eastAsia="zh-CN"/>
        </w:rPr>
        <w:t>保护区内耕地林地进行生态种植，严格控制化肥、农药等非点源污染，</w:t>
      </w:r>
      <w:r>
        <w:rPr>
          <w:rFonts w:hint="default" w:ascii="Times New Roman" w:hAnsi="Times New Roman" w:eastAsia="仿宋_GB2312" w:cs="Times New Roman"/>
          <w:color w:val="auto"/>
          <w:sz w:val="32"/>
          <w:szCs w:val="32"/>
        </w:rPr>
        <w:t>鼓励在准保护区及其上游</w:t>
      </w:r>
      <w:r>
        <w:rPr>
          <w:rFonts w:hint="default" w:ascii="Times New Roman" w:hAnsi="Times New Roman" w:eastAsia="仿宋_GB2312" w:cs="Times New Roman"/>
          <w:color w:val="auto"/>
          <w:sz w:val="32"/>
          <w:szCs w:val="32"/>
          <w:lang w:eastAsia="zh-CN"/>
        </w:rPr>
        <w:t>河道入口和河道两岸</w:t>
      </w:r>
      <w:r>
        <w:rPr>
          <w:rFonts w:hint="default" w:ascii="Times New Roman" w:hAnsi="Times New Roman" w:eastAsia="仿宋_GB2312" w:cs="Times New Roman"/>
          <w:color w:val="auto"/>
          <w:sz w:val="32"/>
          <w:szCs w:val="32"/>
        </w:rPr>
        <w:t>等重要节点建设生态湿地，保护区内的荒地等实施植树造林。推进湖库型饮用水水源入库直排排污口整治，实施生活污水</w:t>
      </w:r>
      <w:r>
        <w:rPr>
          <w:rFonts w:hint="default" w:ascii="Times New Roman" w:hAnsi="Times New Roman" w:eastAsia="仿宋_GB2312" w:cs="Times New Roman"/>
          <w:color w:val="auto"/>
          <w:sz w:val="32"/>
          <w:szCs w:val="32"/>
          <w:lang w:eastAsia="zh-CN"/>
        </w:rPr>
        <w:t>收集处理综合利用，禁止生活污水排入，</w:t>
      </w:r>
      <w:r>
        <w:rPr>
          <w:rFonts w:hint="default" w:ascii="Times New Roman" w:hAnsi="Times New Roman" w:eastAsia="仿宋_GB2312" w:cs="Times New Roman"/>
          <w:color w:val="auto"/>
          <w:sz w:val="32"/>
          <w:szCs w:val="32"/>
        </w:rPr>
        <w:t>加强内源治理和生态修复。加强保护区内穿越河流清理整治，减少受污染河段侧渗和垂直补给对地下水污染，确保傍河</w:t>
      </w:r>
      <w:r>
        <w:rPr>
          <w:rFonts w:hint="default" w:ascii="Times New Roman" w:hAnsi="Times New Roman" w:eastAsia="仿宋_GB2312" w:cs="Times New Roman"/>
          <w:color w:val="auto"/>
          <w:sz w:val="32"/>
          <w:szCs w:val="32"/>
          <w:lang w:eastAsia="zh-CN"/>
        </w:rPr>
        <w:t>地下水</w:t>
      </w:r>
      <w:r>
        <w:rPr>
          <w:rFonts w:hint="default" w:ascii="Times New Roman" w:hAnsi="Times New Roman" w:eastAsia="仿宋_GB2312" w:cs="Times New Roman"/>
          <w:color w:val="auto"/>
          <w:sz w:val="32"/>
          <w:szCs w:val="32"/>
        </w:rPr>
        <w:t>水源水质安全。落实河（湖）长制，实施“一河</w:t>
      </w:r>
      <w:r>
        <w:rPr>
          <w:rFonts w:hint="default" w:ascii="Times New Roman" w:hAnsi="Times New Roman" w:eastAsia="仿宋_GB2312" w:cs="Times New Roman"/>
          <w:bCs/>
          <w:color w:val="auto"/>
          <w:sz w:val="30"/>
          <w:szCs w:val="30"/>
        </w:rPr>
        <w:t>（湖）</w:t>
      </w:r>
      <w:r>
        <w:rPr>
          <w:rFonts w:hint="default" w:ascii="Times New Roman" w:hAnsi="Times New Roman" w:eastAsia="仿宋_GB2312" w:cs="Times New Roman"/>
          <w:color w:val="auto"/>
          <w:sz w:val="32"/>
          <w:szCs w:val="32"/>
        </w:rPr>
        <w:t>一策”，加强境内</w:t>
      </w:r>
      <w:r>
        <w:rPr>
          <w:rFonts w:hint="default" w:ascii="Times New Roman" w:hAnsi="Times New Roman" w:eastAsia="仿宋_GB2312" w:cs="Times New Roman"/>
          <w:color w:val="auto"/>
          <w:sz w:val="32"/>
          <w:szCs w:val="32"/>
          <w:lang w:eastAsia="zh-CN"/>
        </w:rPr>
        <w:t>河流湖库</w:t>
      </w:r>
      <w:r>
        <w:rPr>
          <w:rFonts w:hint="default" w:ascii="Times New Roman" w:hAnsi="Times New Roman" w:eastAsia="仿宋_GB2312" w:cs="Times New Roman"/>
          <w:color w:val="auto"/>
          <w:sz w:val="32"/>
          <w:szCs w:val="32"/>
        </w:rPr>
        <w:t>环境治理保护。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 w:cs="Times New Roman"/>
          <w:b/>
          <w:color w:val="auto"/>
          <w:sz w:val="32"/>
          <w:szCs w:val="32"/>
        </w:rPr>
      </w:pPr>
      <w:bookmarkStart w:id="64" w:name="_Toc2502"/>
      <w:bookmarkStart w:id="65" w:name="_Toc116136574"/>
      <w:r>
        <w:rPr>
          <w:rFonts w:hint="default" w:ascii="Times New Roman" w:hAnsi="Times New Roman" w:eastAsia="楷体_GB2312" w:cs="Times New Roman"/>
          <w:b w:val="0"/>
          <w:bCs/>
          <w:color w:val="auto"/>
          <w:sz w:val="32"/>
          <w:szCs w:val="32"/>
        </w:rPr>
        <w:t>（四）提升监测预警能力</w:t>
      </w:r>
      <w:bookmarkEnd w:id="64"/>
      <w:bookmarkEnd w:id="65"/>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持续强化水源常规监测。</w:t>
      </w:r>
      <w:r>
        <w:rPr>
          <w:rFonts w:hint="default" w:ascii="Times New Roman" w:hAnsi="Times New Roman" w:eastAsia="仿宋_GB2312" w:cs="Times New Roman"/>
          <w:b w:val="0"/>
          <w:bCs w:val="0"/>
          <w:color w:val="auto"/>
          <w:sz w:val="32"/>
          <w:szCs w:val="32"/>
        </w:rPr>
        <w:t>严格按照生态环境监测方案开展水质监测，县级及以上湖库型集中式饮用水水源开展富营养化评价</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color w:val="auto"/>
          <w:sz w:val="32"/>
          <w:szCs w:val="32"/>
        </w:rPr>
        <w:t>供水单位应当建立水质监测体系，实施实时监测。加强部门间监测数据共享和安全保障研判，提升水源水质监测自动化、信息化水平。到2025年底，集中式饮用水水源常规监测完成率达到100%。</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不断提升新污染物监测能力。</w:t>
      </w:r>
      <w:r>
        <w:rPr>
          <w:rFonts w:hint="default" w:ascii="Times New Roman" w:hAnsi="Times New Roman" w:eastAsia="仿宋_GB2312" w:cs="Times New Roman"/>
          <w:color w:val="auto"/>
          <w:sz w:val="32"/>
          <w:szCs w:val="32"/>
        </w:rPr>
        <w:t>鼓励优先开展</w:t>
      </w:r>
      <w:r>
        <w:rPr>
          <w:rFonts w:hint="eastAsia" w:ascii="Times New Roman" w:hAnsi="Times New Roman" w:eastAsia="仿宋_GB2312" w:cs="Times New Roman"/>
          <w:color w:val="auto"/>
          <w:sz w:val="32"/>
          <w:szCs w:val="32"/>
          <w:lang w:eastAsia="zh-CN"/>
        </w:rPr>
        <w:t>攀枝花市</w:t>
      </w:r>
      <w:r>
        <w:rPr>
          <w:rFonts w:hint="default" w:ascii="Times New Roman" w:hAnsi="Times New Roman" w:eastAsia="仿宋_GB2312" w:cs="Times New Roman"/>
          <w:color w:val="auto"/>
          <w:sz w:val="32"/>
          <w:szCs w:val="32"/>
          <w:lang w:eastAsia="zh-CN"/>
        </w:rPr>
        <w:t>观音岩水库</w:t>
      </w:r>
      <w:r>
        <w:rPr>
          <w:rFonts w:hint="default" w:ascii="Times New Roman" w:hAnsi="Times New Roman" w:eastAsia="仿宋_GB2312" w:cs="Times New Roman"/>
          <w:color w:val="auto"/>
          <w:sz w:val="32"/>
          <w:szCs w:val="32"/>
        </w:rPr>
        <w:t>集中式饮用水水源持久性有机污染物、环境内分泌干扰物、全氟化合物等重点管控新污染物调查监测，探索开展生物综合毒性监测。</w:t>
      </w:r>
    </w:p>
    <w:p>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b/>
          <w:bCs/>
          <w:color w:val="auto"/>
          <w:sz w:val="32"/>
          <w:szCs w:val="32"/>
        </w:rPr>
        <w:t>加快推进预警监控能力建设。</w:t>
      </w:r>
      <w:r>
        <w:rPr>
          <w:rFonts w:hint="default" w:ascii="Times New Roman" w:hAnsi="Times New Roman" w:eastAsia="仿宋_GB2312" w:cs="Times New Roman"/>
          <w:color w:val="auto"/>
          <w:kern w:val="0"/>
          <w:sz w:val="32"/>
          <w:szCs w:val="32"/>
          <w:lang w:val="en-US" w:eastAsia="zh-CN" w:bidi="ar"/>
        </w:rPr>
        <w:t>加强</w:t>
      </w:r>
      <w:r>
        <w:rPr>
          <w:rFonts w:hint="eastAsia" w:ascii="Times New Roman" w:hAnsi="Times New Roman" w:eastAsia="仿宋_GB2312" w:cs="Times New Roman"/>
          <w:color w:val="auto"/>
          <w:kern w:val="0"/>
          <w:sz w:val="32"/>
          <w:szCs w:val="32"/>
          <w:lang w:val="en-US" w:eastAsia="zh-CN" w:bidi="ar"/>
        </w:rPr>
        <w:t>攀枝花市</w:t>
      </w:r>
      <w:r>
        <w:rPr>
          <w:rFonts w:hint="default" w:ascii="Times New Roman" w:hAnsi="Times New Roman" w:eastAsia="仿宋_GB2312" w:cs="Times New Roman"/>
          <w:color w:val="auto"/>
          <w:kern w:val="0"/>
          <w:sz w:val="32"/>
          <w:szCs w:val="32"/>
          <w:lang w:val="en-US" w:eastAsia="zh-CN" w:bidi="ar"/>
        </w:rPr>
        <w:t>观音岩水库集中式饮用水水源预警监控能力建设，依据上游风险源排放特征，优化监控指标和频次。综合营养状态指数TLI大于60（中度富营养化以上）的县级及以上湖库型集中式饮用水水源地，应开展微囊藻毒素或藻细胞密度加密监测。以汛期水质劣于Ⅲ类的河流型、湖库型饮用水水源地为重点，开展汛期污染强度管理，加强高锰酸盐指数、氨氮、总磷、总氮等特征指标跟踪监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 w:cs="Times New Roman"/>
          <w:b/>
          <w:color w:val="auto"/>
          <w:sz w:val="32"/>
          <w:szCs w:val="32"/>
        </w:rPr>
      </w:pPr>
      <w:bookmarkStart w:id="66" w:name="_Toc11849"/>
      <w:bookmarkStart w:id="67" w:name="_Toc116136575"/>
      <w:r>
        <w:rPr>
          <w:rFonts w:hint="default" w:ascii="Times New Roman" w:hAnsi="Times New Roman" w:eastAsia="楷体_GB2312" w:cs="Times New Roman"/>
          <w:b w:val="0"/>
          <w:bCs/>
          <w:color w:val="auto"/>
          <w:sz w:val="32"/>
          <w:szCs w:val="32"/>
        </w:rPr>
        <w:t>（五）夯实饮用水水源监管能力</w:t>
      </w:r>
      <w:bookmarkEnd w:id="66"/>
      <w:bookmarkEnd w:id="67"/>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推进视频监控网络体系建设。</w:t>
      </w:r>
      <w:r>
        <w:rPr>
          <w:rFonts w:hint="default" w:ascii="Times New Roman" w:hAnsi="Times New Roman" w:eastAsia="仿宋_GB2312" w:cs="Times New Roman"/>
          <w:b w:val="0"/>
          <w:bCs w:val="0"/>
          <w:color w:val="auto"/>
          <w:sz w:val="32"/>
          <w:szCs w:val="32"/>
          <w:lang w:eastAsia="zh-CN"/>
        </w:rPr>
        <w:t>以取水口、</w:t>
      </w:r>
      <w:r>
        <w:rPr>
          <w:rFonts w:hint="default" w:ascii="Times New Roman" w:hAnsi="Times New Roman" w:eastAsia="仿宋_GB2312" w:cs="Times New Roman"/>
          <w:color w:val="auto"/>
          <w:sz w:val="32"/>
          <w:szCs w:val="32"/>
        </w:rPr>
        <w:t>一级保护区</w:t>
      </w:r>
      <w:r>
        <w:rPr>
          <w:rFonts w:hint="default" w:ascii="Times New Roman" w:hAnsi="Times New Roman" w:eastAsia="仿宋_GB2312" w:cs="Times New Roman"/>
          <w:color w:val="auto"/>
          <w:sz w:val="32"/>
          <w:szCs w:val="32"/>
          <w:lang w:eastAsia="zh-CN"/>
        </w:rPr>
        <w:t>及上游支流入口为重点，</w:t>
      </w:r>
      <w:r>
        <w:rPr>
          <w:rFonts w:hint="default" w:ascii="Times New Roman" w:hAnsi="Times New Roman" w:eastAsia="仿宋_GB2312" w:cs="Times New Roman"/>
          <w:color w:val="auto"/>
          <w:sz w:val="32"/>
          <w:szCs w:val="32"/>
        </w:rPr>
        <w:t>推进视频监控网络体系建设，</w:t>
      </w:r>
      <w:r>
        <w:rPr>
          <w:rFonts w:hint="default" w:ascii="Times New Roman" w:hAnsi="Times New Roman" w:eastAsia="仿宋_GB2312" w:cs="Times New Roman"/>
          <w:color w:val="auto"/>
          <w:sz w:val="32"/>
          <w:szCs w:val="32"/>
          <w:lang w:eastAsia="zh-CN"/>
        </w:rPr>
        <w:t>完善观音水库上游支流入口，以及</w:t>
      </w:r>
      <w:r>
        <w:rPr>
          <w:rFonts w:hint="default" w:ascii="Times New Roman" w:hAnsi="Times New Roman" w:eastAsia="仿宋_GB2312" w:cs="Times New Roman"/>
          <w:color w:val="auto"/>
          <w:sz w:val="32"/>
          <w:szCs w:val="32"/>
        </w:rPr>
        <w:t>“千吨万人”饮用水水源</w:t>
      </w:r>
      <w:r>
        <w:rPr>
          <w:rFonts w:hint="default" w:ascii="Times New Roman" w:hAnsi="Times New Roman" w:eastAsia="仿宋_GB2312" w:cs="Times New Roman"/>
          <w:color w:val="auto"/>
          <w:sz w:val="32"/>
          <w:szCs w:val="32"/>
          <w:lang w:val="en-US" w:eastAsia="zh-CN"/>
        </w:rPr>
        <w:t>盐边县新九镇高堰沟水库水源地</w:t>
      </w:r>
      <w:r>
        <w:rPr>
          <w:rFonts w:hint="default" w:ascii="Times New Roman" w:hAnsi="Times New Roman" w:eastAsia="仿宋_GB2312" w:cs="Times New Roman"/>
          <w:color w:val="auto"/>
          <w:sz w:val="32"/>
          <w:szCs w:val="32"/>
          <w:lang w:eastAsia="zh-CN"/>
        </w:rPr>
        <w:t>、渔门镇集中式饮用水水源地</w:t>
      </w:r>
      <w:r>
        <w:rPr>
          <w:rFonts w:hint="default" w:ascii="Times New Roman" w:hAnsi="Times New Roman" w:eastAsia="仿宋_GB2312" w:cs="Times New Roman"/>
          <w:color w:val="auto"/>
          <w:sz w:val="32"/>
          <w:szCs w:val="32"/>
          <w:lang w:val="en-US" w:eastAsia="zh-CN"/>
        </w:rPr>
        <w:t>和仁和区平地镇跃进水库集中式饮用水水源地</w:t>
      </w:r>
      <w:r>
        <w:rPr>
          <w:rFonts w:hint="default" w:ascii="Times New Roman" w:hAnsi="Times New Roman" w:eastAsia="仿宋_GB2312" w:cs="Times New Roman"/>
          <w:color w:val="auto"/>
          <w:sz w:val="32"/>
          <w:szCs w:val="32"/>
        </w:rPr>
        <w:t>取水口</w:t>
      </w:r>
      <w:r>
        <w:rPr>
          <w:rFonts w:hint="default" w:ascii="Times New Roman" w:hAnsi="Times New Roman" w:eastAsia="仿宋_GB2312" w:cs="Times New Roman"/>
          <w:color w:val="auto"/>
          <w:sz w:val="32"/>
          <w:szCs w:val="32"/>
          <w:lang w:val="en-US" w:eastAsia="zh-CN"/>
        </w:rPr>
        <w:t>和一级保护区拐点</w:t>
      </w:r>
      <w:r>
        <w:rPr>
          <w:rFonts w:hint="default" w:ascii="Times New Roman" w:hAnsi="Times New Roman" w:eastAsia="仿宋_GB2312" w:cs="Times New Roman"/>
          <w:color w:val="auto"/>
          <w:sz w:val="32"/>
          <w:szCs w:val="32"/>
        </w:rPr>
        <w:t>视频监控设置</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做好已有监控设备维护，确保监控设施有效运行。鼓励县级及以上水源优先采用集视频采集、分析报警、违法行为取证为一体的智慧化监控设施。开展保护区内县级及以上跨越水体或沿河（湖、库）的道路、桥梁、铁路视频监控建设。到2025年年底，“千吨万人”集中式饮用水水源视频监控建设率达到100%。</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完善交通风险防控措施。</w:t>
      </w:r>
      <w:r>
        <w:rPr>
          <w:rFonts w:hint="default" w:ascii="Times New Roman" w:hAnsi="Times New Roman" w:eastAsia="仿宋_GB2312" w:cs="Times New Roman"/>
          <w:b w:val="0"/>
          <w:bCs w:val="0"/>
          <w:color w:val="auto"/>
          <w:sz w:val="32"/>
          <w:szCs w:val="32"/>
          <w:lang w:eastAsia="zh-CN"/>
        </w:rPr>
        <w:t>以跨雅砻江的三滩大桥和穿</w:t>
      </w:r>
      <w:r>
        <w:rPr>
          <w:rFonts w:hint="eastAsia" w:ascii="Times New Roman" w:hAnsi="Times New Roman" w:eastAsia="仿宋_GB2312" w:cs="Times New Roman"/>
          <w:b w:val="0"/>
          <w:bCs w:val="0"/>
          <w:color w:val="auto"/>
          <w:sz w:val="32"/>
          <w:szCs w:val="32"/>
          <w:lang w:eastAsia="zh-CN"/>
        </w:rPr>
        <w:t>盐边县</w:t>
      </w:r>
      <w:r>
        <w:rPr>
          <w:rFonts w:hint="default" w:ascii="Times New Roman" w:hAnsi="Times New Roman" w:eastAsia="仿宋_GB2312" w:cs="Times New Roman"/>
          <w:b w:val="0"/>
          <w:bCs w:val="0"/>
          <w:color w:val="auto"/>
          <w:sz w:val="32"/>
          <w:szCs w:val="32"/>
          <w:lang w:eastAsia="zh-CN"/>
        </w:rPr>
        <w:t>雅砻江菩萨岩</w:t>
      </w:r>
      <w:r>
        <w:rPr>
          <w:rFonts w:hint="eastAsia" w:ascii="Times New Roman" w:hAnsi="Times New Roman" w:eastAsia="仿宋_GB2312" w:cs="Times New Roman"/>
          <w:b w:val="0"/>
          <w:bCs w:val="0"/>
          <w:color w:val="auto"/>
          <w:sz w:val="32"/>
          <w:szCs w:val="32"/>
          <w:lang w:eastAsia="zh-CN"/>
        </w:rPr>
        <w:t>集中式</w:t>
      </w:r>
      <w:r>
        <w:rPr>
          <w:rFonts w:hint="default" w:ascii="Times New Roman" w:hAnsi="Times New Roman" w:eastAsia="仿宋_GB2312" w:cs="Times New Roman"/>
          <w:b w:val="0"/>
          <w:bCs w:val="0"/>
          <w:color w:val="auto"/>
          <w:sz w:val="32"/>
          <w:szCs w:val="32"/>
          <w:lang w:eastAsia="zh-CN"/>
        </w:rPr>
        <w:t>饮用水水源</w:t>
      </w:r>
      <w:r>
        <w:rPr>
          <w:rFonts w:hint="eastAsia" w:ascii="Times New Roman" w:hAnsi="Times New Roman" w:eastAsia="仿宋_GB2312" w:cs="Times New Roman"/>
          <w:b w:val="0"/>
          <w:bCs w:val="0"/>
          <w:color w:val="auto"/>
          <w:sz w:val="32"/>
          <w:szCs w:val="32"/>
          <w:lang w:eastAsia="zh-CN"/>
        </w:rPr>
        <w:t>地</w:t>
      </w:r>
      <w:r>
        <w:rPr>
          <w:rFonts w:hint="default" w:ascii="Times New Roman" w:hAnsi="Times New Roman" w:eastAsia="仿宋_GB2312" w:cs="Times New Roman"/>
          <w:b w:val="0"/>
          <w:bCs w:val="0"/>
          <w:color w:val="auto"/>
          <w:sz w:val="32"/>
          <w:szCs w:val="32"/>
          <w:lang w:eastAsia="zh-CN"/>
        </w:rPr>
        <w:t>保护区的雅砻江右岸二滩大道，穿晃桥水库</w:t>
      </w:r>
      <w:r>
        <w:rPr>
          <w:rFonts w:hint="eastAsia" w:ascii="Times New Roman" w:hAnsi="Times New Roman" w:eastAsia="仿宋_GB2312" w:cs="Times New Roman"/>
          <w:b w:val="0"/>
          <w:bCs w:val="0"/>
          <w:color w:val="auto"/>
          <w:sz w:val="32"/>
          <w:szCs w:val="32"/>
          <w:lang w:eastAsia="zh-CN"/>
        </w:rPr>
        <w:t>集中式饮用水水源地</w:t>
      </w:r>
      <w:r>
        <w:rPr>
          <w:rFonts w:hint="default" w:ascii="Times New Roman" w:hAnsi="Times New Roman" w:eastAsia="仿宋_GB2312" w:cs="Times New Roman"/>
          <w:b w:val="0"/>
          <w:bCs w:val="0"/>
          <w:color w:val="auto"/>
          <w:sz w:val="32"/>
          <w:szCs w:val="32"/>
          <w:lang w:eastAsia="zh-CN"/>
        </w:rPr>
        <w:t>保护区的米普路，</w:t>
      </w:r>
      <w:r>
        <w:rPr>
          <w:rFonts w:hint="default" w:ascii="Times New Roman" w:hAnsi="Times New Roman" w:eastAsia="仿宋_GB2312" w:cs="Times New Roman"/>
          <w:color w:val="auto"/>
          <w:kern w:val="0"/>
          <w:sz w:val="32"/>
          <w:szCs w:val="32"/>
          <w:lang w:bidi="ar-SA"/>
        </w:rPr>
        <w:t>从胜利水库集中式饮用水水源地库区上溯至跃进水库全程均与流域河道伴行</w:t>
      </w:r>
      <w:r>
        <w:rPr>
          <w:rFonts w:hint="default" w:ascii="Times New Roman" w:hAnsi="Times New Roman" w:eastAsia="仿宋_GB2312" w:cs="Times New Roman"/>
          <w:color w:val="auto"/>
          <w:kern w:val="0"/>
          <w:sz w:val="32"/>
          <w:szCs w:val="32"/>
          <w:lang w:eastAsia="zh-CN" w:bidi="ar-SA"/>
        </w:rPr>
        <w:t>，并</w:t>
      </w:r>
      <w:r>
        <w:rPr>
          <w:rFonts w:hint="default" w:ascii="Times New Roman" w:hAnsi="Times New Roman" w:eastAsia="仿宋_GB2312" w:cs="Times New Roman"/>
          <w:b w:val="0"/>
          <w:bCs w:val="0"/>
          <w:color w:val="auto"/>
          <w:sz w:val="32"/>
          <w:szCs w:val="32"/>
          <w:lang w:eastAsia="zh-CN"/>
        </w:rPr>
        <w:t>穿越</w:t>
      </w:r>
      <w:r>
        <w:rPr>
          <w:rFonts w:hint="default" w:ascii="Times New Roman" w:hAnsi="Times New Roman" w:eastAsia="仿宋_GB2312" w:cs="Times New Roman"/>
          <w:color w:val="auto"/>
          <w:kern w:val="0"/>
          <w:sz w:val="32"/>
          <w:szCs w:val="32"/>
          <w:lang w:bidi="ar-SA"/>
        </w:rPr>
        <w:t>跃进水库</w:t>
      </w:r>
      <w:r>
        <w:rPr>
          <w:rFonts w:hint="default" w:ascii="Times New Roman" w:hAnsi="Times New Roman" w:eastAsia="仿宋_GB2312" w:cs="Times New Roman"/>
          <w:b w:val="0"/>
          <w:bCs w:val="0"/>
          <w:color w:val="auto"/>
          <w:sz w:val="32"/>
          <w:szCs w:val="32"/>
          <w:lang w:eastAsia="zh-CN"/>
        </w:rPr>
        <w:t>集中式饮用水水源地保护区的G5高速公路段和</w:t>
      </w:r>
      <w:r>
        <w:rPr>
          <w:rFonts w:hint="default" w:ascii="Times New Roman" w:hAnsi="Times New Roman" w:eastAsia="仿宋_GB2312" w:cs="Times New Roman"/>
          <w:color w:val="auto"/>
          <w:kern w:val="0"/>
          <w:sz w:val="32"/>
          <w:szCs w:val="32"/>
          <w:lang w:eastAsia="zh-CN" w:bidi="ar-SA"/>
        </w:rPr>
        <w:t>国道227</w:t>
      </w:r>
      <w:r>
        <w:rPr>
          <w:rFonts w:hint="default" w:ascii="Times New Roman" w:hAnsi="Times New Roman" w:eastAsia="仿宋_GB2312" w:cs="Times New Roman"/>
          <w:b w:val="0"/>
          <w:bCs w:val="0"/>
          <w:color w:val="auto"/>
          <w:sz w:val="32"/>
          <w:szCs w:val="32"/>
          <w:lang w:eastAsia="zh-CN"/>
        </w:rPr>
        <w:t>公路段为重点，</w:t>
      </w:r>
      <w:r>
        <w:rPr>
          <w:rFonts w:hint="default" w:ascii="Times New Roman" w:hAnsi="Times New Roman" w:eastAsia="仿宋_GB2312" w:cs="Times New Roman"/>
          <w:color w:val="auto"/>
          <w:sz w:val="32"/>
          <w:szCs w:val="32"/>
        </w:rPr>
        <w:t>巩固提升跨保护区桥梁或沿河（湖、库）公路径流收集系统等应急防护工程建设。以乡镇</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集中式水源为重点，做好饮用水水体</w:t>
      </w:r>
      <w:r>
        <w:rPr>
          <w:rFonts w:hint="default" w:ascii="Times New Roman" w:hAnsi="Times New Roman" w:eastAsia="仿宋_GB2312" w:cs="Times New Roman"/>
          <w:color w:val="auto"/>
          <w:sz w:val="32"/>
          <w:szCs w:val="32"/>
          <w:lang w:eastAsia="zh-CN"/>
        </w:rPr>
        <w:t>与</w:t>
      </w:r>
      <w:r>
        <w:rPr>
          <w:rFonts w:hint="default" w:ascii="Times New Roman" w:hAnsi="Times New Roman" w:eastAsia="仿宋_GB2312" w:cs="Times New Roman"/>
          <w:color w:val="auto"/>
          <w:sz w:val="32"/>
          <w:szCs w:val="32"/>
        </w:rPr>
        <w:t>乡级及以下道路的隔离防护。原则上禁止保护区内有毒有害物质和危险化学品运输，确需穿越二级保护区和准保护区的，应当在驶入该区域的二十四小时前向</w:t>
      </w:r>
      <w:r>
        <w:rPr>
          <w:rFonts w:hint="default" w:ascii="Times New Roman" w:hAnsi="Times New Roman" w:eastAsia="仿宋_GB2312" w:cs="Times New Roman"/>
          <w:color w:val="auto"/>
          <w:sz w:val="32"/>
          <w:szCs w:val="32"/>
          <w:lang w:eastAsia="zh-CN"/>
        </w:rPr>
        <w:t>当地</w:t>
      </w:r>
      <w:r>
        <w:rPr>
          <w:rFonts w:hint="default" w:ascii="Times New Roman" w:hAnsi="Times New Roman" w:eastAsia="仿宋_GB2312" w:cs="Times New Roman"/>
          <w:color w:val="auto"/>
          <w:sz w:val="32"/>
          <w:szCs w:val="32"/>
        </w:rPr>
        <w:t>公安机关交通管理部门报告，配备防止污染物散落、溢流、渗漏的设施设备，指定专人保障运输安全。</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rPr>
        <w:t>完善应急能力建设。</w:t>
      </w:r>
      <w:r>
        <w:rPr>
          <w:rFonts w:hint="default" w:ascii="Times New Roman" w:hAnsi="Times New Roman" w:eastAsia="仿宋_GB2312" w:cs="Times New Roman"/>
          <w:b w:val="0"/>
          <w:bCs w:val="0"/>
          <w:color w:val="auto"/>
          <w:sz w:val="32"/>
          <w:szCs w:val="32"/>
          <w:lang w:eastAsia="zh-CN"/>
        </w:rPr>
        <w:t>完善盐边县雅砻江菩萨岩集中式饮用水水源突发环境事件应急预案编制，米易县马鞍山水库集中式饮用水水源地规范化建设完成后，及时完善应急预案编制。</w:t>
      </w:r>
      <w:r>
        <w:rPr>
          <w:rFonts w:hint="default" w:ascii="Times New Roman" w:hAnsi="Times New Roman" w:eastAsia="仿宋_GB2312" w:cs="Times New Roman"/>
          <w:color w:val="auto"/>
          <w:sz w:val="32"/>
          <w:szCs w:val="32"/>
        </w:rPr>
        <w:t>加强应急物资储备，定期组织开展应急演练，推动水源保护从“被动应对”向“主动防御”转变。饮用水供水单位应根据所在地饮用水水源突发环境事件应急预案，制定相应的饮用水水源污染事故应急方案和供水应急预案，并做好预案衔接。到2025年底，集中式饮用水水源应急预案编制完成率达到100%。</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建立健全长效监管机制</w:t>
      </w: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b w:val="0"/>
          <w:bCs/>
          <w:color w:val="auto"/>
          <w:sz w:val="32"/>
          <w:szCs w:val="32"/>
          <w:lang w:eastAsia="zh-CN"/>
        </w:rPr>
        <w:t>各区县</w:t>
      </w:r>
      <w:r>
        <w:rPr>
          <w:rFonts w:hint="default" w:ascii="Times New Roman" w:hAnsi="Times New Roman" w:eastAsia="仿宋_GB2312" w:cs="Times New Roman"/>
          <w:color w:val="auto"/>
          <w:sz w:val="32"/>
          <w:szCs w:val="32"/>
        </w:rPr>
        <w:t>应及时完善饮用水水源名录，健全基本信息档案，建立水源基础环境状况信息数据库及保护区矢量边界数据库，按要求填报《四川省饮用水水源地信息综合管理系统》《全国农村集中式水源地基础信息调查系统》、更新完善《国家饮用水水源地全域安全遥感监管平台》水源信息，按年度开展集中式饮用水水源基础信息调查和环境状况评估。定期开展饮用水水源周边及上游风险排查，建立风险源名录并加强环境监管。将饮用水水源保护纳入执法检查等工作内容，充分利用卫星遥感、无人机航测等技术手段，严厉打击各类违法行为，逐步形成包括环评准入、日常巡查、在线监控、公众监督等在内的常态化监管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68" w:name="_Toc8426"/>
      <w:bookmarkStart w:id="69" w:name="_Toc116136576"/>
      <w:r>
        <w:rPr>
          <w:rFonts w:hint="default" w:ascii="Times New Roman" w:hAnsi="Times New Roman" w:eastAsia="楷体_GB2312" w:cs="Times New Roman"/>
          <w:b w:val="0"/>
          <w:bCs/>
          <w:color w:val="auto"/>
          <w:sz w:val="32"/>
          <w:szCs w:val="32"/>
        </w:rPr>
        <w:t>（六）加强特殊水源保护</w:t>
      </w:r>
      <w:bookmarkEnd w:id="68"/>
      <w:bookmarkEnd w:id="69"/>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推进分散式水源保护。</w:t>
      </w:r>
      <w:r>
        <w:rPr>
          <w:rFonts w:hint="default" w:ascii="Times New Roman" w:hAnsi="Times New Roman" w:eastAsia="仿宋_GB2312" w:cs="Times New Roman"/>
          <w:b w:val="0"/>
          <w:bCs w:val="0"/>
          <w:color w:val="auto"/>
          <w:sz w:val="32"/>
          <w:szCs w:val="32"/>
        </w:rPr>
        <w:t>因地制宜推进分散式饮用水水源保护范围划定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开展分散式饮用水水源基础环境状况调查，加强饮用水水源水质监测。</w:t>
      </w:r>
      <w:r>
        <w:rPr>
          <w:rFonts w:hint="default" w:ascii="Times New Roman" w:hAnsi="Times New Roman" w:eastAsia="仿宋_GB2312" w:cs="Times New Roman"/>
          <w:b w:val="0"/>
          <w:bCs w:val="0"/>
          <w:color w:val="auto"/>
          <w:sz w:val="32"/>
          <w:szCs w:val="32"/>
          <w:lang w:eastAsia="zh-CN"/>
        </w:rPr>
        <w:t>做好</w:t>
      </w:r>
      <w:r>
        <w:rPr>
          <w:rFonts w:hint="default" w:ascii="Times New Roman" w:hAnsi="Times New Roman" w:eastAsia="仿宋_GB2312" w:cs="Times New Roman"/>
          <w:b w:val="0"/>
          <w:bCs w:val="0"/>
          <w:color w:val="auto"/>
          <w:sz w:val="32"/>
          <w:szCs w:val="32"/>
        </w:rPr>
        <w:t>饮用水水源保护范围及其周边污染控制，切实削减污染物，稳步改善水源水质。</w:t>
      </w:r>
      <w:r>
        <w:rPr>
          <w:rFonts w:hint="default" w:ascii="Times New Roman" w:hAnsi="Times New Roman" w:eastAsia="仿宋_GB2312" w:cs="Times New Roman"/>
          <w:color w:val="auto"/>
          <w:sz w:val="32"/>
          <w:szCs w:val="32"/>
        </w:rPr>
        <w:t>对不具备划定条件的，农村集体经济组织或者受益户应当加强保护管理，确保饮用水安全。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color w:val="auto"/>
          <w:sz w:val="32"/>
          <w:szCs w:val="32"/>
        </w:rPr>
      </w:pPr>
      <w:bookmarkStart w:id="70" w:name="_Toc30153"/>
      <w:bookmarkStart w:id="71" w:name="_Toc116136577"/>
      <w:bookmarkStart w:id="72" w:name="_Toc5241"/>
      <w:r>
        <w:rPr>
          <w:rFonts w:hint="default" w:ascii="Times New Roman" w:hAnsi="Times New Roman" w:eastAsia="黑体" w:cs="Times New Roman"/>
          <w:b w:val="0"/>
          <w:bCs/>
          <w:color w:val="auto"/>
          <w:sz w:val="32"/>
          <w:szCs w:val="32"/>
        </w:rPr>
        <w:t>五、保障措施</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73" w:name="_Toc103871688"/>
      <w:bookmarkStart w:id="74" w:name="_Toc21416"/>
      <w:bookmarkStart w:id="75" w:name="_Toc116136578"/>
      <w:r>
        <w:rPr>
          <w:rFonts w:hint="default" w:ascii="Times New Roman" w:hAnsi="Times New Roman" w:eastAsia="楷体_GB2312" w:cs="Times New Roman"/>
          <w:b w:val="0"/>
          <w:bCs/>
          <w:color w:val="auto"/>
          <w:sz w:val="32"/>
          <w:szCs w:val="32"/>
        </w:rPr>
        <w:t>（一）加强组织领导</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地方人民政府是保障饮用水水源安全的责任主体，要做好组织实施、上下衔接、域内协调，确保各项工作有力有序完成。生态环境部门负责饮用水水源污染防治的统一监督管理，推动将饮用水水源安全保障工作纳入</w:t>
      </w:r>
      <w:r>
        <w:rPr>
          <w:rFonts w:hint="default" w:ascii="Times New Roman" w:hAnsi="Times New Roman" w:eastAsia="仿宋_GB2312" w:cs="Times New Roman"/>
          <w:color w:val="auto"/>
          <w:sz w:val="32"/>
          <w:szCs w:val="32"/>
          <w:lang w:eastAsia="zh-CN"/>
        </w:rPr>
        <w:t>生态环境保护党政同责目标</w:t>
      </w:r>
      <w:r>
        <w:rPr>
          <w:rFonts w:hint="default" w:ascii="Times New Roman" w:hAnsi="Times New Roman" w:eastAsia="仿宋_GB2312" w:cs="Times New Roman"/>
          <w:color w:val="auto"/>
          <w:sz w:val="32"/>
          <w:szCs w:val="32"/>
        </w:rPr>
        <w:t>考核。水利部门加强渠道、水库等饮用水水源保护管理，优化水量配置，推动农村规模集中供水。住建部门加强自来水生产、供应环节监管，确保供水水质符合国家要求。卫生健康部门完善饮用水龙头水检测制度，做好饮用水健康风险评估。自然资源部门严格控制水源保护区内规划用地和项目建设。农业农村部门推动保护区种植业、养殖业污染防治。林业和草原部门加强水源涵养林保护。交通运输部门加强运输安全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76" w:name="_Toc5112"/>
      <w:bookmarkStart w:id="77" w:name="_Toc116136579"/>
      <w:bookmarkStart w:id="78" w:name="_Toc103871689"/>
      <w:r>
        <w:rPr>
          <w:rFonts w:hint="default" w:ascii="Times New Roman" w:hAnsi="Times New Roman" w:eastAsia="楷体_GB2312" w:cs="Times New Roman"/>
          <w:b w:val="0"/>
          <w:bCs/>
          <w:color w:val="auto"/>
          <w:sz w:val="32"/>
          <w:szCs w:val="32"/>
        </w:rPr>
        <w:t>（二）落实资金保障</w:t>
      </w:r>
      <w:bookmarkEnd w:id="76"/>
      <w:bookmarkEnd w:id="77"/>
      <w:bookmarkEnd w:id="7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大饮用水水源保护投入，建立稳定的资金保障机制。统筹水污染防治、农村环境整治等专项资金，聚焦水源保护重点领域和薄弱环节，认真谋划项目储备，及时申报入库。按照“谁破坏、谁修复、谁受益、谁补偿”原则，探索建立水源生态保护补偿机制。鼓励探索建立供水单位将盈利按一定比例投入饮用水水源保护的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79" w:name="_Toc116136580"/>
      <w:bookmarkStart w:id="80" w:name="_Toc103871690"/>
      <w:bookmarkStart w:id="81" w:name="_Toc14117"/>
      <w:r>
        <w:rPr>
          <w:rFonts w:hint="default" w:ascii="Times New Roman" w:hAnsi="Times New Roman" w:eastAsia="楷体_GB2312" w:cs="Times New Roman"/>
          <w:b w:val="0"/>
          <w:bCs/>
          <w:color w:val="auto"/>
          <w:sz w:val="32"/>
          <w:szCs w:val="32"/>
        </w:rPr>
        <w:t>（三）强化监督考核</w:t>
      </w:r>
      <w:bookmarkEnd w:id="79"/>
      <w:bookmarkEnd w:id="80"/>
      <w:bookmarkEnd w:id="8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区（市、县）落实、市级抽查的监督检查机制。市生态环境局会同相关部门加强对饮用水水源保护任务落实情况的监督检查，对环境问题突出和工作进度滞后地区进行预警通报，对于突出问题久拖不决的，将有关问题线索</w:t>
      </w:r>
      <w:r>
        <w:rPr>
          <w:rFonts w:hint="default" w:ascii="Times New Roman" w:hAnsi="Times New Roman" w:eastAsia="仿宋_GB2312" w:cs="Times New Roman"/>
          <w:color w:val="auto"/>
          <w:sz w:val="32"/>
          <w:szCs w:val="32"/>
          <w:lang w:eastAsia="zh-CN"/>
        </w:rPr>
        <w:t>纳入生态环境突出问题常态化排查整改问题清单</w:t>
      </w:r>
      <w:r>
        <w:rPr>
          <w:rFonts w:hint="default" w:ascii="Times New Roman" w:hAnsi="Times New Roman" w:eastAsia="仿宋_GB2312" w:cs="Times New Roman"/>
          <w:color w:val="auto"/>
          <w:sz w:val="32"/>
          <w:szCs w:val="32"/>
        </w:rPr>
        <w:t>。市级相关部门借助技术力量，加强对困难地区的帮扶指导，协助推进问题解决。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color w:val="auto"/>
          <w:sz w:val="32"/>
          <w:szCs w:val="32"/>
        </w:rPr>
      </w:pPr>
      <w:bookmarkStart w:id="82" w:name="_Toc116136581"/>
      <w:bookmarkStart w:id="83" w:name="_Toc18487"/>
      <w:bookmarkStart w:id="84" w:name="_Toc103871691"/>
      <w:r>
        <w:rPr>
          <w:rFonts w:hint="default" w:ascii="Times New Roman" w:hAnsi="Times New Roman" w:eastAsia="楷体_GB2312" w:cs="Times New Roman"/>
          <w:b w:val="0"/>
          <w:bCs/>
          <w:color w:val="auto"/>
          <w:sz w:val="32"/>
          <w:szCs w:val="32"/>
        </w:rPr>
        <w:t>（四）鼓励公众参与</w:t>
      </w:r>
      <w:bookmarkEnd w:id="82"/>
      <w:bookmarkEnd w:id="83"/>
      <w:bookmarkEnd w:id="84"/>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color w:val="auto"/>
          <w:sz w:val="32"/>
          <w:szCs w:val="32"/>
        </w:rPr>
        <w:t>加强饮用水水源水质信息公开，及时回应社会关切，以公开促监督，以监督促保护，加大对饮用水水源保护法规政策的宣传普及力度，引导公众参与饮用水水源日常监督工作。宣传推广饮用水水源保护经验，发挥示范效应。建立完善违法行为举报机制，形成全社会共同监督、协同共治的良好局面。</w:t>
      </w:r>
    </w:p>
    <w:p>
      <w:pPr>
        <w:pStyle w:val="10"/>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Times New Roman" w:hAnsi="Times New Roman" w:eastAsia="仿宋_GB2312" w:cs="Times New Roman"/>
          <w:b/>
          <w:bCs/>
          <w:color w:val="auto"/>
          <w:sz w:val="32"/>
          <w:szCs w:val="32"/>
          <w:lang w:eastAsia="zh-CN"/>
        </w:rPr>
        <w:sectPr>
          <w:footerReference r:id="rId7" w:type="default"/>
          <w:pgSz w:w="11906" w:h="16838"/>
          <w:pgMar w:top="1701" w:right="1474" w:bottom="1701"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b/>
          <w:bCs/>
          <w:color w:val="auto"/>
          <w:sz w:val="32"/>
          <w:szCs w:val="32"/>
          <w:lang w:val="en-US" w:eastAsia="zh-CN"/>
        </w:rPr>
      </w:pPr>
      <w:bookmarkStart w:id="85" w:name="_Toc28772"/>
      <w:r>
        <w:rPr>
          <w:rFonts w:hint="default" w:ascii="Times New Roman" w:hAnsi="Times New Roman" w:eastAsia="楷体_GB2312" w:cs="Times New Roman"/>
          <w:b w:val="0"/>
          <w:bCs/>
          <w:color w:val="auto"/>
          <w:sz w:val="32"/>
          <w:szCs w:val="32"/>
          <w:lang w:eastAsia="zh-CN"/>
        </w:rPr>
        <w:t>附图</w:t>
      </w:r>
      <w:r>
        <w:rPr>
          <w:rFonts w:hint="default" w:ascii="Times New Roman" w:hAnsi="Times New Roman" w:eastAsia="楷体_GB2312" w:cs="Times New Roman"/>
          <w:b w:val="0"/>
          <w:bCs/>
          <w:color w:val="auto"/>
          <w:sz w:val="32"/>
          <w:szCs w:val="32"/>
          <w:lang w:val="en-US" w:eastAsia="zh-CN"/>
        </w:rPr>
        <w:t>1  攀枝花市行政区划图</w:t>
      </w:r>
      <w:r>
        <w:rPr>
          <w:rFonts w:hint="default" w:ascii="Times New Roman" w:hAnsi="Times New Roman" w:eastAsia="仿宋_GB2312" w:cs="Times New Roman"/>
          <w:b/>
          <w:bCs/>
          <w:color w:val="auto"/>
          <w:sz w:val="32"/>
          <w:szCs w:val="32"/>
          <w:lang w:val="en-US"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560705</wp:posOffset>
            </wp:positionV>
            <wp:extent cx="7381240" cy="5219700"/>
            <wp:effectExtent l="0" t="0" r="10160" b="0"/>
            <wp:wrapNone/>
            <wp:docPr id="1" name="图片 10"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行政区划图"/>
                    <pic:cNvPicPr>
                      <a:picLocks noChangeAspect="1"/>
                    </pic:cNvPicPr>
                  </pic:nvPicPr>
                  <pic:blipFill>
                    <a:blip r:embed="rId11"/>
                    <a:stretch>
                      <a:fillRect/>
                    </a:stretch>
                  </pic:blipFill>
                  <pic:spPr>
                    <a:xfrm>
                      <a:off x="0" y="0"/>
                      <a:ext cx="7381240" cy="5219700"/>
                    </a:xfrm>
                    <a:prstGeom prst="rect">
                      <a:avLst/>
                    </a:prstGeom>
                    <a:noFill/>
                    <a:ln>
                      <a:noFill/>
                    </a:ln>
                  </pic:spPr>
                </pic:pic>
              </a:graphicData>
            </a:graphic>
          </wp:anchor>
        </w:drawing>
      </w:r>
      <w:bookmarkEnd w:id="85"/>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bidi w:val="0"/>
        <w:rPr>
          <w:rFonts w:hint="default" w:ascii="Times New Roman" w:hAnsi="Times New Roman" w:cs="Times New Roman"/>
          <w:color w:val="auto"/>
          <w:lang w:eastAsia="zh-CN"/>
        </w:rPr>
      </w:pPr>
      <w:r>
        <w:rPr>
          <w:rFonts w:hint="default" w:ascii="Times New Roman" w:hAnsi="Times New Roman" w:eastAsia="楷体_GB2312" w:cs="Times New Roman"/>
          <w:b w:val="0"/>
          <w:bCs/>
          <w:color w:val="auto"/>
          <w:sz w:val="32"/>
          <w:szCs w:val="32"/>
          <w:lang w:eastAsia="zh-CN"/>
        </w:rPr>
        <w:t>附图</w:t>
      </w:r>
      <w:r>
        <w:rPr>
          <w:rFonts w:hint="default" w:ascii="Times New Roman" w:hAnsi="Times New Roman" w:eastAsia="楷体_GB2312" w:cs="Times New Roman"/>
          <w:b w:val="0"/>
          <w:bCs/>
          <w:color w:val="auto"/>
          <w:sz w:val="32"/>
          <w:szCs w:val="32"/>
          <w:lang w:val="en-US" w:eastAsia="zh-CN"/>
        </w:rPr>
        <w:t>2  攀枝花市地形地貌图</w:t>
      </w: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drawing>
          <wp:anchor distT="0" distB="0" distL="114300" distR="114300" simplePos="0" relativeHeight="251660288" behindDoc="0" locked="0" layoutInCell="1" allowOverlap="1">
            <wp:simplePos x="0" y="0"/>
            <wp:positionH relativeFrom="column">
              <wp:posOffset>-57150</wp:posOffset>
            </wp:positionH>
            <wp:positionV relativeFrom="paragraph">
              <wp:posOffset>16510</wp:posOffset>
            </wp:positionV>
            <wp:extent cx="7343775" cy="5192395"/>
            <wp:effectExtent l="0" t="0" r="9525" b="8255"/>
            <wp:wrapNone/>
            <wp:docPr id="2" name="图片 12" descr="地形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地形地貌图"/>
                    <pic:cNvPicPr>
                      <a:picLocks noChangeAspect="1"/>
                    </pic:cNvPicPr>
                  </pic:nvPicPr>
                  <pic:blipFill>
                    <a:blip r:embed="rId12"/>
                    <a:stretch>
                      <a:fillRect/>
                    </a:stretch>
                  </pic:blipFill>
                  <pic:spPr>
                    <a:xfrm>
                      <a:off x="0" y="0"/>
                      <a:ext cx="7343775" cy="5192395"/>
                    </a:xfrm>
                    <a:prstGeom prst="rect">
                      <a:avLst/>
                    </a:prstGeom>
                    <a:noFill/>
                    <a:ln>
                      <a:noFill/>
                    </a:ln>
                  </pic:spPr>
                </pic:pic>
              </a:graphicData>
            </a:graphic>
          </wp:anchor>
        </w:drawing>
      </w: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bidi w:val="0"/>
        <w:rPr>
          <w:rFonts w:hint="default" w:ascii="Times New Roman" w:hAnsi="Times New Roman" w:cs="Times New Roman"/>
          <w:color w:val="auto"/>
          <w:lang w:eastAsia="zh-CN"/>
        </w:rPr>
      </w:pPr>
      <w:r>
        <w:rPr>
          <w:rFonts w:hint="default" w:ascii="Times New Roman" w:hAnsi="Times New Roman" w:eastAsia="楷体_GB2312" w:cs="Times New Roman"/>
          <w:b w:val="0"/>
          <w:bCs/>
          <w:color w:val="auto"/>
          <w:sz w:val="32"/>
          <w:szCs w:val="32"/>
          <w:lang w:eastAsia="zh-CN"/>
        </w:rPr>
        <w:t>附图</w:t>
      </w:r>
      <w:r>
        <w:rPr>
          <w:rFonts w:hint="default" w:ascii="Times New Roman" w:hAnsi="Times New Roman" w:eastAsia="楷体_GB2312" w:cs="Times New Roman"/>
          <w:b w:val="0"/>
          <w:bCs/>
          <w:color w:val="auto"/>
          <w:sz w:val="32"/>
          <w:szCs w:val="32"/>
          <w:lang w:val="en-US" w:eastAsia="zh-CN"/>
        </w:rPr>
        <w:t>3  攀枝花市水系图</w:t>
      </w: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18415</wp:posOffset>
            </wp:positionV>
            <wp:extent cx="7382510" cy="5219700"/>
            <wp:effectExtent l="0" t="0" r="8890" b="0"/>
            <wp:wrapNone/>
            <wp:docPr id="3" name="图片 13"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水系图"/>
                    <pic:cNvPicPr>
                      <a:picLocks noChangeAspect="1"/>
                    </pic:cNvPicPr>
                  </pic:nvPicPr>
                  <pic:blipFill>
                    <a:blip r:embed="rId13"/>
                    <a:stretch>
                      <a:fillRect/>
                    </a:stretch>
                  </pic:blipFill>
                  <pic:spPr>
                    <a:xfrm>
                      <a:off x="0" y="0"/>
                      <a:ext cx="7382510" cy="5219700"/>
                    </a:xfrm>
                    <a:prstGeom prst="rect">
                      <a:avLst/>
                    </a:prstGeom>
                    <a:noFill/>
                    <a:ln>
                      <a:noFill/>
                    </a:ln>
                  </pic:spPr>
                </pic:pic>
              </a:graphicData>
            </a:graphic>
          </wp:anchor>
        </w:drawing>
      </w: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color w:val="auto"/>
          <w:sz w:val="32"/>
          <w:szCs w:val="32"/>
          <w:lang w:val="en-US" w:eastAsia="zh-CN"/>
        </w:rPr>
      </w:pPr>
      <w:bookmarkStart w:id="86" w:name="_Toc17438"/>
      <w:r>
        <w:rPr>
          <w:rFonts w:hint="default" w:ascii="Times New Roman" w:hAnsi="Times New Roman" w:eastAsia="楷体_GB2312" w:cs="Times New Roman"/>
          <w:b w:val="0"/>
          <w:bCs/>
          <w:color w:val="auto"/>
          <w:sz w:val="32"/>
          <w:szCs w:val="32"/>
          <w:lang w:eastAsia="zh-CN"/>
        </w:rPr>
        <w:t>附图</w:t>
      </w:r>
      <w:r>
        <w:rPr>
          <w:rFonts w:hint="default" w:ascii="Times New Roman" w:hAnsi="Times New Roman" w:eastAsia="楷体_GB2312" w:cs="Times New Roman"/>
          <w:b w:val="0"/>
          <w:bCs/>
          <w:color w:val="auto"/>
          <w:sz w:val="32"/>
          <w:szCs w:val="32"/>
          <w:lang w:val="en-US" w:eastAsia="zh-CN"/>
        </w:rPr>
        <w:t>4  攀枝花市集中式饮用水水源分布图</w:t>
      </w:r>
      <w:r>
        <w:rPr>
          <w:rFonts w:hint="default" w:ascii="Times New Roman" w:hAnsi="Times New Roman" w:eastAsia="仿宋_GB2312" w:cs="Times New Roman"/>
          <w:b/>
          <w:bCs/>
          <w:color w:val="auto"/>
          <w:sz w:val="32"/>
          <w:szCs w:val="32"/>
          <w:lang w:val="en-US"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370840</wp:posOffset>
            </wp:positionV>
            <wp:extent cx="7382510" cy="5219700"/>
            <wp:effectExtent l="0" t="0" r="8890" b="0"/>
            <wp:wrapNone/>
            <wp:docPr id="4" name="图片 14" descr="饮用水水源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饮用水水源分布"/>
                    <pic:cNvPicPr>
                      <a:picLocks noChangeAspect="1"/>
                    </pic:cNvPicPr>
                  </pic:nvPicPr>
                  <pic:blipFill>
                    <a:blip r:embed="rId14"/>
                    <a:stretch>
                      <a:fillRect/>
                    </a:stretch>
                  </pic:blipFill>
                  <pic:spPr>
                    <a:xfrm>
                      <a:off x="0" y="0"/>
                      <a:ext cx="7382510" cy="5219700"/>
                    </a:xfrm>
                    <a:prstGeom prst="rect">
                      <a:avLst/>
                    </a:prstGeom>
                    <a:noFill/>
                    <a:ln>
                      <a:noFill/>
                    </a:ln>
                  </pic:spPr>
                </pic:pic>
              </a:graphicData>
            </a:graphic>
          </wp:anchor>
        </w:drawing>
      </w:r>
      <w:bookmarkEnd w:id="86"/>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val="0"/>
          <w:color w:val="auto"/>
          <w:sz w:val="32"/>
          <w:szCs w:val="32"/>
        </w:rPr>
      </w:pPr>
      <w:bookmarkStart w:id="87" w:name="_Toc2270"/>
      <w:r>
        <w:rPr>
          <w:rFonts w:hint="default" w:ascii="Times New Roman" w:hAnsi="Times New Roman" w:eastAsia="楷体_GB2312" w:cs="Times New Roman"/>
          <w:b w:val="0"/>
          <w:bCs/>
          <w:color w:val="auto"/>
          <w:sz w:val="32"/>
          <w:szCs w:val="32"/>
          <w:lang w:eastAsia="zh-CN"/>
        </w:rPr>
        <w:t>附图</w:t>
      </w:r>
      <w:r>
        <w:rPr>
          <w:rFonts w:hint="default" w:ascii="Times New Roman" w:hAnsi="Times New Roman" w:eastAsia="楷体_GB2312" w:cs="Times New Roman"/>
          <w:b w:val="0"/>
          <w:bCs/>
          <w:color w:val="auto"/>
          <w:sz w:val="32"/>
          <w:szCs w:val="32"/>
          <w:lang w:val="en-US" w:eastAsia="zh-CN"/>
        </w:rPr>
        <w:t>5  攀枝花市集中式饮用水水源重点工程分布图</w:t>
      </w:r>
      <w:bookmarkEnd w:id="87"/>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66040</wp:posOffset>
            </wp:positionV>
            <wp:extent cx="7382510" cy="5219700"/>
            <wp:effectExtent l="0" t="0" r="8890" b="0"/>
            <wp:wrapNone/>
            <wp:docPr id="5" name="图片 16" descr="重点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重点工程"/>
                    <pic:cNvPicPr>
                      <a:picLocks noChangeAspect="1"/>
                    </pic:cNvPicPr>
                  </pic:nvPicPr>
                  <pic:blipFill>
                    <a:blip r:embed="rId15"/>
                    <a:stretch>
                      <a:fillRect/>
                    </a:stretch>
                  </pic:blipFill>
                  <pic:spPr>
                    <a:xfrm>
                      <a:off x="0" y="0"/>
                      <a:ext cx="7382510" cy="5219700"/>
                    </a:xfrm>
                    <a:prstGeom prst="rect">
                      <a:avLst/>
                    </a:prstGeom>
                    <a:noFill/>
                    <a:ln>
                      <a:noFill/>
                    </a:ln>
                  </pic:spPr>
                </pic:pic>
              </a:graphicData>
            </a:graphic>
          </wp:anchor>
        </w:drawing>
      </w: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cs="Times New Roman"/>
          <w:color w:val="auto"/>
          <w:sz w:val="32"/>
        </w:rPr>
        <mc:AlternateContent>
          <mc:Choice Requires="wps">
            <w:drawing>
              <wp:anchor distT="0" distB="0" distL="114300" distR="114300" simplePos="0" relativeHeight="251664384" behindDoc="0" locked="0" layoutInCell="1" allowOverlap="1">
                <wp:simplePos x="0" y="0"/>
                <wp:positionH relativeFrom="column">
                  <wp:posOffset>4386580</wp:posOffset>
                </wp:positionH>
                <wp:positionV relativeFrom="paragraph">
                  <wp:posOffset>20955</wp:posOffset>
                </wp:positionV>
                <wp:extent cx="75565" cy="75565"/>
                <wp:effectExtent l="3810" t="0" r="15875" b="19685"/>
                <wp:wrapNone/>
                <wp:docPr id="12" name="五角星 12"/>
                <wp:cNvGraphicFramePr/>
                <a:graphic xmlns:a="http://schemas.openxmlformats.org/drawingml/2006/main">
                  <a:graphicData uri="http://schemas.microsoft.com/office/word/2010/wordprocessingShape">
                    <wps:wsp>
                      <wps:cNvSpPr/>
                      <wps:spPr>
                        <a:xfrm>
                          <a:off x="5694045" y="3333750"/>
                          <a:ext cx="75565" cy="75565"/>
                        </a:xfrm>
                        <a:prstGeom prst="star5">
                          <a:avLst>
                            <a:gd name="adj" fmla="val 0"/>
                            <a:gd name="hf" fmla="val 105146"/>
                            <a:gd name="vf" fmla="val 110557"/>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4pt;margin-top:1.65pt;height:5.95pt;width:5.95pt;z-index:251664384;v-text-anchor:middle;mso-width-relative:page;mso-height-relative:page;" fillcolor="#FF0000" filled="t" stroked="t" coordsize="75565,75565" o:gfxdata="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UX0&#10;1NQAAAAIAQAADwAAAAAAAAABACAAAAAiAAAAZHJzL2Rvd25yZXYueG1sUEsBAhQAFAAAAAgAh07i&#10;QAJPxkSYAgAAWgUAAA4AAAAAAAAAAQAgAAAAIwEAAGRycy9lMm9Eb2MueG1sUEsFBgAAAAAGAAYA&#10;WQEAAC0GAAAAAA==&#10;" path="m0,28863l37782,41771,37782,0,37782,41771,75564,28863,37782,41771,61133,75564,37782,41771,14431,75564,37782,41771xe">
                <v:path o:connectlocs="37782,0;0,28863;14431,75564;61133,75564;75564,28863" o:connectangles="247,164,82,82,0"/>
                <v:fill on="t" focussize="0,0"/>
                <v:stroke weight="2pt" color="#FF0000 [2404]" joinstyle="round"/>
                <v:imagedata o:title=""/>
                <o:lock v:ext="edit" aspectratio="f"/>
              </v:shape>
            </w:pict>
          </mc:Fallback>
        </mc:AlternateContent>
      </w: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val="0"/>
          <w:color w:val="auto"/>
          <w:sz w:val="32"/>
          <w:szCs w:val="32"/>
        </w:rPr>
      </w:pPr>
      <w:bookmarkStart w:id="88" w:name="_Toc116136588"/>
      <w:bookmarkStart w:id="89" w:name="_Toc19658"/>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1  集中式饮用水水源基本情况表</w:t>
      </w:r>
      <w:bookmarkEnd w:id="88"/>
      <w:bookmarkEnd w:id="89"/>
    </w:p>
    <w:tbl>
      <w:tblPr>
        <w:tblStyle w:val="17"/>
        <w:tblW w:w="1327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8"/>
        <w:gridCol w:w="885"/>
        <w:gridCol w:w="991"/>
        <w:gridCol w:w="1342"/>
        <w:gridCol w:w="2337"/>
        <w:gridCol w:w="994"/>
        <w:gridCol w:w="2264"/>
        <w:gridCol w:w="1215"/>
        <w:gridCol w:w="1392"/>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trPr>
        <w:tc>
          <w:tcPr>
            <w:tcW w:w="598"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885"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级别</w:t>
            </w:r>
          </w:p>
        </w:tc>
        <w:tc>
          <w:tcPr>
            <w:tcW w:w="991"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区（市、县）</w:t>
            </w:r>
          </w:p>
        </w:tc>
        <w:tc>
          <w:tcPr>
            <w:tcW w:w="1342"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乡镇</w:t>
            </w:r>
          </w:p>
        </w:tc>
        <w:tc>
          <w:tcPr>
            <w:tcW w:w="2337"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水源名称</w:t>
            </w:r>
          </w:p>
        </w:tc>
        <w:tc>
          <w:tcPr>
            <w:tcW w:w="994"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水源类型</w:t>
            </w:r>
          </w:p>
        </w:tc>
        <w:tc>
          <w:tcPr>
            <w:tcW w:w="2264" w:type="dxa"/>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批复文号</w:t>
            </w:r>
          </w:p>
        </w:tc>
        <w:tc>
          <w:tcPr>
            <w:tcW w:w="1215" w:type="dxa"/>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水源状态</w:t>
            </w:r>
          </w:p>
        </w:tc>
        <w:tc>
          <w:tcPr>
            <w:tcW w:w="1392"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实际日供水量（万吨/日）</w:t>
            </w:r>
          </w:p>
        </w:tc>
        <w:tc>
          <w:tcPr>
            <w:tcW w:w="1257"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实际供水服务人口（万人）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地级</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川府函〔2017〕211号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58.25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盐边县雅砻江菩萨岩</w:t>
            </w:r>
            <w:r>
              <w:rPr>
                <w:rFonts w:hint="eastAsia" w:ascii="Times New Roman" w:hAnsi="Times New Roman" w:eastAsia="仿宋" w:cs="Times New Roman"/>
                <w:i w:val="0"/>
                <w:iCs w:val="0"/>
                <w:color w:val="auto"/>
                <w:kern w:val="0"/>
                <w:sz w:val="21"/>
                <w:szCs w:val="21"/>
                <w:u w:val="none"/>
                <w:lang w:val="en-US" w:eastAsia="zh-CN" w:bidi="ar"/>
              </w:rPr>
              <w:t>集中式</w:t>
            </w:r>
            <w:r>
              <w:rPr>
                <w:rFonts w:hint="default" w:ascii="Times New Roman" w:hAnsi="Times New Roman" w:eastAsia="仿宋" w:cs="Times New Roman"/>
                <w:i w:val="0"/>
                <w:iCs w:val="0"/>
                <w:color w:val="auto"/>
                <w:kern w:val="0"/>
                <w:sz w:val="21"/>
                <w:szCs w:val="21"/>
                <w:u w:val="none"/>
                <w:lang w:val="en-US" w:eastAsia="zh-CN" w:bidi="ar"/>
              </w:rPr>
              <w:t>饮用水</w:t>
            </w:r>
            <w:r>
              <w:rPr>
                <w:rFonts w:hint="eastAsia" w:ascii="Times New Roman" w:hAnsi="Times New Roman" w:eastAsia="仿宋" w:cs="Times New Roman"/>
                <w:i w:val="0"/>
                <w:iCs w:val="0"/>
                <w:color w:val="auto"/>
                <w:kern w:val="0"/>
                <w:sz w:val="21"/>
                <w:szCs w:val="21"/>
                <w:u w:val="none"/>
                <w:lang w:val="en-US" w:eastAsia="zh-CN" w:bidi="ar"/>
              </w:rPr>
              <w:t>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川府函〔2020〕255号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胜利水库</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川府函〔2010〕26号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晃桥水库</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川府函〔2010〕26号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备用，在建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eastAsia="zh-CN"/>
              </w:rPr>
            </w:pPr>
            <w:r>
              <w:rPr>
                <w:rFonts w:hint="default" w:ascii="Times New Roman" w:hAnsi="Times New Roman" w:eastAsia="仿宋" w:cs="Times New Roman"/>
                <w:i w:val="0"/>
                <w:iCs w:val="0"/>
                <w:color w:val="auto"/>
                <w:sz w:val="21"/>
                <w:szCs w:val="21"/>
                <w:u w:val="none"/>
                <w:lang w:eastAsia="zh-CN"/>
              </w:rPr>
              <w:t>新九镇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高堰沟水库水源地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渔门镇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auto"/>
                <w:sz w:val="21"/>
                <w:szCs w:val="21"/>
                <w:u w:val="none"/>
                <w:lang w:eastAsia="zh-CN"/>
              </w:rPr>
            </w:pPr>
            <w:r>
              <w:rPr>
                <w:rFonts w:hint="default" w:ascii="Times New Roman" w:hAnsi="Times New Roman" w:eastAsia="仿宋" w:cs="Times New Roman"/>
                <w:i w:val="0"/>
                <w:iCs w:val="0"/>
                <w:color w:val="auto"/>
                <w:sz w:val="21"/>
                <w:szCs w:val="21"/>
                <w:u w:val="none"/>
              </w:rPr>
              <w:t>渔门镇集中式饮用水水源</w:t>
            </w:r>
            <w:r>
              <w:rPr>
                <w:rFonts w:hint="eastAsia" w:ascii="Times New Roman" w:hAnsi="Times New Roman" w:eastAsia="仿宋" w:cs="Times New Roman"/>
                <w:i w:val="0"/>
                <w:iCs w:val="0"/>
                <w:color w:val="auto"/>
                <w:sz w:val="21"/>
                <w:szCs w:val="21"/>
                <w:u w:val="none"/>
                <w:lang w:eastAsia="zh-CN"/>
              </w:rPr>
              <w:t>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攀府函〔2019〕99号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永兴镇（箐河傈僳族乡）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箐河乡象鼻子水源地（地下水）</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永兴镇永箐堰水源地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攀办发〔2006〕49号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新九乡大龙塘沟水源地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0.0257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惠民</w:t>
            </w:r>
            <w:r>
              <w:rPr>
                <w:rFonts w:hint="eastAsia" w:ascii="Times New Roman" w:hAnsi="Times New Roman" w:eastAsia="仿宋" w:cs="Times New Roman"/>
                <w:i w:val="0"/>
                <w:iCs w:val="0"/>
                <w:color w:val="auto"/>
                <w:kern w:val="0"/>
                <w:sz w:val="21"/>
                <w:szCs w:val="21"/>
                <w:u w:val="none"/>
                <w:lang w:val="en-US" w:eastAsia="zh-CN" w:bidi="ar"/>
              </w:rPr>
              <w:t>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惠民乡清香水库水源地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红果彝族乡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雅砻江红果彝族乡大槽村河流型水源地饮用水水源地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攀府函〔2019〕1号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国胜乡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国胜乡鱼洞水源地（地下水）</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平地镇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跃进水库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攀府函〔2019〕200号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同德镇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双河水库集中式饮用水水源地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攀府函〔2016〕70号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0.022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布德镇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占田水库集中式饮用水水源地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攀府函〔2016〕70号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务本乡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务本乡山楂堡水源地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0.0085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中坝乡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小纸房水库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攀府函〔2019〕200号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丙谷镇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安宁河丙谷镇芭蕉箐村水库型水源地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攀府函〔2019〕1号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垭口镇马坪村</w:t>
            </w:r>
            <w:r>
              <w:rPr>
                <w:rFonts w:hint="eastAsia" w:ascii="Times New Roman" w:hAnsi="Times New Roman" w:eastAsia="仿宋" w:cs="Times New Roman"/>
                <w:i w:val="0"/>
                <w:iCs w:val="0"/>
                <w:color w:val="auto"/>
                <w:sz w:val="21"/>
                <w:szCs w:val="21"/>
                <w:u w:val="none"/>
                <w:lang w:eastAsia="zh-CN"/>
              </w:rPr>
              <w:t>五社潘家湾</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攀府函〔2016〕36号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撒莲镇龙洞河水源地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白马镇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黄草村</w:t>
            </w:r>
            <w:r>
              <w:rPr>
                <w:rFonts w:hint="eastAsia" w:ascii="Times New Roman" w:hAnsi="Times New Roman" w:eastAsia="仿宋" w:cs="Times New Roman"/>
                <w:i w:val="0"/>
                <w:iCs w:val="0"/>
                <w:color w:val="auto"/>
                <w:kern w:val="0"/>
                <w:sz w:val="21"/>
                <w:szCs w:val="21"/>
                <w:u w:val="none"/>
                <w:lang w:val="en-US" w:eastAsia="zh-CN" w:bidi="ar"/>
              </w:rPr>
              <w:t>黑神庙河沟</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攀府函〔2016〕36号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0.025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23</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普威镇</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普威镇溶洞</w:t>
            </w:r>
            <w:r>
              <w:rPr>
                <w:rFonts w:hint="eastAsia" w:ascii="Times New Roman" w:hAnsi="Times New Roman" w:eastAsia="仿宋" w:cs="Times New Roman"/>
                <w:i w:val="0"/>
                <w:iCs w:val="0"/>
                <w:color w:val="auto"/>
                <w:sz w:val="21"/>
                <w:szCs w:val="21"/>
                <w:u w:val="none"/>
                <w:lang w:eastAsia="zh-CN"/>
              </w:rPr>
              <w:t>河</w:t>
            </w:r>
            <w:r>
              <w:rPr>
                <w:rFonts w:hint="default" w:ascii="Times New Roman" w:hAnsi="Times New Roman" w:eastAsia="仿宋" w:cs="Times New Roman"/>
                <w:i w:val="0"/>
                <w:iCs w:val="0"/>
                <w:color w:val="auto"/>
                <w:sz w:val="21"/>
                <w:szCs w:val="21"/>
                <w:u w:val="none"/>
              </w:rPr>
              <w:t>水源地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攀府函〔2017〕268号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湾丘乡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auto"/>
                <w:sz w:val="21"/>
                <w:szCs w:val="21"/>
                <w:u w:val="none"/>
                <w:lang w:eastAsia="zh-CN"/>
              </w:rPr>
            </w:pPr>
            <w:r>
              <w:rPr>
                <w:rFonts w:hint="eastAsia" w:ascii="Times New Roman" w:hAnsi="Times New Roman" w:eastAsia="仿宋" w:cs="Times New Roman"/>
                <w:i w:val="0"/>
                <w:iCs w:val="0"/>
                <w:color w:val="auto"/>
                <w:sz w:val="21"/>
                <w:szCs w:val="21"/>
                <w:u w:val="none"/>
                <w:lang w:eastAsia="zh-CN"/>
              </w:rPr>
              <w:t>五七水厂取水点</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攀府函〔2016〕36号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新山乡</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新山傈僳族乡马鹿塘河沟</w:t>
            </w:r>
            <w:r>
              <w:rPr>
                <w:rFonts w:hint="eastAsia" w:ascii="Times New Roman" w:hAnsi="Times New Roman" w:eastAsia="仿宋" w:cs="Times New Roman"/>
                <w:i w:val="0"/>
                <w:iCs w:val="0"/>
                <w:color w:val="auto"/>
                <w:kern w:val="0"/>
                <w:sz w:val="21"/>
                <w:szCs w:val="21"/>
                <w:u w:val="none"/>
                <w:lang w:val="en-US" w:eastAsia="zh-CN" w:bidi="ar"/>
              </w:rPr>
              <w:t>集中式饮用水水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攀府函〔2020〕168号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0.018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3275" w:type="dxa"/>
            <w:gridSpan w:val="10"/>
            <w:tcBorders>
              <w:top w:val="single" w:color="000000" w:sz="4" w:space="0"/>
              <w:left w:val="nil"/>
              <w:bottom w:val="nil"/>
              <w:right w:val="nil"/>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注：水源名称均为水源地批复文号内的水源名称。</w:t>
            </w:r>
          </w:p>
        </w:tc>
      </w:tr>
    </w:tbl>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val="0"/>
          <w:color w:val="auto"/>
          <w:sz w:val="32"/>
          <w:szCs w:val="32"/>
        </w:rPr>
      </w:pPr>
      <w:bookmarkStart w:id="90" w:name="_Toc5295"/>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2  集中式饮用水水源地保护区一览表</w:t>
      </w:r>
      <w:bookmarkEnd w:id="90"/>
    </w:p>
    <w:tbl>
      <w:tblPr>
        <w:tblStyle w:val="1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
        <w:gridCol w:w="395"/>
        <w:gridCol w:w="773"/>
        <w:gridCol w:w="900"/>
        <w:gridCol w:w="898"/>
        <w:gridCol w:w="804"/>
        <w:gridCol w:w="1673"/>
        <w:gridCol w:w="2543"/>
        <w:gridCol w:w="2984"/>
        <w:gridCol w:w="2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trPr>
        <w:tc>
          <w:tcPr>
            <w:tcW w:w="20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序号</w:t>
            </w:r>
          </w:p>
        </w:tc>
        <w:tc>
          <w:tcPr>
            <w:tcW w:w="144"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级别</w:t>
            </w:r>
          </w:p>
        </w:tc>
        <w:tc>
          <w:tcPr>
            <w:tcW w:w="283"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区（市、县）</w:t>
            </w:r>
          </w:p>
        </w:tc>
        <w:tc>
          <w:tcPr>
            <w:tcW w:w="329"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w:t>
            </w:r>
          </w:p>
        </w:tc>
        <w:tc>
          <w:tcPr>
            <w:tcW w:w="328"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水源名称</w:t>
            </w:r>
          </w:p>
        </w:tc>
        <w:tc>
          <w:tcPr>
            <w:tcW w:w="294"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水源类型</w:t>
            </w:r>
          </w:p>
        </w:tc>
        <w:tc>
          <w:tcPr>
            <w:tcW w:w="612" w:type="pct"/>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28"/>
                <w:rFonts w:hint="default" w:ascii="Times New Roman" w:hAnsi="Times New Roman" w:eastAsia="仿宋" w:cs="Times New Roman"/>
                <w:color w:val="auto"/>
                <w:sz w:val="21"/>
                <w:szCs w:val="21"/>
                <w:lang w:val="en-US" w:eastAsia="zh-CN" w:bidi="ar"/>
              </w:rPr>
              <w:t>取水口坐标</w:t>
            </w:r>
          </w:p>
        </w:tc>
        <w:tc>
          <w:tcPr>
            <w:tcW w:w="931"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w:t>
            </w:r>
          </w:p>
        </w:tc>
        <w:tc>
          <w:tcPr>
            <w:tcW w:w="1093"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二级保护区</w:t>
            </w:r>
          </w:p>
        </w:tc>
        <w:tc>
          <w:tcPr>
            <w:tcW w:w="775"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准保护区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地级</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101°26′19″E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26°31′17″N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以中泓线为界，正常水位线（1134米）以下，取水口半径500米范围内四川省行政区域水域范围。取水口侧与水域长度一致（自坝址控制断面向上游水平延伸260米），正常水位线（1134米）以上200米的陆域范围。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中泓线为界，水库大坝坝址向上游延伸3400米至川、滇两省行政区划界线，正常水位线（1134米）以下四川省行政区域内除一级保护区外的水域范围。与二级保护区水域长度一致，与二级保护区水域长度一致，正常水位线（1134米）以上，右岸纵深至流域分水岭除一级保护区外的陆域范围。</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盐边县雅砻江菩萨岩</w:t>
            </w:r>
            <w:r>
              <w:rPr>
                <w:rFonts w:hint="eastAsia" w:ascii="Times New Roman" w:hAnsi="Times New Roman" w:eastAsia="仿宋" w:cs="Times New Roman"/>
                <w:i w:val="0"/>
                <w:iCs w:val="0"/>
                <w:color w:val="auto"/>
                <w:kern w:val="0"/>
                <w:sz w:val="21"/>
                <w:szCs w:val="21"/>
                <w:u w:val="none"/>
                <w:lang w:val="en-US" w:eastAsia="zh-CN" w:bidi="ar"/>
              </w:rPr>
              <w:t>集中式</w:t>
            </w:r>
            <w:r>
              <w:rPr>
                <w:rFonts w:hint="default" w:ascii="Times New Roman" w:hAnsi="Times New Roman" w:eastAsia="仿宋" w:cs="Times New Roman"/>
                <w:i w:val="0"/>
                <w:iCs w:val="0"/>
                <w:color w:val="auto"/>
                <w:kern w:val="0"/>
                <w:sz w:val="21"/>
                <w:szCs w:val="21"/>
                <w:u w:val="none"/>
                <w:lang w:val="en-US" w:eastAsia="zh-CN" w:bidi="ar"/>
              </w:rPr>
              <w:t>饮用水</w:t>
            </w:r>
            <w:r>
              <w:rPr>
                <w:rFonts w:hint="eastAsia" w:ascii="Times New Roman" w:hAnsi="Times New Roman" w:eastAsia="仿宋" w:cs="Times New Roman"/>
                <w:i w:val="0"/>
                <w:iCs w:val="0"/>
                <w:color w:val="auto"/>
                <w:kern w:val="0"/>
                <w:sz w:val="21"/>
                <w:szCs w:val="21"/>
                <w:u w:val="none"/>
                <w:lang w:val="en-US" w:eastAsia="zh-CN" w:bidi="ar"/>
              </w:rPr>
              <w:t>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101°48′54.82″E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26°46′46.85″N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取水口下游100米至取水口上游1000米，多年平均水位对应高程线下的水域范围，一级保护区水域边界沿右岸纵深至二滩大道临河侧，沿左岸纵深至德盐路临河侧的陆域范围。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取水口下游300米至取水口上游3000米，多年平均水位对应高程线下除一级保护区外的水域范围，一、二级保护区水域边界沿两岸纵深至流域分水岭除一级保护区外的陆域范围。</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胜利水库</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101°46′26.43″E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26°19′50.95″N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以取水点为中心，半径300米范围内的水域，取水口侧正常水位线以上200米范围内的陆域。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胜利水库一级保护区以外的全部水域；从流入水库引水渠的入口上溯至跃进水库、沙坝田水库的全部水域；胜利水库正常蓄水线以上水平距离200米内除一级保护区以外的陆域，从流入水库引水渠的入口上溯至跃进水库、沙坝田水库的正常蓄水线以上纵深水平距离各200米内的陆域以及跃进水库、沙坝田水库之间引水渠两侧纵深各50米内的陆域范围。</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晃桥水库</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102°2′24″E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26°57′N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以取水点为中心，半径300米范围内的水域，取水口侧正常水位线以上200米范围内的陆域。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晃桥水库一级保护区以外的全部水域及流入水库的河流入口上溯2000米的水域；正常蓄水线以上水平距离200米内的陆域及流入水库的河流入口上溯2000米河岸两侧纵深水平距离各200米内的陆域。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102°7′2.83"E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27°47′30.69"N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一级保护区划分结果为马鞍山水库正常水位线（1305.0 米）以下，取水口半径 300 米的水域范围。马鞍山水库一级保护区水域边界外 200 米、但不超过环库村道临库侧的陆域范围。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正常水位线以下除一级保护区外的水域范围，橄榄河自入库口上溯3000米，莫佬河、撒里黑沟分别自引水口拦水坝上溯2000米，多年平均水位对应高程线下的水域范围。马鞍山水库库周山脊线内除一级保护区外的陆域范围，橄榄河、莫佬河、撒里黑沟二级保护区水域边界沿两岸纵深至分水岭的陆域范围。</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橄榄河自二级保护区上边界上溯2000米，多年平均水位对应高程线下的水域范围。橄榄河准保护区水域边界沿两岸纵深至分水岭的陆域范围。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高堰沟水库水源地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101°59′51"E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26°35′23"N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以取水口为中心，半径300米范围内的水域；取水口一侧水域边界以上、乡村道路以下的陆域。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水域为水库一级保护区边界外的水域，以及从入库河流上溯3000米的水域；陆域为水域两侧纵深至流域分水岭，除一级保护区外的陆域。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渔门镇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渔门镇集中式饮用水水源</w:t>
            </w:r>
            <w:r>
              <w:rPr>
                <w:rFonts w:hint="eastAsia" w:ascii="Times New Roman" w:hAnsi="Times New Roman" w:eastAsia="仿宋" w:cs="Times New Roman"/>
                <w:i w:val="0"/>
                <w:iCs w:val="0"/>
                <w:color w:val="auto"/>
                <w:sz w:val="21"/>
                <w:szCs w:val="21"/>
                <w:u w:val="none"/>
                <w:lang w:eastAsia="zh-CN"/>
              </w:rPr>
              <w:t>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101°30′24"E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26°55′20"N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正常蓄水位（ 1415.0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）以下的全部水域；取水口一侧为一级保护区水域外200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范围（下游以堤坝为界）内的陆域，但不超过分水岭范围，取水口对面一侧为公路排水沟、截洪沟以内一级保护区水域以外，但不超过200m范围。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一级保护区边界外流入水库的河流（小河沟、黑岩子河沟、季节性冲沟）水域面积和岩朗水库多年平均水位（ 1509</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）的全部水域；二级保护区水域相对应陆域，但不超过流域分水岭的除一级保护区外的所有陆域。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永兴镇（箐河傈僳族乡）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箐河乡象鼻子水源地（地下水）</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101°24′15″E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27°4′22″N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以取水口为中心，半径30米范围内的全部</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区域。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以取水口为中心，半径 300 米范围内，除一级保护区外的全部区域。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永兴镇永箐堰水源地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101°27′06"E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26°56′25"N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上游1000米至下游100米的水域及其江河岸两侧纵深各200米的陆域。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从一级保护区上界起上溯2500米的水域及其河岸两侧纵深各200米的陆域。</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从二级保护区上界起上溯5000米的水域及其河岸两侧纵深各200米的陆域。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新九乡大龙塘沟水源地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102°0′40"E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26°36′37"N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水域范围为大龙塘沟取水口下游100米沿干流延伸至取水口上游1000米处的全部水域；一级保护区水域边界两岸分别纵深50米的全部陆域。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水域范围为大龙塘沟干流一级保护区的上游边界向上游延伸2000米，下游边界向下游延伸200米的水域；陆域范围为二级保护区水域两侧纵深至流域分水岭，除一级保护区外的陆域。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惠民镇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惠民乡清香水库水源地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101°25′56"E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26°49′59"N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水库内全部水域，水域边界纵深至流域分水岭的陆域。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入库河流上游全部水域；两岸纵深至流域分水岭，除一级保护区外的陆域。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红果彝族乡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雅砻江红果彝族乡大槽村河流型水源地饮用水水源地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101°36′26"E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26°45′32"N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取水口下游100米，延伸至取水点上游1000米处的全部水域；一级保护区水域边界两岸纵深50米的全部陆域。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水域上边界向上游（包括汇入的上游支流）延伸2000米，下边界向下游延伸200米，除一级保护区水域以外的全部水域。该水域与一级保护区水域边界纵深至流域分水岭，除一级保护区陆域以外的全部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国胜乡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国胜乡鱼洞水源地（地下水）</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101°31′20″E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27°3′48″N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道路靠山一侧，以取水口为中心，半径30米范围内的全部区域。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以取水口为中心，半径300米范围内，除一级保护区外的全部区域。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平地镇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跃进水库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101°47′10.14"E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26°14′47.25"N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跃进水库正常水位线以下取水口半径300米的水域范围。一级保护区水域边界沿岸纵深200米但不超过流域分水岭或G27的陆域范围。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跃进水库正常水位线以下除一级保护区外的水域范围。二级保护区水域边界沿岸纵深至库周山脊线的陆域范围。</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入库支流自二级保护区上边界上溯2000米的河道范围，准保护区水域边界沿两岸纵深至流域分水岭的陆域范围。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同德镇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双河水库集中式饮用水水源地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101°30′55″E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26°42′44″N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上游1000米至下游100米的水域及其江河岸两侧纵深各200米的陆域。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从一级保护区上界起上溯2500米的水域及其河岸两侧纵深各200米的陆域。</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从二级保护区上界起上溯5000米的水域及其河岸两侧纵深各200米的陆域。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布德镇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占田水库集中式饮用水水源地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101°30′56″E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26°40′25″N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上游1000米至下游100米的水域及其江河岸两侧纵深各200米的陆域。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从一级保护区上界起上溯2500米的水域及其河岸两侧纵深各200米的陆域。</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从二级保护区上界起上溯5000米的水域及其河岸两侧纵深各200米的陆域。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务本乡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务本乡山楂堡水源地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101°42′40″E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26°41′15″N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水域：取水口下游 100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 xml:space="preserve"> 向上游延伸至取水口上游 1000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处，5 年一遇洪水淹没的水域范围；陆域：与一级保护区水域长度一致，一级保护区水域边界两岸纵深 50 米的陆域范围。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一级保护区除外，取水口下游 300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处控制断面上游分水岭以内的全部流域范围。</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中坝乡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小纸房水库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101°39′44.27″E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26°23′33.68″N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水库多年平均水位对应高程线下的水域范围；一级保护区水域边界沿左岸纵深至乡道临库侧，沿右岸纵深200米但不超过流域分水岭的陆域范围。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小纸房水库入库主沟自入库口上溯至四川行政区域边界处，多年平均水位对应高程线下的水域范围；二级保护区水域边界沿两岸纵深至流域分水岭的陆域范围。</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丙谷镇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安宁河丙谷镇芭蕉箐村水库型水源地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102°07′0.08″E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26°46′23.80″N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多年平均水位对应的高程线（1399.0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）以下的全部水域。一级保护区水域外200米范围内（下游以防洪堤坝为界）的陆域，但不超过流域分水岭范围。</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流入水库的铁泡沟和橄榄河入河口上溯2000米的河道水域。一、二级保护区水域相对应陆域，但不超过流域分水岭的除一级保护区外的所有陆域。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垭口镇马坪村</w:t>
            </w:r>
            <w:r>
              <w:rPr>
                <w:rFonts w:hint="eastAsia" w:ascii="Times New Roman" w:hAnsi="Times New Roman" w:eastAsia="仿宋" w:cs="Times New Roman"/>
                <w:i w:val="0"/>
                <w:iCs w:val="0"/>
                <w:color w:val="auto"/>
                <w:sz w:val="21"/>
                <w:szCs w:val="21"/>
                <w:u w:val="none"/>
                <w:lang w:eastAsia="zh-CN"/>
              </w:rPr>
              <w:t>五社潘家湾</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102°1′48″E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26°44′22″N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上游1000米至下游100米的水域及其江河岸两侧纵深各200米的陆域。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从一级保护区上界起上溯2500米的水域及其河岸两侧纵深各200米的陆域。</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从二级保护区上界起上溯5000米的水域及其河岸两侧纵深各200米的陆域。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撒莲镇龙洞河水源地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102°00′37.17″E</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26°50′11.20″N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撒莲镇龙洞水饮用水水源地水域范围为水源地下游 100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沿干流延伸至取水点上游 1000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处；一级保护区水域边界两岸纵深 50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 xml:space="preserve"> 的全部陆域。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水域范围均为一级保护区的上游边界向上游延伸2000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，下游边界向下游延伸 200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；水域边界两岸纵深200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 xml:space="preserve"> 的全部陆域。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白马镇</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黄草村</w:t>
            </w:r>
            <w:r>
              <w:rPr>
                <w:rFonts w:hint="eastAsia" w:ascii="Times New Roman" w:hAnsi="Times New Roman" w:eastAsia="仿宋" w:cs="Times New Roman"/>
                <w:i w:val="0"/>
                <w:iCs w:val="0"/>
                <w:color w:val="auto"/>
                <w:kern w:val="0"/>
                <w:sz w:val="21"/>
                <w:szCs w:val="21"/>
                <w:u w:val="none"/>
                <w:lang w:val="en-US" w:eastAsia="zh-CN" w:bidi="ar"/>
              </w:rPr>
              <w:t>黑神庙河沟</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102°2′2″E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27°2′9″N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上游1000米至下游100米的水域及其江河岸两侧纵深各200米的陆域。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从一级保护区上界起上溯2500米的水域及其河岸两侧纵深各200米的陆域。</w:t>
            </w:r>
          </w:p>
        </w:tc>
        <w:tc>
          <w:tcPr>
            <w:tcW w:w="7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从二级保护区上界起上溯5000米的水域及其河岸两侧纵深各200米的陆域。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23</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普威镇</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普威镇溶洞</w:t>
            </w:r>
            <w:r>
              <w:rPr>
                <w:rFonts w:hint="eastAsia" w:ascii="Times New Roman" w:hAnsi="Times New Roman" w:eastAsia="仿宋" w:cs="Times New Roman"/>
                <w:i w:val="0"/>
                <w:iCs w:val="0"/>
                <w:color w:val="auto"/>
                <w:sz w:val="21"/>
                <w:szCs w:val="21"/>
                <w:u w:val="none"/>
                <w:lang w:eastAsia="zh-CN"/>
              </w:rPr>
              <w:t>河</w:t>
            </w:r>
            <w:r>
              <w:rPr>
                <w:rFonts w:hint="default" w:ascii="Times New Roman" w:hAnsi="Times New Roman" w:eastAsia="仿宋" w:cs="Times New Roman"/>
                <w:i w:val="0"/>
                <w:iCs w:val="0"/>
                <w:color w:val="auto"/>
                <w:sz w:val="21"/>
                <w:szCs w:val="21"/>
                <w:u w:val="none"/>
              </w:rPr>
              <w:t>水源地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101°58′25.02″E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 xml:space="preserve"> 27°2′53.70″N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取水点下游 100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沿干流延伸至取水点上游 1000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处，两岸纵深 50 米的全部陆域。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一级保护区的上边界向上游延伸 2000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，下边界向下游延伸 200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；水域边界两岸纵深 200</w:t>
            </w:r>
            <w:r>
              <w:rPr>
                <w:rFonts w:hint="eastAsia" w:ascii="Times New Roman" w:hAnsi="Times New Roman" w:eastAsia="仿宋" w:cs="Times New Roman"/>
                <w:i w:val="0"/>
                <w:iCs w:val="0"/>
                <w:color w:val="auto"/>
                <w:kern w:val="0"/>
                <w:sz w:val="21"/>
                <w:szCs w:val="21"/>
                <w:u w:val="none"/>
                <w:lang w:val="en-US" w:eastAsia="zh-CN" w:bidi="ar"/>
              </w:rPr>
              <w:t>米</w:t>
            </w:r>
            <w:r>
              <w:rPr>
                <w:rFonts w:hint="default" w:ascii="Times New Roman" w:hAnsi="Times New Roman" w:eastAsia="仿宋" w:cs="Times New Roman"/>
                <w:i w:val="0"/>
                <w:iCs w:val="0"/>
                <w:color w:val="auto"/>
                <w:kern w:val="0"/>
                <w:sz w:val="21"/>
                <w:szCs w:val="21"/>
                <w:u w:val="none"/>
                <w:lang w:val="en-US" w:eastAsia="zh-CN" w:bidi="ar"/>
              </w:rPr>
              <w:t>的全部陆域。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湾丘乡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sz w:val="21"/>
                <w:szCs w:val="21"/>
                <w:u w:val="none"/>
                <w:lang w:eastAsia="zh-CN"/>
              </w:rPr>
              <w:t>五七水厂取水点</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 xml:space="preserve">102°10′5″E </w:t>
            </w:r>
            <w:r>
              <w:rPr>
                <w:rFonts w:hint="default" w:ascii="Times New Roman" w:hAnsi="Times New Roman" w:eastAsia="仿宋" w:cs="Times New Roman"/>
                <w:i w:val="0"/>
                <w:iCs w:val="0"/>
                <w:color w:val="auto"/>
                <w:kern w:val="0"/>
                <w:sz w:val="18"/>
                <w:szCs w:val="18"/>
                <w:u w:val="none"/>
                <w:lang w:val="en-US" w:eastAsia="zh-CN" w:bidi="ar"/>
              </w:rPr>
              <w:br w:type="textWrapping"/>
            </w:r>
            <w:r>
              <w:rPr>
                <w:rFonts w:hint="default" w:ascii="Times New Roman" w:hAnsi="Times New Roman" w:eastAsia="仿宋" w:cs="Times New Roman"/>
                <w:i w:val="0"/>
                <w:iCs w:val="0"/>
                <w:color w:val="auto"/>
                <w:kern w:val="0"/>
                <w:sz w:val="18"/>
                <w:szCs w:val="18"/>
                <w:u w:val="none"/>
                <w:lang w:val="en-US" w:eastAsia="zh-CN" w:bidi="ar"/>
              </w:rPr>
              <w:t>27°5′25″N</w:t>
            </w:r>
          </w:p>
        </w:tc>
        <w:tc>
          <w:tcPr>
            <w:tcW w:w="9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以取水井为中心，半径30米范围内。</w:t>
            </w:r>
          </w:p>
        </w:tc>
        <w:tc>
          <w:tcPr>
            <w:tcW w:w="10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以取水井为中心，半径30米至2倍影响范围内。</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c>
          <w:tcPr>
            <w:tcW w:w="1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2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新山乡</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新山傈僳族乡马鹿塘河沟</w:t>
            </w:r>
            <w:r>
              <w:rPr>
                <w:rFonts w:hint="eastAsia" w:ascii="Times New Roman" w:hAnsi="Times New Roman" w:eastAsia="仿宋" w:cs="Times New Roman"/>
                <w:i w:val="0"/>
                <w:iCs w:val="0"/>
                <w:color w:val="auto"/>
                <w:kern w:val="0"/>
                <w:sz w:val="21"/>
                <w:szCs w:val="21"/>
                <w:u w:val="none"/>
                <w:lang w:val="en-US" w:eastAsia="zh-CN" w:bidi="ar"/>
              </w:rPr>
              <w:t>集中式饮用水水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102°10′34.14"E 26°49′23.27"N</w:t>
            </w:r>
          </w:p>
        </w:tc>
        <w:tc>
          <w:tcPr>
            <w:tcW w:w="9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饮用水源取水点下游100米，延伸至取水点上游1000米处的全部水域。一级保护区水域边界两岸纵深50米的全部陆域。</w:t>
            </w:r>
          </w:p>
        </w:tc>
        <w:tc>
          <w:tcPr>
            <w:tcW w:w="10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饮用水水源地流域一级保护区的上游边界向上游延伸2000米，一级保护区下游边界向下游延伸200米的全部水域。一、二级保护区水域右岸相对应陆域，但不超过流域分水岭的除一级保护区外的所有陆域；一、二级保护区水域左岸陆域范围为以左岸沿岸纵深1000米范围除一级保护区外的所有陆域。</w:t>
            </w:r>
          </w:p>
        </w:tc>
        <w:tc>
          <w:tcPr>
            <w:tcW w:w="775"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r>
    </w:tbl>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color w:val="auto"/>
          <w:sz w:val="32"/>
          <w:szCs w:val="32"/>
          <w:lang w:val="en-US" w:eastAsia="zh-CN"/>
        </w:rPr>
      </w:pPr>
      <w:bookmarkStart w:id="91" w:name="_Toc25460"/>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3  应急备用水源清单表</w:t>
      </w:r>
      <w:bookmarkEnd w:id="91"/>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1"/>
        <w:gridCol w:w="2188"/>
        <w:gridCol w:w="3996"/>
        <w:gridCol w:w="1254"/>
        <w:gridCol w:w="2640"/>
        <w:gridCol w:w="2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71"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84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市（州）/区（市、县）</w:t>
            </w:r>
          </w:p>
        </w:tc>
        <w:tc>
          <w:tcPr>
            <w:tcW w:w="1203"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应急备用水源名称</w:t>
            </w:r>
          </w:p>
        </w:tc>
        <w:tc>
          <w:tcPr>
            <w:tcW w:w="48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建设情况</w:t>
            </w:r>
          </w:p>
        </w:tc>
        <w:tc>
          <w:tcPr>
            <w:tcW w:w="1020"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管网与在用水源联通情况</w:t>
            </w:r>
          </w:p>
        </w:tc>
        <w:tc>
          <w:tcPr>
            <w:tcW w:w="1071"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与在用水源供水保障关系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8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12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盐边县雅砻江菩萨岩集中式饮用水水源地</w:t>
            </w:r>
          </w:p>
        </w:tc>
        <w:tc>
          <w:tcPr>
            <w:tcW w:w="4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已建</w:t>
            </w:r>
          </w:p>
        </w:tc>
        <w:tc>
          <w:tcPr>
            <w:tcW w:w="10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未连通</w:t>
            </w:r>
          </w:p>
        </w:tc>
        <w:tc>
          <w:tcPr>
            <w:tcW w:w="10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应急备用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8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12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eastAsia="zh-CN"/>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4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auto"/>
                <w:sz w:val="21"/>
                <w:szCs w:val="21"/>
                <w:u w:val="none"/>
                <w:lang w:eastAsia="zh-CN"/>
              </w:rPr>
            </w:pPr>
            <w:r>
              <w:rPr>
                <w:rFonts w:hint="eastAsia" w:ascii="Times New Roman" w:hAnsi="Times New Roman" w:eastAsia="仿宋" w:cs="Times New Roman"/>
                <w:i w:val="0"/>
                <w:iCs w:val="0"/>
                <w:color w:val="auto"/>
                <w:sz w:val="21"/>
                <w:szCs w:val="21"/>
                <w:u w:val="none"/>
                <w:lang w:eastAsia="zh-CN"/>
              </w:rPr>
              <w:t>已建</w:t>
            </w:r>
          </w:p>
        </w:tc>
        <w:tc>
          <w:tcPr>
            <w:tcW w:w="102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已连通</w:t>
            </w:r>
          </w:p>
        </w:tc>
        <w:tc>
          <w:tcPr>
            <w:tcW w:w="10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应急备用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w:t>
            </w:r>
          </w:p>
        </w:tc>
        <w:tc>
          <w:tcPr>
            <w:tcW w:w="2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31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马鞍山水库</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在建</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未连通</w:t>
            </w:r>
          </w:p>
        </w:tc>
        <w:tc>
          <w:tcPr>
            <w:tcW w:w="2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应急备用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4</w:t>
            </w:r>
          </w:p>
        </w:tc>
        <w:tc>
          <w:tcPr>
            <w:tcW w:w="2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31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已建</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未连通</w:t>
            </w:r>
          </w:p>
        </w:tc>
        <w:tc>
          <w:tcPr>
            <w:tcW w:w="2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应急备用</w:t>
            </w:r>
          </w:p>
        </w:tc>
      </w:tr>
    </w:tbl>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color w:val="auto"/>
          <w:sz w:val="32"/>
          <w:szCs w:val="32"/>
          <w:lang w:val="en-US" w:eastAsia="zh-CN"/>
        </w:rPr>
      </w:pPr>
      <w:bookmarkStart w:id="92" w:name="_Toc8060"/>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4  不达标水源清单表</w:t>
      </w:r>
      <w:bookmarkEnd w:id="92"/>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7"/>
        <w:gridCol w:w="1163"/>
        <w:gridCol w:w="983"/>
        <w:gridCol w:w="1572"/>
        <w:gridCol w:w="2598"/>
        <w:gridCol w:w="1107"/>
        <w:gridCol w:w="1727"/>
        <w:gridCol w:w="880"/>
        <w:gridCol w:w="1413"/>
        <w:gridCol w:w="16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18"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42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服务级别</w:t>
            </w:r>
          </w:p>
        </w:tc>
        <w:tc>
          <w:tcPr>
            <w:tcW w:w="360"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区（市、县）</w:t>
            </w:r>
          </w:p>
        </w:tc>
        <w:tc>
          <w:tcPr>
            <w:tcW w:w="575"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乡镇</w:t>
            </w:r>
          </w:p>
        </w:tc>
        <w:tc>
          <w:tcPr>
            <w:tcW w:w="951"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水源名称</w:t>
            </w:r>
          </w:p>
        </w:tc>
        <w:tc>
          <w:tcPr>
            <w:tcW w:w="405"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水源类型</w:t>
            </w:r>
          </w:p>
        </w:tc>
        <w:tc>
          <w:tcPr>
            <w:tcW w:w="632"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超标时间</w:t>
            </w:r>
          </w:p>
        </w:tc>
        <w:tc>
          <w:tcPr>
            <w:tcW w:w="322"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水质类别</w:t>
            </w:r>
          </w:p>
        </w:tc>
        <w:tc>
          <w:tcPr>
            <w:tcW w:w="517"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超标因子</w:t>
            </w:r>
          </w:p>
        </w:tc>
        <w:tc>
          <w:tcPr>
            <w:tcW w:w="588"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超标原因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5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kern w:val="0"/>
                <w:sz w:val="21"/>
                <w:szCs w:val="21"/>
                <w:u w:val="none"/>
                <w:lang w:val="en-US" w:eastAsia="zh-CN" w:bidi="ar"/>
              </w:rPr>
              <w:t>新九镇</w:t>
            </w:r>
          </w:p>
        </w:tc>
        <w:tc>
          <w:tcPr>
            <w:tcW w:w="9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高堰沟水库水源地</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63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2021年下半年</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Ⅴ</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五日生化需氧量、高锰酸盐指数、总磷</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农业面源污染、农村生活污水、农村生活垃圾等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57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国胜乡</w:t>
            </w:r>
          </w:p>
        </w:tc>
        <w:tc>
          <w:tcPr>
            <w:tcW w:w="9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国胜乡鱼洞水源地（地下水）</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w:t>
            </w:r>
          </w:p>
        </w:tc>
        <w:tc>
          <w:tcPr>
            <w:tcW w:w="63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2022年上半年</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Ⅳ</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总大肠菌群</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农业面源污染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1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永兴镇箐河乡</w:t>
            </w:r>
          </w:p>
        </w:tc>
        <w:tc>
          <w:tcPr>
            <w:tcW w:w="9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箐河乡象鼻子水源地（地下水）</w:t>
            </w:r>
          </w:p>
        </w:tc>
        <w:tc>
          <w:tcPr>
            <w:tcW w:w="40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w:t>
            </w:r>
          </w:p>
        </w:tc>
        <w:tc>
          <w:tcPr>
            <w:tcW w:w="63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2022年上半年</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Ⅳ</w:t>
            </w:r>
          </w:p>
        </w:tc>
        <w:tc>
          <w:tcPr>
            <w:tcW w:w="5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总大肠菌群</w:t>
            </w:r>
          </w:p>
        </w:tc>
        <w:tc>
          <w:tcPr>
            <w:tcW w:w="5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农业面源污染</w:t>
            </w:r>
          </w:p>
        </w:tc>
      </w:tr>
    </w:tbl>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color w:val="auto"/>
          <w:sz w:val="32"/>
          <w:szCs w:val="32"/>
          <w:lang w:val="en-US" w:eastAsia="zh-CN"/>
        </w:rPr>
      </w:pPr>
      <w:bookmarkStart w:id="93" w:name="_Toc24400"/>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5  问题清单</w:t>
      </w:r>
      <w:bookmarkEnd w:id="93"/>
    </w:p>
    <w:tbl>
      <w:tblPr>
        <w:tblStyle w:val="17"/>
        <w:tblW w:w="1315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8"/>
        <w:gridCol w:w="697"/>
        <w:gridCol w:w="990"/>
        <w:gridCol w:w="927"/>
        <w:gridCol w:w="1683"/>
        <w:gridCol w:w="800"/>
        <w:gridCol w:w="2284"/>
        <w:gridCol w:w="5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trPr>
        <w:tc>
          <w:tcPr>
            <w:tcW w:w="528"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级别</w:t>
            </w:r>
          </w:p>
        </w:tc>
        <w:tc>
          <w:tcPr>
            <w:tcW w:w="990"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区（市.县）</w:t>
            </w:r>
          </w:p>
        </w:tc>
        <w:tc>
          <w:tcPr>
            <w:tcW w:w="927"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乡镇</w:t>
            </w:r>
          </w:p>
        </w:tc>
        <w:tc>
          <w:tcPr>
            <w:tcW w:w="1683"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水源名称</w:t>
            </w:r>
          </w:p>
        </w:tc>
        <w:tc>
          <w:tcPr>
            <w:tcW w:w="800" w:type="dxa"/>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水源类型</w:t>
            </w:r>
          </w:p>
        </w:tc>
        <w:tc>
          <w:tcPr>
            <w:tcW w:w="2284" w:type="dxa"/>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问题类型</w:t>
            </w:r>
          </w:p>
        </w:tc>
        <w:tc>
          <w:tcPr>
            <w:tcW w:w="5250" w:type="dxa"/>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具体问题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28"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69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地级</w:t>
            </w:r>
          </w:p>
        </w:tc>
        <w:tc>
          <w:tcPr>
            <w:tcW w:w="99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92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1683"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80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部分界标、交通警示牌和宣传牌污损和破损。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528"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盐边县雅砻江菩萨岩</w:t>
            </w:r>
            <w:r>
              <w:rPr>
                <w:rFonts w:hint="eastAsia" w:ascii="Times New Roman" w:hAnsi="Times New Roman" w:eastAsia="仿宋" w:cs="Times New Roman"/>
                <w:i w:val="0"/>
                <w:iCs w:val="0"/>
                <w:color w:val="auto"/>
                <w:kern w:val="0"/>
                <w:sz w:val="21"/>
                <w:szCs w:val="21"/>
                <w:u w:val="none"/>
                <w:lang w:val="en-US" w:eastAsia="zh-CN" w:bidi="ar"/>
              </w:rPr>
              <w:t>集中式</w:t>
            </w:r>
            <w:r>
              <w:rPr>
                <w:rFonts w:hint="default" w:ascii="Times New Roman" w:hAnsi="Times New Roman" w:eastAsia="仿宋" w:cs="Times New Roman"/>
                <w:i w:val="0"/>
                <w:iCs w:val="0"/>
                <w:color w:val="auto"/>
                <w:kern w:val="0"/>
                <w:sz w:val="21"/>
                <w:szCs w:val="21"/>
                <w:u w:val="none"/>
                <w:lang w:val="en-US" w:eastAsia="zh-CN" w:bidi="ar"/>
              </w:rPr>
              <w:t>饮用水</w:t>
            </w:r>
            <w:r>
              <w:rPr>
                <w:rFonts w:hint="eastAsia" w:ascii="Times New Roman" w:hAnsi="Times New Roman" w:eastAsia="仿宋" w:cs="Times New Roman"/>
                <w:i w:val="0"/>
                <w:iCs w:val="0"/>
                <w:color w:val="auto"/>
                <w:kern w:val="0"/>
                <w:sz w:val="21"/>
                <w:szCs w:val="21"/>
                <w:u w:val="none"/>
                <w:lang w:val="en-US" w:eastAsia="zh-CN" w:bidi="ar"/>
              </w:rPr>
              <w:t>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1.界标、交通警示牌和宣传牌的数量不符合《集中式饮用水水源地规范化建设环境保护技术要求》HJ773-2015。</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2.三滩大桥桥梁、雅砻江右岸二滩大道地势低洼地段未设置应急事故导流池。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1.未编制饮用水水源地突发环境事件应急预案。</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2.应急储备物资未定期更换。</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3.未定期开展应急演练。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9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92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1683"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胜利水库</w:t>
            </w:r>
          </w:p>
        </w:tc>
        <w:tc>
          <w:tcPr>
            <w:tcW w:w="80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3.胜利水库集中式饮用水水源地存在公路穿越，未设置应急事故收集池。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nil"/>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1.应急储备物资未定期更换。</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2.未定期开展应急演练。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晃桥水库</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2.保护区部分人类活动频繁区域隔离网损坏。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区县级</w:t>
            </w:r>
          </w:p>
        </w:tc>
        <w:tc>
          <w:tcPr>
            <w:tcW w:w="9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在建水源，未设置标识</w:t>
            </w:r>
            <w:r>
              <w:rPr>
                <w:rFonts w:hint="eastAsia" w:ascii="Times New Roman" w:hAnsi="Times New Roman" w:eastAsia="仿宋" w:cs="Times New Roman"/>
                <w:i w:val="0"/>
                <w:iCs w:val="0"/>
                <w:color w:val="auto"/>
                <w:kern w:val="0"/>
                <w:sz w:val="21"/>
                <w:szCs w:val="21"/>
                <w:u w:val="none"/>
                <w:lang w:val="en-US" w:eastAsia="zh-CN" w:bidi="ar"/>
              </w:rPr>
              <w:t>、</w:t>
            </w:r>
            <w:r>
              <w:rPr>
                <w:rFonts w:hint="default" w:ascii="Times New Roman" w:hAnsi="Times New Roman" w:eastAsia="仿宋" w:cs="Times New Roman"/>
                <w:i w:val="0"/>
                <w:iCs w:val="0"/>
                <w:color w:val="auto"/>
                <w:kern w:val="0"/>
                <w:sz w:val="21"/>
                <w:szCs w:val="21"/>
                <w:u w:val="none"/>
                <w:lang w:val="en-US" w:eastAsia="zh-CN" w:bidi="ar"/>
              </w:rPr>
              <w:t>隔离设施，视频监控</w:t>
            </w:r>
            <w:r>
              <w:rPr>
                <w:rFonts w:hint="eastAsia" w:ascii="Times New Roman" w:hAnsi="Times New Roman" w:eastAsia="仿宋" w:cs="Times New Roman"/>
                <w:i w:val="0"/>
                <w:iCs w:val="0"/>
                <w:color w:val="auto"/>
                <w:kern w:val="0"/>
                <w:sz w:val="21"/>
                <w:szCs w:val="21"/>
                <w:u w:val="none"/>
                <w:lang w:val="en-US" w:eastAsia="zh-CN" w:bidi="ar"/>
              </w:rPr>
              <w:t>、</w:t>
            </w:r>
            <w:r>
              <w:rPr>
                <w:rFonts w:hint="default" w:ascii="Times New Roman" w:hAnsi="Times New Roman" w:eastAsia="仿宋" w:cs="Times New Roman"/>
                <w:i w:val="0"/>
                <w:iCs w:val="0"/>
                <w:color w:val="auto"/>
                <w:kern w:val="0"/>
                <w:sz w:val="21"/>
                <w:szCs w:val="21"/>
                <w:u w:val="none"/>
                <w:lang w:val="en-US" w:eastAsia="zh-CN" w:bidi="ar"/>
              </w:rPr>
              <w:t>预警监控。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在建水源，还未开展环境整治。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高堰沟水库水源地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水质不达标</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2021年下半年，总磷</w:t>
            </w:r>
            <w:r>
              <w:rPr>
                <w:rFonts w:hint="eastAsia" w:ascii="Times New Roman" w:hAnsi="Times New Roman" w:eastAsia="仿宋" w:cs="Times New Roman"/>
                <w:i w:val="0"/>
                <w:iCs w:val="0"/>
                <w:color w:val="auto"/>
                <w:kern w:val="0"/>
                <w:sz w:val="21"/>
                <w:szCs w:val="21"/>
                <w:u w:val="none"/>
                <w:lang w:val="en-US" w:eastAsia="zh-CN" w:bidi="ar"/>
              </w:rPr>
              <w:t>、</w:t>
            </w:r>
            <w:r>
              <w:rPr>
                <w:rFonts w:hint="default" w:ascii="Times New Roman" w:hAnsi="Times New Roman" w:eastAsia="仿宋" w:cs="Times New Roman"/>
                <w:i w:val="0"/>
                <w:iCs w:val="0"/>
                <w:color w:val="auto"/>
                <w:kern w:val="0"/>
                <w:sz w:val="21"/>
                <w:szCs w:val="21"/>
                <w:u w:val="none"/>
                <w:lang w:val="en-US" w:eastAsia="zh-CN" w:bidi="ar"/>
              </w:rPr>
              <w:t>高锰酸盐指数</w:t>
            </w:r>
            <w:r>
              <w:rPr>
                <w:rFonts w:hint="eastAsia" w:ascii="Times New Roman" w:hAnsi="Times New Roman" w:eastAsia="仿宋" w:cs="Times New Roman"/>
                <w:i w:val="0"/>
                <w:iCs w:val="0"/>
                <w:color w:val="auto"/>
                <w:kern w:val="0"/>
                <w:sz w:val="21"/>
                <w:szCs w:val="21"/>
                <w:u w:val="none"/>
                <w:lang w:val="en-US" w:eastAsia="zh-CN" w:bidi="ar"/>
              </w:rPr>
              <w:t>、</w:t>
            </w:r>
            <w:r>
              <w:rPr>
                <w:rFonts w:hint="default" w:ascii="Times New Roman" w:hAnsi="Times New Roman" w:eastAsia="仿宋" w:cs="Times New Roman"/>
                <w:i w:val="0"/>
                <w:iCs w:val="0"/>
                <w:color w:val="auto"/>
                <w:kern w:val="0"/>
                <w:sz w:val="21"/>
                <w:szCs w:val="21"/>
                <w:u w:val="none"/>
                <w:lang w:val="en-US" w:eastAsia="zh-CN" w:bidi="ar"/>
              </w:rPr>
              <w:t>五日生化需氧量超标。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1.界标和宣传牌的数量不符合《集中式饮用水水源地规范化建设环境保护技术要求》（HJ773-2015）。</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3.一级保护区内存在公路穿越，未做任何的风险防范措施。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1.高堰沟水库周边踏鲊村等部分村社存在部分农户生活污水未做收集处理。</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2.保护区范围内已存在较多散落的生活垃圾等。</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3.水库周边存在地表裸露现象，存在生态破坏问题。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水源地未设置视频监控系统。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1.未定期开展应急演练。</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渔门镇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渔门镇集中式饮用水水源</w:t>
            </w:r>
            <w:r>
              <w:rPr>
                <w:rFonts w:hint="eastAsia" w:ascii="Times New Roman" w:hAnsi="Times New Roman" w:eastAsia="仿宋" w:cs="Times New Roman"/>
                <w:i w:val="0"/>
                <w:iCs w:val="0"/>
                <w:color w:val="auto"/>
                <w:sz w:val="21"/>
                <w:szCs w:val="21"/>
                <w:u w:val="none"/>
                <w:lang w:eastAsia="zh-CN"/>
              </w:rPr>
              <w:t>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界标和宣传牌的数量不符合《集中式饮用水水源地规范化建设环境保护技术要求》HJ773-2015。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水源地保护区范围内存在少量农户生活污水未做收集处理。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水源地未设置视频监控系统。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1.未定期开展应急演练。</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528" w:type="dxa"/>
            <w:vMerge w:val="restart"/>
            <w:tcBorders>
              <w:top w:val="nil"/>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697" w:type="dxa"/>
            <w:vMerge w:val="restart"/>
            <w:tcBorders>
              <w:top w:val="nil"/>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永兴镇（箐河傈僳族乡）</w:t>
            </w:r>
          </w:p>
        </w:tc>
        <w:tc>
          <w:tcPr>
            <w:tcW w:w="1683"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箐河乡象鼻子水源地（地下水）</w:t>
            </w:r>
          </w:p>
        </w:tc>
        <w:tc>
          <w:tcPr>
            <w:tcW w:w="80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水质不达标</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2022年上半年，总大肠菌群超标。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28"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9</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永兴镇永箐堰水源地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1.界标和宣传牌的数量设置不符合《集中式饮用水水源地保护环境保护技术要求》（HJ773-2015）。</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2.保护区部分隔离网损坏。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10</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新九乡大龙塘沟水源地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1.界标.交通警示牌和宣传牌的数量不符合《集中式饮用水水源地规范化建设环境保护技术要求》（HJ773-2015）。</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3.一级保护区内存在公路穿越未设置防撞栏。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11</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惠民镇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惠民乡清香水库水源地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1.界标、交通警示牌和宣传牌的数量不符合《集中式饮用水水源地规范化建设环境保护技术要求》（HJ773-2015）。</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2.保护区部分隔离网损坏。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1.查清香水库内存在大量枯枝、落叶等漂浮物，对水质产生较大影响，但库区未配置相应打捞工具。</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2.保护区范围内存在少量农户生活污水未做收集处理将对水源地水质产生影响。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红果彝族乡</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雅砻江红果彝族乡大槽村河流型水源地饮用水水源地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1.界标、交通警示牌和宣传牌的数量不符合《集中式饮用水水源地规范化建设环境保护技术要求》（HJ773-2015）。</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3.一级保护区内存在公路穿越未设置防撞栏。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一级保护范围内存在1户农户，生活污水未做收集处理将对水源地水质产生影响。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1.未定期开展应急演练。</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2.应急储备物资未定期更换。</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3.未定期修订饮用水水源地突发环境事件应急预案。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28"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13</w:t>
            </w:r>
          </w:p>
        </w:tc>
        <w:tc>
          <w:tcPr>
            <w:tcW w:w="697"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92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国胜乡</w:t>
            </w:r>
          </w:p>
        </w:tc>
        <w:tc>
          <w:tcPr>
            <w:tcW w:w="1683"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国胜乡鱼洞水源地（地下水）</w:t>
            </w:r>
          </w:p>
        </w:tc>
        <w:tc>
          <w:tcPr>
            <w:tcW w:w="80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水质不达标</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2022年上半年，总大肠菌群超标。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528"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14</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平地镇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跃进水库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2.保护区部分人类活动频繁区域隔离网损坏。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3.跨越平地镇跃进水库G5高速公路段未设置应急事故收集池，国道227公路两侧未设置道路防护栏，未设置应急事故收集池。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保护区内存在原有农户，生活污水和生活垃圾未达到有效治理。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15</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同德镇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双河水库集中式饮用水水源地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2.保护区部分人类活动频繁区域隔离网损坏。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3.公路穿越保护区的部分区域未设置防撞护栏和事故收集池。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保护区内存在原有农户，生活污水和生活垃圾未达到有效治理。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16</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布德镇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占田水库集中式饮用水水源地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2.保护区部分人类活动频繁区域隔离网损坏。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3.公路穿越保护区的部分区域未设置防撞护栏和事故收集池。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保护区内存在原有农户，生活污水和生活垃圾未达到有效治理。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17</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务本乡</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务本乡山楂堡水源地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2.保护区部分人类活动频繁区域隔离网损坏。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18</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中坝乡</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小纸房水库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1.部分界标、交通警示牌和宣传牌污损和破损。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2.保护区部分人类活动频繁区域隔离网损坏。</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3.公路穿越保护区的部分区域未设置防撞护栏和事故收集池。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697"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990"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683"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0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环境问题整治不到位</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保护区内存在原有农户，生活污水和生活垃圾未达到有效治理。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19</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丙谷镇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安宁河丙谷镇芭蕉箐村水库型水源地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2284" w:type="dxa"/>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1.界标、交通警示牌和宣传牌的数量不符合《集中式饮用水水源地规范化建设环境保护技术要求》（HJ773-2015），部分界标污损和破损。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2.一级保护区部分人类活动频繁区域缺少隔离网。</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3.一级保护区内存在公路，部分未设置防撞护栏。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
              </w:numPr>
              <w:suppressLineNumbers w:val="0"/>
              <w:jc w:val="both"/>
              <w:textAlignment w:val="center"/>
              <w:rPr>
                <w:rStyle w:val="29"/>
                <w:rFonts w:hint="default" w:ascii="Times New Roman" w:hAnsi="Times New Roman" w:cs="Times New Roman"/>
                <w:color w:val="auto"/>
                <w:sz w:val="21"/>
                <w:szCs w:val="21"/>
                <w:lang w:val="en-US" w:eastAsia="zh-CN" w:bidi="ar"/>
              </w:rPr>
            </w:pPr>
            <w:r>
              <w:rPr>
                <w:rStyle w:val="29"/>
                <w:rFonts w:hint="default" w:ascii="Times New Roman" w:hAnsi="Times New Roman" w:cs="Times New Roman"/>
                <w:color w:val="auto"/>
                <w:sz w:val="21"/>
                <w:szCs w:val="21"/>
                <w:lang w:val="en-US" w:eastAsia="zh-CN" w:bidi="ar"/>
              </w:rPr>
              <w:t>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20</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垭口镇马坪村</w:t>
            </w:r>
            <w:r>
              <w:rPr>
                <w:rFonts w:hint="eastAsia" w:ascii="Times New Roman" w:hAnsi="Times New Roman" w:eastAsia="仿宋" w:cs="Times New Roman"/>
                <w:i w:val="0"/>
                <w:iCs w:val="0"/>
                <w:color w:val="auto"/>
                <w:sz w:val="21"/>
                <w:szCs w:val="21"/>
                <w:u w:val="none"/>
                <w:lang w:eastAsia="zh-CN"/>
              </w:rPr>
              <w:t>五社潘家湾</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界标、宣传牌的数量不符合《集中式饮用水水源地规范化建设环境保护技术要求》（HJ773-2015）。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28"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21</w:t>
            </w:r>
          </w:p>
        </w:tc>
        <w:tc>
          <w:tcPr>
            <w:tcW w:w="697"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1683"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撒莲镇龙洞河水源地</w:t>
            </w:r>
          </w:p>
        </w:tc>
        <w:tc>
          <w:tcPr>
            <w:tcW w:w="80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界标、宣传牌的数量不符合《集中式饮用水水源地规范化建设环境保护技术要求》（HJ773-2015）。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28"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22</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白马镇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黄草村</w:t>
            </w:r>
            <w:r>
              <w:rPr>
                <w:rFonts w:hint="eastAsia" w:ascii="Times New Roman" w:hAnsi="Times New Roman" w:eastAsia="仿宋" w:cs="Times New Roman"/>
                <w:i w:val="0"/>
                <w:iCs w:val="0"/>
                <w:color w:val="auto"/>
                <w:kern w:val="0"/>
                <w:sz w:val="21"/>
                <w:szCs w:val="21"/>
                <w:u w:val="none"/>
                <w:lang w:val="en-US" w:eastAsia="zh-CN" w:bidi="ar"/>
              </w:rPr>
              <w:t>黑神庙河沟</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部分防护设施损坏</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1.界标、交通警示牌和宣传牌的数量不符合《集中式饮用水水源地规范化建设环境保护技术要求》（HJ773-2015），同时部分界标被破损。</w:t>
            </w:r>
            <w:r>
              <w:rPr>
                <w:rFonts w:hint="default" w:ascii="Times New Roman" w:hAnsi="Times New Roman" w:eastAsia="仿宋" w:cs="Times New Roman"/>
                <w:i w:val="0"/>
                <w:iCs w:val="0"/>
                <w:color w:val="auto"/>
                <w:kern w:val="0"/>
                <w:sz w:val="21"/>
                <w:szCs w:val="21"/>
                <w:u w:val="none"/>
                <w:lang w:val="en-US" w:eastAsia="zh-CN" w:bidi="ar"/>
              </w:rPr>
              <w:br w:type="textWrapping"/>
            </w:r>
            <w:r>
              <w:rPr>
                <w:rFonts w:hint="default" w:ascii="Times New Roman" w:hAnsi="Times New Roman" w:eastAsia="仿宋" w:cs="Times New Roman"/>
                <w:i w:val="0"/>
                <w:iCs w:val="0"/>
                <w:color w:val="auto"/>
                <w:kern w:val="0"/>
                <w:sz w:val="21"/>
                <w:szCs w:val="21"/>
                <w:u w:val="none"/>
                <w:lang w:val="en-US" w:eastAsia="zh-CN" w:bidi="ar"/>
              </w:rPr>
              <w:t>2.一级保护区部分隔离防护网破坏。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23</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普威镇</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普威镇溶洞</w:t>
            </w:r>
            <w:r>
              <w:rPr>
                <w:rFonts w:hint="eastAsia" w:ascii="Times New Roman" w:hAnsi="Times New Roman" w:eastAsia="仿宋" w:cs="Times New Roman"/>
                <w:i w:val="0"/>
                <w:iCs w:val="0"/>
                <w:color w:val="auto"/>
                <w:sz w:val="21"/>
                <w:szCs w:val="21"/>
                <w:u w:val="none"/>
                <w:lang w:eastAsia="zh-CN"/>
              </w:rPr>
              <w:t>河</w:t>
            </w:r>
            <w:r>
              <w:rPr>
                <w:rFonts w:hint="default" w:ascii="Times New Roman" w:hAnsi="Times New Roman" w:eastAsia="仿宋" w:cs="Times New Roman"/>
                <w:i w:val="0"/>
                <w:iCs w:val="0"/>
                <w:color w:val="auto"/>
                <w:sz w:val="21"/>
                <w:szCs w:val="21"/>
                <w:u w:val="none"/>
              </w:rPr>
              <w:t>水源地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保护区内部分界标、宣传牌污损和破损，需及时更换。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28"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24</w:t>
            </w:r>
          </w:p>
        </w:tc>
        <w:tc>
          <w:tcPr>
            <w:tcW w:w="697"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湾丘乡</w:t>
            </w:r>
          </w:p>
        </w:tc>
        <w:tc>
          <w:tcPr>
            <w:tcW w:w="1683"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sz w:val="21"/>
                <w:szCs w:val="21"/>
                <w:u w:val="none"/>
                <w:lang w:eastAsia="zh-CN"/>
              </w:rPr>
              <w:t>五七水厂取水点</w:t>
            </w:r>
          </w:p>
        </w:tc>
        <w:tc>
          <w:tcPr>
            <w:tcW w:w="80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228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宣传牌和交通警示牌的数量不符合《集中式饮用水水源地规范化建设环境保护技术要求》（HJ773-2015）。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5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乡镇级</w:t>
            </w:r>
          </w:p>
        </w:tc>
        <w:tc>
          <w:tcPr>
            <w:tcW w:w="990"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92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新山乡</w:t>
            </w:r>
          </w:p>
        </w:tc>
        <w:tc>
          <w:tcPr>
            <w:tcW w:w="16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新山傈僳族乡马鹿塘河沟</w:t>
            </w:r>
            <w:r>
              <w:rPr>
                <w:rFonts w:hint="eastAsia" w:ascii="Times New Roman" w:hAnsi="Times New Roman" w:eastAsia="仿宋" w:cs="Times New Roman"/>
                <w:i w:val="0"/>
                <w:iCs w:val="0"/>
                <w:color w:val="auto"/>
                <w:kern w:val="0"/>
                <w:sz w:val="21"/>
                <w:szCs w:val="21"/>
                <w:u w:val="none"/>
                <w:lang w:val="en-US" w:eastAsia="zh-CN" w:bidi="ar"/>
              </w:rPr>
              <w:t>集中式饮用水水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8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规范化建设不完善</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界标、宣传牌的数量不符合《集中式饮用水水源地规范化建设环境保护技术要求》（HJ773-2015）。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5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90"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92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6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2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风险防控能力不足</w:t>
            </w:r>
          </w:p>
        </w:tc>
        <w:tc>
          <w:tcPr>
            <w:tcW w:w="5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Style w:val="29"/>
                <w:rFonts w:hint="default" w:ascii="Times New Roman" w:hAnsi="Times New Roman" w:cs="Times New Roman"/>
                <w:color w:val="auto"/>
                <w:sz w:val="21"/>
                <w:szCs w:val="21"/>
                <w:lang w:val="en-US" w:eastAsia="zh-CN" w:bidi="ar"/>
              </w:rPr>
              <w:t>1.未定期开展应急演练。</w:t>
            </w:r>
            <w:r>
              <w:rPr>
                <w:rStyle w:val="29"/>
                <w:rFonts w:hint="default" w:ascii="Times New Roman" w:hAnsi="Times New Roman" w:cs="Times New Roman"/>
                <w:color w:val="auto"/>
                <w:sz w:val="21"/>
                <w:szCs w:val="21"/>
                <w:lang w:val="en-US" w:eastAsia="zh-CN" w:bidi="ar"/>
              </w:rPr>
              <w:br w:type="textWrapping"/>
            </w:r>
            <w:r>
              <w:rPr>
                <w:rStyle w:val="29"/>
                <w:rFonts w:hint="default" w:ascii="Times New Roman" w:hAnsi="Times New Roman" w:cs="Times New Roman"/>
                <w:color w:val="auto"/>
                <w:sz w:val="21"/>
                <w:szCs w:val="21"/>
                <w:lang w:val="en-US" w:eastAsia="zh-CN" w:bidi="ar"/>
              </w:rPr>
              <w:t>2.应急储备物资未定期更换。</w:t>
            </w:r>
          </w:p>
        </w:tc>
      </w:tr>
    </w:tbl>
    <w:p>
      <w:pPr>
        <w:spacing w:line="600" w:lineRule="exact"/>
        <w:outlineLvl w:val="0"/>
        <w:rPr>
          <w:rFonts w:hint="default" w:ascii="Times New Roman" w:hAnsi="Times New Roman" w:eastAsia="楷体_GB2312" w:cs="Times New Roman"/>
          <w:b w:val="0"/>
          <w:bCs/>
          <w:color w:val="auto"/>
          <w:sz w:val="32"/>
          <w:szCs w:val="32"/>
          <w:lang w:eastAsia="zh-CN"/>
        </w:rPr>
      </w:pPr>
      <w:bookmarkStart w:id="94" w:name="_Toc15678"/>
    </w:p>
    <w:p>
      <w:pPr>
        <w:spacing w:line="600" w:lineRule="exact"/>
        <w:outlineLvl w:val="0"/>
        <w:rPr>
          <w:rFonts w:hint="default" w:ascii="Times New Roman" w:hAnsi="Times New Roman" w:eastAsia="楷体_GB2312" w:cs="Times New Roman"/>
          <w:b w:val="0"/>
          <w:bCs/>
          <w:color w:val="auto"/>
          <w:sz w:val="32"/>
          <w:szCs w:val="32"/>
          <w:lang w:eastAsia="zh-CN"/>
        </w:rPr>
      </w:pPr>
    </w:p>
    <w:p>
      <w:pPr>
        <w:spacing w:line="600" w:lineRule="exact"/>
        <w:outlineLvl w:val="0"/>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spacing w:line="600" w:lineRule="exact"/>
        <w:outlineLvl w:val="0"/>
        <w:rPr>
          <w:rFonts w:hint="default" w:ascii="Times New Roman" w:hAnsi="Times New Roman" w:eastAsia="楷体_GB2312" w:cs="Times New Roman"/>
          <w:b w:val="0"/>
          <w:bCs/>
          <w:color w:val="auto"/>
          <w:sz w:val="32"/>
          <w:szCs w:val="32"/>
          <w:lang w:val="en-US" w:eastAsia="zh-CN"/>
        </w:rPr>
      </w:pPr>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6  集中式饮用水水源地对照问题改进措施一览表</w:t>
      </w:r>
      <w:bookmarkEnd w:id="94"/>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0"/>
        <w:gridCol w:w="1165"/>
        <w:gridCol w:w="1247"/>
        <w:gridCol w:w="1294"/>
        <w:gridCol w:w="2494"/>
        <w:gridCol w:w="6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trPr>
        <w:tc>
          <w:tcPr>
            <w:tcW w:w="47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区（市、县）</w:t>
            </w:r>
          </w:p>
        </w:tc>
        <w:tc>
          <w:tcPr>
            <w:tcW w:w="42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乡镇</w:t>
            </w:r>
          </w:p>
        </w:tc>
        <w:tc>
          <w:tcPr>
            <w:tcW w:w="456"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水源名称</w:t>
            </w:r>
          </w:p>
        </w:tc>
        <w:tc>
          <w:tcPr>
            <w:tcW w:w="474"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水源类型</w:t>
            </w:r>
          </w:p>
        </w:tc>
        <w:tc>
          <w:tcPr>
            <w:tcW w:w="913" w:type="pct"/>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项目类型</w:t>
            </w:r>
          </w:p>
        </w:tc>
        <w:tc>
          <w:tcPr>
            <w:tcW w:w="2251"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工程建设内容与规模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4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更换老旧破损的界标、交通警示牌和宣传牌。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建设一、二级保护区隔离防护网2100</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，平整路基10185</w:t>
            </w:r>
            <w:r>
              <w:rPr>
                <w:rFonts w:hint="eastAsia" w:ascii="Times New Roman" w:hAnsi="Times New Roman" w:eastAsia="仿宋" w:cs="Times New Roman"/>
                <w:i w:val="0"/>
                <w:iCs w:val="0"/>
                <w:color w:val="auto"/>
                <w:kern w:val="0"/>
                <w:sz w:val="21"/>
                <w:szCs w:val="21"/>
                <w:u w:val="none"/>
                <w:lang w:val="en-US" w:eastAsia="zh-CN" w:bidi="ar"/>
              </w:rPr>
              <w:t>m²</w:t>
            </w:r>
            <w:r>
              <w:rPr>
                <w:rFonts w:hint="default" w:ascii="Times New Roman" w:hAnsi="Times New Roman" w:eastAsia="仿宋" w:cs="Times New Roman"/>
                <w:i w:val="0"/>
                <w:iCs w:val="0"/>
                <w:color w:val="auto"/>
                <w:kern w:val="0"/>
                <w:sz w:val="21"/>
                <w:szCs w:val="21"/>
                <w:u w:val="none"/>
                <w:lang w:val="en-US" w:eastAsia="zh-CN" w:bidi="ar"/>
              </w:rPr>
              <w:t>，建设标识标牌25块。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两格式化粪池19口，垃圾箱和垃圾桶43个，太阳能防虫灯60个等。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建设水质预警监测站，可监测包含总磷、总氮和生物毒性等23项指标。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建设取水口和一、二级保护区视频监控系统，共设置15个视频监控设备，可实现24小时数据与省生态环境厅和市生态环境局联网。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建设饮用水水源保护区视频监控系统，安装视频监控19个监控探头。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购置了吸油毡和活性炭等应急物资储备。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盐边县雅砻江菩萨岩</w:t>
            </w:r>
            <w:r>
              <w:rPr>
                <w:rFonts w:hint="eastAsia" w:ascii="Times New Roman" w:hAnsi="Times New Roman" w:eastAsia="仿宋" w:cs="Times New Roman"/>
                <w:i w:val="0"/>
                <w:iCs w:val="0"/>
                <w:color w:val="auto"/>
                <w:kern w:val="0"/>
                <w:sz w:val="21"/>
                <w:szCs w:val="21"/>
                <w:u w:val="none"/>
                <w:lang w:val="en-US" w:eastAsia="zh-CN" w:bidi="ar"/>
              </w:rPr>
              <w:t>集中式</w:t>
            </w:r>
            <w:r>
              <w:rPr>
                <w:rFonts w:hint="default" w:ascii="Times New Roman" w:hAnsi="Times New Roman" w:eastAsia="仿宋" w:cs="Times New Roman"/>
                <w:i w:val="0"/>
                <w:iCs w:val="0"/>
                <w:color w:val="auto"/>
                <w:kern w:val="0"/>
                <w:sz w:val="21"/>
                <w:szCs w:val="21"/>
                <w:u w:val="none"/>
                <w:lang w:val="en-US" w:eastAsia="zh-CN" w:bidi="ar"/>
              </w:rPr>
              <w:t>饮用水</w:t>
            </w:r>
            <w:r>
              <w:rPr>
                <w:rFonts w:hint="eastAsia" w:ascii="Times New Roman" w:hAnsi="Times New Roman" w:eastAsia="仿宋" w:cs="Times New Roman"/>
                <w:i w:val="0"/>
                <w:iCs w:val="0"/>
                <w:color w:val="auto"/>
                <w:kern w:val="0"/>
                <w:sz w:val="21"/>
                <w:szCs w:val="21"/>
                <w:u w:val="none"/>
                <w:lang w:val="en-US" w:eastAsia="zh-CN" w:bidi="ar"/>
              </w:rPr>
              <w:t>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三滩大桥和雅砻江右岸二滩大道低洼处修建径流收集系统和应急收集池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三滩村建设</w:t>
            </w:r>
            <w:r>
              <w:rPr>
                <w:rFonts w:hint="eastAsia"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座20m³/d一体化污水处理设施。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针对集中式饮用水水源保护区编制突发环境事件应急预案，做到“一源一案”，定期开展演练，同时建立突发污染事故应急处置技术方案。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4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胜利水库</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一级保护区内不得新增农户，原住农户的生活污水采用因地制宜的技术或工艺处理处置，建设沼气池式和三格化粪池式，实现粪污、污水无害化有效处理，禁止生活污水直排。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完善“村收集、镇转运、区处理”模式，实现保护区内农村生活垃圾全部集中收集并进行无害化处置。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保护区划定前已有的农业种植和经济林应逐步退出。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在饮用水源正常水位线以上5</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处设置隔离网1200</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，设立标识标牌36块。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更换保护区内破损的隔离网，其他区域种植植物形成生态隔离。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进一步完善从胜利水库至跃进水库.跨越胜利水库上游河道的G5高速公路段和国道227公路应急防护设施建设，实施桥梁隔离网、防撞栏、视频监控、减速带、桥面污水收集系统以及风险事故应急收集池建设，防止交通事故污水直接入库。完善现有道路边沟建设，定期派专人进行疏通，建设应急池，安装视频监控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在取水口、交通穿越处安装视频监控，实时掌握水质环境动态，切实提高水源地环境监管水平。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晃桥水库</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供水质量提升工程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晃桥水库大坝除险加固，供水闸门、供水设备和设施改造。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环境卫生整治、水面漂浮物打捞、围绕栏修补</w:t>
            </w:r>
            <w:r>
              <w:rPr>
                <w:rFonts w:hint="eastAsia" w:ascii="Times New Roman" w:hAnsi="Times New Roman" w:eastAsia="仿宋"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晃桥水库上游草场河水系连通及水美乡村建设项目通过实施3.5</w:t>
            </w:r>
            <w:r>
              <w:rPr>
                <w:rFonts w:hint="eastAsia" w:ascii="Times New Roman" w:hAnsi="Times New Roman" w:eastAsia="仿宋" w:cs="Times New Roman"/>
                <w:i w:val="0"/>
                <w:iCs w:val="0"/>
                <w:color w:val="auto"/>
                <w:kern w:val="0"/>
                <w:sz w:val="21"/>
                <w:szCs w:val="21"/>
                <w:u w:val="none"/>
                <w:lang w:val="en-US" w:eastAsia="zh-CN" w:bidi="ar"/>
              </w:rPr>
              <w:t>km</w:t>
            </w:r>
            <w:r>
              <w:rPr>
                <w:rFonts w:hint="default" w:ascii="Times New Roman" w:hAnsi="Times New Roman" w:eastAsia="仿宋" w:cs="Times New Roman"/>
                <w:i w:val="0"/>
                <w:iCs w:val="0"/>
                <w:color w:val="auto"/>
                <w:kern w:val="0"/>
                <w:sz w:val="21"/>
                <w:szCs w:val="21"/>
                <w:u w:val="none"/>
                <w:lang w:val="en-US" w:eastAsia="zh-CN" w:bidi="ar"/>
              </w:rPr>
              <w:t>水系连通渠系、6处河道清障、10.5</w:t>
            </w:r>
            <w:r>
              <w:rPr>
                <w:rFonts w:hint="eastAsia" w:ascii="Times New Roman" w:hAnsi="Times New Roman" w:eastAsia="仿宋" w:cs="Times New Roman"/>
                <w:i w:val="0"/>
                <w:iCs w:val="0"/>
                <w:color w:val="auto"/>
                <w:kern w:val="0"/>
                <w:sz w:val="21"/>
                <w:szCs w:val="21"/>
                <w:u w:val="none"/>
                <w:lang w:val="en-US" w:eastAsia="zh-CN" w:bidi="ar"/>
              </w:rPr>
              <w:t>km</w:t>
            </w:r>
            <w:r>
              <w:rPr>
                <w:rFonts w:hint="default" w:ascii="Times New Roman" w:hAnsi="Times New Roman" w:eastAsia="仿宋" w:cs="Times New Roman"/>
                <w:i w:val="0"/>
                <w:iCs w:val="0"/>
                <w:color w:val="auto"/>
                <w:kern w:val="0"/>
                <w:sz w:val="21"/>
                <w:szCs w:val="21"/>
                <w:u w:val="none"/>
                <w:lang w:val="en-US" w:eastAsia="zh-CN" w:bidi="ar"/>
              </w:rPr>
              <w:t>清淤疏浚、8.99</w:t>
            </w:r>
            <w:r>
              <w:rPr>
                <w:rFonts w:hint="eastAsia" w:ascii="Times New Roman" w:hAnsi="Times New Roman" w:eastAsia="仿宋" w:cs="Times New Roman"/>
                <w:i w:val="0"/>
                <w:iCs w:val="0"/>
                <w:color w:val="auto"/>
                <w:kern w:val="0"/>
                <w:sz w:val="21"/>
                <w:szCs w:val="21"/>
                <w:u w:val="none"/>
                <w:lang w:val="en-US" w:eastAsia="zh-CN" w:bidi="ar"/>
              </w:rPr>
              <w:t>km</w:t>
            </w:r>
            <w:r>
              <w:rPr>
                <w:rFonts w:hint="default" w:ascii="Times New Roman" w:hAnsi="Times New Roman" w:eastAsia="仿宋" w:cs="Times New Roman"/>
                <w:i w:val="0"/>
                <w:iCs w:val="0"/>
                <w:color w:val="auto"/>
                <w:kern w:val="0"/>
                <w:sz w:val="21"/>
                <w:szCs w:val="21"/>
                <w:u w:val="none"/>
                <w:lang w:val="en-US" w:eastAsia="zh-CN" w:bidi="ar"/>
              </w:rPr>
              <w:t>岸坡整治、34.3km²水源涵养和水土保持、1座河湖管护智慧平台等措施。解决晃桥水库上游草场河“四乱”问题，河道行洪空间内占河耕地，违建建筑构筑物堆积问题。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保护区内补充交通警示牌4个，更换污损或破损的界标、交通警示牌和宣传牌。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修订、完善米易县晃桥水库突发环境事件应急预案。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二级保护区范围采购安装无线广播系统设备共</w:t>
            </w:r>
            <w:r>
              <w:rPr>
                <w:rFonts w:hint="eastAsia" w:ascii="Times New Roman" w:hAnsi="Times New Roman" w:eastAsia="仿宋" w:cs="Times New Roman"/>
                <w:i w:val="0"/>
                <w:iCs w:val="0"/>
                <w:color w:val="auto"/>
                <w:kern w:val="0"/>
                <w:sz w:val="21"/>
                <w:szCs w:val="21"/>
                <w:u w:val="none"/>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一级保护区内居民建议逐步搬迁，二级保护区库周环库村道临库侧以内分布分散农户，严格管控生活垃圾的收集，严禁生活污水直排入库，经化粪池后还田处理，避免造成直接水体污染。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在保护区内的4个区域适当位置设置15个垃圾箱。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对于周边有农田、草地的聚居户或散户，推广“灰水回用+黑水还草”的模式，对保护区内黑水和灰水进行综合利用。建设截污沟渠和管道。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马鞍山水库上游河道入口新建2处拦渣坝，即橄榄河河道和季节性河道拦渣坝。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由于水源地保护区内存在一定农业种植，应调整传统种植方式，发展高效、集约型农业，从源头削减污染物排放。一级保护区内农业种植严格控制化肥、农药施用，并逐步退出；二级保护区内减少化肥施用量、禁用农药，使用有机肥替代传统化肥，推广安装杀虫灯、粘虫纸等生态防虫防病技术，同时，控制农田灌溉用水，在节水的同时减少漫灌造成的养分流失和农田径流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橄榄河入库口前两岸打造生态植物缓冲带，结合实际情况布设。补充水库消落带植物缓冲带。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一级保护区人类活动频繁区域建设隔离防护网，其他区域采取种植植物的生态隔离。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保护区内设置界标22个、交通警示牌8个、宣传牌8个。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针对环库道路，完善路面径流收集设施、防撞护栏等，避免事故污水直排入河，做好与马鞍山水库水体的隔离防护，推进环库道路视频监控建设。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取水口和一级保护区拐点处各安装视频监控设备1套。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保护区规范化建设完成后编制饮用水水源地突发环境事件应急预案，做到“一源一案”，定期开展演练，同时建立突发污染事故应急处置技术方案。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完善应急物资处储备足够的抽水机、吸油毡、粉末活性炭、围油栏、沙袋、临时围堰等应急物资，确保应对突发环境事件。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高堰沟水库水源地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对保护区内散落的生活垃圾进行收集、清运。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保护分区垃圾收集站房，购置垃圾箱，收集清运保护区内垃圾。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分别在居民集中的4个区域建设集中式生活污水收集处理设施，采用“预处理+厌氧生物膜池+人工湿地+尾水池+资源化利用”的模式进行治理。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对库区边界沿岸地表裸露地带进行补充灌草绿化。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拟建设隔离防护网，其他区域采取种植植物的生态隔离。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完善穿越保护区公路两侧建设交通防撞栏。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取水口和一级保护区拐点处各安装视频监控设备1套。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渔门镇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渔门镇集中式饮用水水源</w:t>
            </w:r>
            <w:r>
              <w:rPr>
                <w:rFonts w:hint="eastAsia" w:ascii="Times New Roman" w:hAnsi="Times New Roman" w:eastAsia="仿宋" w:cs="Times New Roman"/>
                <w:i w:val="0"/>
                <w:iCs w:val="0"/>
                <w:color w:val="auto"/>
                <w:sz w:val="21"/>
                <w:szCs w:val="21"/>
                <w:u w:val="none"/>
                <w:lang w:eastAsia="zh-CN"/>
              </w:rPr>
              <w:t>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补充建设分散式污水处理设施。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取水口和一级保护区拐点处各安装视频监控设备1套。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永兴镇（箐河傈僳族乡）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箐河乡象鼻子水源地（地下水）</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913" w:type="pct"/>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476" w:type="pct"/>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26"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56"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74"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913" w:type="pct"/>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永兴镇永箐堰水源地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补充建设保护区隔离网，其他区域种植植物形成生态隔离。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新九镇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新九乡大龙塘沟水源地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补充建设保护区隔离网，其他区域种植植物形成生态隔离。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完善穿越保护区公路两侧建设交通防撞栏。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惠民镇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惠民乡清香水库水源地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补充建设分散式污水处理设施。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更换保护区内破损的隔离网，其他区域采取种植植物的生态隔离。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红果彝族乡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雅砻江红果彝族乡大槽村河流型水源地饮用水水源地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补充建设分散式污水处理设施。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补充建设保护区隔离网，其他区域种植植物形成生态隔离。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建设交通防撞栏。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国胜乡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国胜乡鱼洞水源地（地下水）</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913" w:type="pct"/>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26" w:type="pct"/>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56"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74"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913" w:type="pct"/>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平地镇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跃进水库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建设一体化污水处理设施4套、人工湿地</w:t>
            </w:r>
            <w:r>
              <w:rPr>
                <w:rFonts w:hint="eastAsia" w:ascii="Times New Roman" w:hAnsi="Times New Roman" w:eastAsia="仿宋" w:cs="Times New Roman"/>
                <w:i w:val="0"/>
                <w:iCs w:val="0"/>
                <w:color w:val="auto"/>
                <w:kern w:val="0"/>
                <w:sz w:val="21"/>
                <w:szCs w:val="21"/>
                <w:u w:val="none"/>
                <w:lang w:val="en-US" w:eastAsia="zh-CN" w:bidi="ar"/>
              </w:rPr>
              <w:t>1座</w:t>
            </w:r>
            <w:r>
              <w:rPr>
                <w:rFonts w:hint="default" w:ascii="Times New Roman" w:hAnsi="Times New Roman" w:eastAsia="仿宋" w:cs="Times New Roman"/>
                <w:i w:val="0"/>
                <w:iCs w:val="0"/>
                <w:color w:val="auto"/>
                <w:kern w:val="0"/>
                <w:sz w:val="21"/>
                <w:szCs w:val="21"/>
                <w:u w:val="none"/>
                <w:lang w:val="en-US" w:eastAsia="zh-CN" w:bidi="ar"/>
              </w:rPr>
              <w:t>，以及收集管网等附属设施。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一级保护区内不得新增农户，原住农户的生活污水采用因地制宜的技术或工艺处理处置，建设沼气池式和三格化粪池式，实现粪污、污水无害化有效处理，禁止生活污水直排。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完善“村收集、镇转运、区处理”模式，实现保护区内农村生活垃圾全部集中收集并进行无害化处置。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在饮用水源正常水位线以上5</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处设置隔离网1084m，设立标识标牌35块。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更换保护区内破损的隔离网，其他区域采取种植植物的生态隔离。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进一步完善跃进水库饮用水水源保护区内道路交通穿越路段应急防护设施建设，实施桥梁隔离网、防撞栏、视频监控、减速带、桥面污水收集系统以及风险事故应急收集池建设，防止交通事故污水直接入库。完善现有道路边沟建设，定期派专人进行疏通，G5高速、国道227、绕坝公路涵洞入河处建设不小于20m³的应急池，在绕坝公路主坝和副坝段、G5高速、国道227跨河桥梁段增设减速带，安装视频监控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取水口和一级保护区拐点处各安装视频监控设备1套。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同德镇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双河水库集中式饮用水水源地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建设一体化污水处理设施1套，以及收集管网等附属设施。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一级保护区内不得新增农户，原住农户的生活污水采用因地制宜的技术或工艺处理处置，建设沼气池式和三格化粪池式，实现粪污、污水无害化有效处理，禁止生活污水直排。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完善“村收集、镇转运、区处理”模式，实现保护区内农村生活垃圾全部集中收集并进行无害化处置。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在饮用水源正常水位线以上5</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处设置隔离网500m，设立标识标牌29块。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更换保护区内破损隔离网，其他区域采取种植植物的生态隔离。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穿越公路两侧建设防撞栏和事故应急池。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布德镇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占田水库集中式饮用水水源地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建设一体化污水处理设施1套，以及收集管网等附属设施。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一级保护区内不得新增农户，原住农户的生活污水采用因地制宜的技术或工艺处理处置，建设沼气池式和三格化粪池式，实现粪污、污水无害化有效处理，禁止生活污水直排。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完善“村收集、镇转运、区处理”模式，实现保护区内农村生活垃圾全部集中收集并进行无害化处置。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在饮用水源正常水位线以上5</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处设置隔离网1383m，设立标识标牌6块。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auto" w:sz="4" w:space="0"/>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更换保护区内破损隔离网，其他区域采取种植植物的生态隔离。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穿越公路两侧建设防撞栏和事故应急池。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务本乡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务本乡山楂堡水源地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设立标识标牌5块。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更换保护区内破损的隔离网，其他区域种植植物形成生态隔离。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中坝乡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小纸房水库</w:t>
            </w:r>
            <w:r>
              <w:rPr>
                <w:rFonts w:hint="eastAsia" w:ascii="Times New Roman" w:hAnsi="Times New Roman" w:eastAsia="仿宋" w:cs="Times New Roman"/>
                <w:i w:val="0"/>
                <w:iCs w:val="0"/>
                <w:color w:val="auto"/>
                <w:kern w:val="0"/>
                <w:sz w:val="21"/>
                <w:szCs w:val="21"/>
                <w:u w:val="none"/>
                <w:lang w:val="en-US" w:eastAsia="zh-CN" w:bidi="ar"/>
              </w:rPr>
              <w:t>集中式饮用水水源地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建设一体化污水处理设施1套，以及收集管网等附属设施。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一级保护区内不得新增农户，原住农户的生活污水采用因地制宜的技术或工艺处理处置，建设沼气池式和三格化粪池式，实现粪污、污水无害化有效处理，禁止生活污水直排。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完善“村收集、镇转运、区处理”模式，实现保护区内农村生活垃圾全部集中收集并进行无害化处置。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在饮用水源正常水位线以上5</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处设置隔离网1500m，设立标识标牌11块。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更换保护区内破损的隔离网，其他区域种植植物形成生态隔离。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穿越公路两侧建设防撞栏和事故应急池。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丙谷镇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安宁河丙谷镇芭蕉箐村水库型水源地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湖库型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补充建设隔离防护网。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补充建设交通防撞栏。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垭口镇马坪村</w:t>
            </w:r>
            <w:r>
              <w:rPr>
                <w:rFonts w:hint="eastAsia" w:ascii="Times New Roman" w:hAnsi="Times New Roman" w:eastAsia="仿宋" w:cs="Times New Roman"/>
                <w:i w:val="0"/>
                <w:iCs w:val="0"/>
                <w:color w:val="auto"/>
                <w:sz w:val="21"/>
                <w:szCs w:val="21"/>
                <w:u w:val="none"/>
                <w:lang w:eastAsia="zh-CN"/>
              </w:rPr>
              <w:t>五社潘家湾</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补充建设隔离防护网。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撒莲镇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撒莲镇龙洞河水源地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白马镇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黄草村</w:t>
            </w:r>
            <w:r>
              <w:rPr>
                <w:rFonts w:hint="eastAsia" w:ascii="Times New Roman" w:hAnsi="Times New Roman" w:eastAsia="仿宋" w:cs="Times New Roman"/>
                <w:i w:val="0"/>
                <w:iCs w:val="0"/>
                <w:color w:val="auto"/>
                <w:kern w:val="0"/>
                <w:sz w:val="21"/>
                <w:szCs w:val="21"/>
                <w:u w:val="none"/>
                <w:lang w:val="en-US" w:eastAsia="zh-CN" w:bidi="ar"/>
              </w:rPr>
              <w:t>黑神庙河沟</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修筑沉淀池</w:t>
            </w:r>
            <w:r>
              <w:rPr>
                <w:rFonts w:hint="eastAsia" w:ascii="Times New Roman" w:hAnsi="Times New Roman" w:eastAsia="仿宋" w:cs="Times New Roman"/>
                <w:i w:val="0"/>
                <w:iCs w:val="0"/>
                <w:color w:val="auto"/>
                <w:kern w:val="0"/>
                <w:sz w:val="21"/>
                <w:szCs w:val="21"/>
                <w:u w:val="none"/>
                <w:lang w:val="en-US" w:eastAsia="zh-CN" w:bidi="ar"/>
              </w:rPr>
              <w:t>2</w:t>
            </w:r>
            <w:r>
              <w:rPr>
                <w:rFonts w:hint="default" w:ascii="Times New Roman" w:hAnsi="Times New Roman" w:eastAsia="仿宋" w:cs="Times New Roman"/>
                <w:i w:val="0"/>
                <w:iCs w:val="0"/>
                <w:color w:val="auto"/>
                <w:kern w:val="0"/>
                <w:sz w:val="21"/>
                <w:szCs w:val="21"/>
                <w:u w:val="none"/>
                <w:lang w:val="en-US" w:eastAsia="zh-CN" w:bidi="ar"/>
              </w:rPr>
              <w:t>个，饮水沟</w:t>
            </w:r>
            <w:r>
              <w:rPr>
                <w:rFonts w:hint="eastAsia"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条，拦水坝</w:t>
            </w:r>
            <w:r>
              <w:rPr>
                <w:rFonts w:hint="eastAsia"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补充建设隔离防护网。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补充建设隔离防护网30m。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建设界标2个。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普威镇</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普威镇溶洞</w:t>
            </w:r>
            <w:r>
              <w:rPr>
                <w:rFonts w:hint="eastAsia" w:ascii="Times New Roman" w:hAnsi="Times New Roman" w:eastAsia="仿宋" w:cs="Times New Roman"/>
                <w:i w:val="0"/>
                <w:iCs w:val="0"/>
                <w:color w:val="auto"/>
                <w:sz w:val="21"/>
                <w:szCs w:val="21"/>
                <w:u w:val="none"/>
                <w:lang w:eastAsia="zh-CN"/>
              </w:rPr>
              <w:t>河</w:t>
            </w:r>
            <w:r>
              <w:rPr>
                <w:rFonts w:hint="default" w:ascii="Times New Roman" w:hAnsi="Times New Roman" w:eastAsia="仿宋" w:cs="Times New Roman"/>
                <w:i w:val="0"/>
                <w:iCs w:val="0"/>
                <w:color w:val="auto"/>
                <w:sz w:val="21"/>
                <w:szCs w:val="21"/>
                <w:u w:val="none"/>
              </w:rPr>
              <w:t>水源地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湾丘乡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i w:val="0"/>
                <w:iCs w:val="0"/>
                <w:color w:val="auto"/>
                <w:sz w:val="21"/>
                <w:szCs w:val="21"/>
                <w:u w:val="none"/>
                <w:lang w:eastAsia="zh-CN"/>
              </w:rPr>
            </w:pPr>
            <w:r>
              <w:rPr>
                <w:rFonts w:hint="eastAsia" w:ascii="Times New Roman" w:hAnsi="Times New Roman" w:eastAsia="仿宋" w:cs="Times New Roman"/>
                <w:i w:val="0"/>
                <w:iCs w:val="0"/>
                <w:color w:val="auto"/>
                <w:sz w:val="21"/>
                <w:szCs w:val="21"/>
                <w:u w:val="none"/>
                <w:lang w:eastAsia="zh-CN"/>
              </w:rPr>
              <w:t>五七水厂取水点</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地下水型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4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新山乡</w:t>
            </w:r>
          </w:p>
        </w:tc>
        <w:tc>
          <w:tcPr>
            <w:tcW w:w="45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新山傈僳族乡马鹿塘河沟</w:t>
            </w:r>
            <w:r>
              <w:rPr>
                <w:rFonts w:hint="eastAsia" w:ascii="Times New Roman" w:hAnsi="Times New Roman" w:eastAsia="仿宋" w:cs="Times New Roman"/>
                <w:i w:val="0"/>
                <w:iCs w:val="0"/>
                <w:color w:val="auto"/>
                <w:kern w:val="0"/>
                <w:sz w:val="21"/>
                <w:szCs w:val="21"/>
                <w:u w:val="none"/>
                <w:lang w:val="en-US" w:eastAsia="zh-CN" w:bidi="ar"/>
              </w:rPr>
              <w:t>集中式饮用水水</w:t>
            </w:r>
            <w:r>
              <w:rPr>
                <w:rFonts w:hint="default" w:ascii="Times New Roman" w:hAnsi="Times New Roman" w:eastAsia="仿宋" w:cs="Times New Roman"/>
                <w:i w:val="0"/>
                <w:iCs w:val="0"/>
                <w:color w:val="auto"/>
                <w:kern w:val="0"/>
                <w:sz w:val="21"/>
                <w:szCs w:val="21"/>
                <w:u w:val="none"/>
                <w:lang w:val="en-US" w:eastAsia="zh-CN" w:bidi="ar"/>
              </w:rPr>
              <w:t>源地</w:t>
            </w:r>
          </w:p>
        </w:tc>
        <w:tc>
          <w:tcPr>
            <w:tcW w:w="4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河流型</w:t>
            </w:r>
          </w:p>
        </w:tc>
        <w:tc>
          <w:tcPr>
            <w:tcW w:w="9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建设32m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水池、沉砂池和50m</w:t>
            </w:r>
            <w:r>
              <w:rPr>
                <w:rFonts w:hint="default" w:ascii="Times New Roman" w:hAnsi="Times New Roman" w:eastAsia="仿宋" w:cs="Times New Roman"/>
                <w:i w:val="0"/>
                <w:iCs w:val="0"/>
                <w:color w:val="auto"/>
                <w:kern w:val="0"/>
                <w:sz w:val="21"/>
                <w:szCs w:val="21"/>
                <w:u w:val="none"/>
                <w:vertAlign w:val="superscript"/>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的蓄水池。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建设防护网200m。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建设标识标牌3个。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补充建设隔离防护网。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5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仿宋" w:cs="Times New Roman"/>
                <w:i w:val="0"/>
                <w:iCs w:val="0"/>
                <w:color w:val="auto"/>
                <w:sz w:val="21"/>
                <w:szCs w:val="21"/>
                <w:u w:val="none"/>
              </w:rPr>
            </w:pPr>
          </w:p>
        </w:tc>
        <w:tc>
          <w:tcPr>
            <w:tcW w:w="22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仿宋" w:cs="Times New Roman"/>
                <w:i w:val="0"/>
                <w:iCs w:val="0"/>
                <w:color w:val="auto"/>
                <w:kern w:val="0"/>
                <w:sz w:val="21"/>
                <w:szCs w:val="21"/>
                <w:u w:val="none"/>
                <w:lang w:val="en-US" w:eastAsia="zh-CN" w:bidi="ar"/>
              </w:rPr>
            </w:pPr>
            <w:bookmarkStart w:id="95" w:name="_Toc8102"/>
            <w:r>
              <w:rPr>
                <w:rFonts w:hint="default" w:ascii="Times New Roman" w:hAnsi="Times New Roman" w:eastAsia="仿宋" w:cs="Times New Roman"/>
                <w:i w:val="0"/>
                <w:iCs w:val="0"/>
                <w:color w:val="auto"/>
                <w:kern w:val="0"/>
                <w:sz w:val="21"/>
                <w:szCs w:val="21"/>
                <w:u w:val="none"/>
                <w:lang w:val="en-US" w:eastAsia="zh-CN" w:bidi="ar"/>
              </w:rPr>
              <w:t>*注：在规划内变更或取消的集中式饮用水水源地规划建设内容也取消。</w:t>
            </w:r>
          </w:p>
        </w:tc>
      </w:tr>
    </w:tbl>
    <w:p>
      <w:pPr>
        <w:spacing w:line="600" w:lineRule="exact"/>
        <w:outlineLvl w:val="0"/>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pStyle w:val="2"/>
        <w:rPr>
          <w:rFonts w:hint="default" w:ascii="Times New Roman" w:hAnsi="Times New Roman" w:eastAsia="楷体_GB2312" w:cs="Times New Roman"/>
          <w:b w:val="0"/>
          <w:bCs/>
          <w:color w:val="auto"/>
          <w:sz w:val="32"/>
          <w:szCs w:val="32"/>
          <w:lang w:eastAsia="zh-CN"/>
        </w:rPr>
      </w:pPr>
    </w:p>
    <w:p>
      <w:pPr>
        <w:spacing w:line="600" w:lineRule="exact"/>
        <w:outlineLvl w:val="0"/>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楷体_GB2312" w:cs="Times New Roman"/>
          <w:b w:val="0"/>
          <w:bCs/>
          <w:color w:val="auto"/>
          <w:sz w:val="32"/>
          <w:szCs w:val="32"/>
          <w:lang w:eastAsia="zh-CN"/>
        </w:rPr>
        <w:t>附表</w:t>
      </w:r>
      <w:r>
        <w:rPr>
          <w:rFonts w:hint="default" w:ascii="Times New Roman" w:hAnsi="Times New Roman" w:eastAsia="楷体_GB2312" w:cs="Times New Roman"/>
          <w:b w:val="0"/>
          <w:bCs/>
          <w:color w:val="auto"/>
          <w:sz w:val="32"/>
          <w:szCs w:val="32"/>
          <w:lang w:val="en-US" w:eastAsia="zh-CN"/>
        </w:rPr>
        <w:t>7  规划项目表</w:t>
      </w:r>
      <w:bookmarkEnd w:id="95"/>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1472"/>
        <w:gridCol w:w="899"/>
        <w:gridCol w:w="1469"/>
        <w:gridCol w:w="4089"/>
        <w:gridCol w:w="1405"/>
        <w:gridCol w:w="1342"/>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trPr>
        <w:tc>
          <w:tcPr>
            <w:tcW w:w="205"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539"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项目名称</w:t>
            </w:r>
          </w:p>
        </w:tc>
        <w:tc>
          <w:tcPr>
            <w:tcW w:w="329"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位置</w:t>
            </w:r>
          </w:p>
        </w:tc>
        <w:tc>
          <w:tcPr>
            <w:tcW w:w="537"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项目类别</w:t>
            </w:r>
          </w:p>
        </w:tc>
        <w:tc>
          <w:tcPr>
            <w:tcW w:w="1498"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建设内容与规模</w:t>
            </w:r>
          </w:p>
        </w:tc>
        <w:tc>
          <w:tcPr>
            <w:tcW w:w="514"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总投资金额（万元）</w:t>
            </w:r>
          </w:p>
        </w:tc>
        <w:tc>
          <w:tcPr>
            <w:tcW w:w="491" w:type="pct"/>
            <w:tcBorders>
              <w:top w:val="single" w:color="000000" w:sz="4" w:space="0"/>
              <w:left w:val="single" w:color="000000" w:sz="4" w:space="0"/>
              <w:bottom w:val="single" w:color="000000" w:sz="4" w:space="0"/>
              <w:right w:val="nil"/>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建成时间</w:t>
            </w:r>
          </w:p>
        </w:tc>
        <w:tc>
          <w:tcPr>
            <w:tcW w:w="883"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责任单位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攀枝花市中心城区应急备用水源跨区域联网供水工程</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应急能力建设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在</w:t>
            </w:r>
            <w:r>
              <w:rPr>
                <w:rFonts w:hint="default" w:ascii="Times New Roman" w:hAnsi="Times New Roman" w:eastAsia="仿宋" w:cs="Times New Roman"/>
                <w:i w:val="0"/>
                <w:iCs w:val="0"/>
                <w:color w:val="auto"/>
                <w:sz w:val="21"/>
                <w:szCs w:val="21"/>
                <w:u w:val="none"/>
              </w:rPr>
              <w:t>二滩水电站大坝下游6.7km处，</w:t>
            </w:r>
            <w:r>
              <w:rPr>
                <w:rFonts w:hint="default" w:ascii="Times New Roman" w:hAnsi="Times New Roman" w:eastAsia="仿宋" w:cs="Times New Roman"/>
                <w:i w:val="0"/>
                <w:iCs w:val="0"/>
                <w:color w:val="auto"/>
                <w:sz w:val="21"/>
                <w:szCs w:val="21"/>
                <w:u w:val="none"/>
                <w:lang w:val="en-US" w:eastAsia="zh-CN"/>
              </w:rPr>
              <w:t>建设</w:t>
            </w:r>
            <w:r>
              <w:rPr>
                <w:rFonts w:hint="eastAsia" w:ascii="Times New Roman" w:hAnsi="Times New Roman" w:eastAsia="仿宋" w:cs="Times New Roman"/>
                <w:i w:val="0"/>
                <w:iCs w:val="0"/>
                <w:color w:val="auto"/>
                <w:sz w:val="21"/>
                <w:szCs w:val="21"/>
                <w:u w:val="none"/>
                <w:lang w:val="en-US" w:eastAsia="zh-CN"/>
              </w:rPr>
              <w:t>1</w:t>
            </w:r>
            <w:r>
              <w:rPr>
                <w:rFonts w:hint="default" w:ascii="Times New Roman" w:hAnsi="Times New Roman" w:eastAsia="仿宋" w:cs="Times New Roman"/>
                <w:i w:val="0"/>
                <w:iCs w:val="0"/>
                <w:color w:val="auto"/>
                <w:sz w:val="21"/>
                <w:szCs w:val="21"/>
                <w:u w:val="none"/>
                <w:lang w:val="en-US" w:eastAsia="zh-CN"/>
              </w:rPr>
              <w:t>座</w:t>
            </w:r>
            <w:r>
              <w:rPr>
                <w:rFonts w:hint="default" w:ascii="Times New Roman" w:hAnsi="Times New Roman" w:eastAsia="仿宋" w:cs="Times New Roman"/>
                <w:i w:val="0"/>
                <w:iCs w:val="0"/>
                <w:color w:val="auto"/>
                <w:sz w:val="21"/>
                <w:szCs w:val="21"/>
                <w:u w:val="none"/>
              </w:rPr>
              <w:t>深井式取水泵站</w:t>
            </w:r>
            <w:r>
              <w:rPr>
                <w:rFonts w:hint="default" w:ascii="Times New Roman" w:hAnsi="Times New Roman" w:eastAsia="仿宋" w:cs="Times New Roman"/>
                <w:i w:val="0"/>
                <w:iCs w:val="0"/>
                <w:color w:val="auto"/>
                <w:sz w:val="21"/>
                <w:szCs w:val="21"/>
                <w:u w:val="none"/>
                <w:lang w:eastAsia="zh-CN"/>
              </w:rPr>
              <w:t>，</w:t>
            </w:r>
            <w:r>
              <w:rPr>
                <w:rFonts w:hint="default" w:ascii="Times New Roman" w:hAnsi="Times New Roman" w:eastAsia="仿宋" w:cs="Times New Roman"/>
                <w:i w:val="0"/>
                <w:iCs w:val="0"/>
                <w:color w:val="auto"/>
                <w:sz w:val="21"/>
                <w:szCs w:val="21"/>
                <w:u w:val="none"/>
                <w:lang w:val="en-US" w:eastAsia="zh-CN"/>
              </w:rPr>
              <w:t>取水规模为约</w:t>
            </w:r>
            <w:r>
              <w:rPr>
                <w:rFonts w:hint="default" w:ascii="Times New Roman" w:hAnsi="Times New Roman" w:eastAsia="仿宋" w:cs="Times New Roman"/>
                <w:i w:val="0"/>
                <w:iCs w:val="0"/>
                <w:color w:val="auto"/>
                <w:sz w:val="21"/>
                <w:szCs w:val="21"/>
                <w:u w:val="none"/>
              </w:rPr>
              <w:t>8万m</w:t>
            </w:r>
            <w:r>
              <w:rPr>
                <w:rFonts w:hint="default" w:ascii="Times New Roman" w:hAnsi="Times New Roman" w:eastAsia="仿宋" w:cs="Times New Roman"/>
                <w:i w:val="0"/>
                <w:iCs w:val="0"/>
                <w:color w:val="auto"/>
                <w:sz w:val="21"/>
                <w:szCs w:val="21"/>
                <w:u w:val="none"/>
                <w:lang w:val="en-US" w:eastAsia="zh-CN"/>
              </w:rPr>
              <w:t>³</w:t>
            </w:r>
            <w:r>
              <w:rPr>
                <w:rFonts w:hint="default" w:ascii="Times New Roman" w:hAnsi="Times New Roman" w:eastAsia="仿宋" w:cs="Times New Roman"/>
                <w:i w:val="0"/>
                <w:iCs w:val="0"/>
                <w:color w:val="auto"/>
                <w:sz w:val="21"/>
                <w:szCs w:val="21"/>
                <w:u w:val="none"/>
              </w:rPr>
              <w:t>/d</w:t>
            </w:r>
            <w:r>
              <w:rPr>
                <w:rFonts w:hint="default" w:ascii="Times New Roman" w:hAnsi="Times New Roman" w:eastAsia="仿宋" w:cs="Times New Roman"/>
                <w:i w:val="0"/>
                <w:iCs w:val="0"/>
                <w:color w:val="auto"/>
                <w:sz w:val="21"/>
                <w:szCs w:val="21"/>
                <w:u w:val="none"/>
                <w:lang w:eastAsia="zh-CN"/>
              </w:rPr>
              <w:t>，</w:t>
            </w:r>
            <w:r>
              <w:rPr>
                <w:rFonts w:hint="default" w:ascii="Times New Roman" w:hAnsi="Times New Roman" w:eastAsia="仿宋" w:cs="Times New Roman"/>
                <w:i w:val="0"/>
                <w:iCs w:val="0"/>
                <w:color w:val="auto"/>
                <w:sz w:val="21"/>
                <w:szCs w:val="21"/>
                <w:u w:val="none"/>
              </w:rPr>
              <w:t>取水泵站内底标高1000.00m左右，管道从</w:t>
            </w:r>
            <w:r>
              <w:rPr>
                <w:rFonts w:hint="default" w:ascii="Times New Roman" w:hAnsi="Times New Roman" w:eastAsia="仿宋" w:cs="Times New Roman"/>
                <w:i w:val="0"/>
                <w:iCs w:val="0"/>
                <w:color w:val="auto"/>
                <w:sz w:val="21"/>
                <w:szCs w:val="21"/>
                <w:u w:val="none"/>
                <w:lang w:val="en-US" w:eastAsia="zh-CN"/>
              </w:rPr>
              <w:t>水</w:t>
            </w:r>
            <w:r>
              <w:rPr>
                <w:rFonts w:hint="default" w:ascii="Times New Roman" w:hAnsi="Times New Roman" w:eastAsia="仿宋" w:cs="Times New Roman"/>
                <w:i w:val="0"/>
                <w:iCs w:val="0"/>
                <w:color w:val="auto"/>
                <w:sz w:val="21"/>
                <w:szCs w:val="21"/>
                <w:u w:val="none"/>
              </w:rPr>
              <w:t>源地至雅砻江、金沙江交接处与观音岩原水管道相连，送水管采用1根DN1000（D1020×14）焊接钢管，管道全长约40km。</w:t>
            </w:r>
          </w:p>
        </w:tc>
        <w:tc>
          <w:tcPr>
            <w:tcW w:w="514"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35000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市人民政府、市住房</w:t>
            </w:r>
            <w:r>
              <w:rPr>
                <w:rFonts w:hint="eastAsia" w:ascii="Times New Roman" w:hAnsi="Times New Roman" w:eastAsia="仿宋" w:cs="Times New Roman"/>
                <w:i w:val="0"/>
                <w:iCs w:val="0"/>
                <w:color w:val="auto"/>
                <w:kern w:val="0"/>
                <w:sz w:val="21"/>
                <w:szCs w:val="21"/>
                <w:u w:val="none"/>
                <w:lang w:val="en-US" w:eastAsia="zh-CN" w:bidi="ar"/>
              </w:rPr>
              <w:t>和</w:t>
            </w:r>
            <w:r>
              <w:rPr>
                <w:rFonts w:hint="default" w:ascii="Times New Roman" w:hAnsi="Times New Roman" w:eastAsia="仿宋" w:cs="Times New Roman"/>
                <w:i w:val="0"/>
                <w:iCs w:val="0"/>
                <w:color w:val="auto"/>
                <w:kern w:val="0"/>
                <w:sz w:val="21"/>
                <w:szCs w:val="21"/>
                <w:u w:val="none"/>
                <w:lang w:val="en-US" w:eastAsia="zh-CN" w:bidi="ar"/>
              </w:rPr>
              <w:t>城乡建设局、市财政局、市生态环境局、盐边县人民政府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05"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w:t>
            </w:r>
          </w:p>
        </w:tc>
        <w:tc>
          <w:tcPr>
            <w:tcW w:w="539"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观音岩水库集中饮用水水源地规范化建设项目</w:t>
            </w:r>
          </w:p>
        </w:tc>
        <w:tc>
          <w:tcPr>
            <w:tcW w:w="329"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537"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1498"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建设一、二级保护区隔离防护网2100</w:t>
            </w:r>
            <w:r>
              <w:rPr>
                <w:rFonts w:hint="eastAsia" w:ascii="Times New Roman" w:hAnsi="Times New Roman" w:eastAsia="仿宋" w:cs="Times New Roman"/>
                <w:i w:val="0"/>
                <w:iCs w:val="0"/>
                <w:color w:val="auto"/>
                <w:kern w:val="0"/>
                <w:sz w:val="21"/>
                <w:szCs w:val="21"/>
                <w:u w:val="none"/>
                <w:lang w:val="en-US" w:eastAsia="zh-CN" w:bidi="ar"/>
              </w:rPr>
              <w:t>m</w:t>
            </w:r>
            <w:r>
              <w:rPr>
                <w:rFonts w:hint="default" w:ascii="Times New Roman" w:hAnsi="Times New Roman" w:eastAsia="仿宋" w:cs="Times New Roman"/>
                <w:i w:val="0"/>
                <w:iCs w:val="0"/>
                <w:color w:val="auto"/>
                <w:kern w:val="0"/>
                <w:sz w:val="21"/>
                <w:szCs w:val="21"/>
                <w:u w:val="none"/>
                <w:lang w:val="en-US" w:eastAsia="zh-CN" w:bidi="ar"/>
              </w:rPr>
              <w:t>，平整路基10185</w:t>
            </w:r>
            <w:r>
              <w:rPr>
                <w:rFonts w:hint="eastAsia" w:ascii="Times New Roman" w:hAnsi="Times New Roman" w:eastAsia="仿宋" w:cs="Times New Roman"/>
                <w:i w:val="0"/>
                <w:iCs w:val="0"/>
                <w:color w:val="auto"/>
                <w:kern w:val="0"/>
                <w:sz w:val="21"/>
                <w:szCs w:val="21"/>
                <w:u w:val="none"/>
                <w:lang w:val="en-US" w:eastAsia="zh-CN" w:bidi="ar"/>
              </w:rPr>
              <w:t>m²</w:t>
            </w:r>
            <w:r>
              <w:rPr>
                <w:rFonts w:hint="default" w:ascii="Times New Roman" w:hAnsi="Times New Roman" w:eastAsia="仿宋" w:cs="Times New Roman"/>
                <w:i w:val="0"/>
                <w:iCs w:val="0"/>
                <w:color w:val="auto"/>
                <w:kern w:val="0"/>
                <w:sz w:val="21"/>
                <w:szCs w:val="21"/>
                <w:u w:val="none"/>
                <w:lang w:val="en-US" w:eastAsia="zh-CN" w:bidi="ar"/>
              </w:rPr>
              <w:t>，建设标识标牌25块。</w:t>
            </w:r>
          </w:p>
        </w:tc>
        <w:tc>
          <w:tcPr>
            <w:tcW w:w="514" w:type="pct"/>
            <w:vMerge w:val="restart"/>
            <w:tcBorders>
              <w:top w:val="single" w:color="auto" w:sz="4" w:space="0"/>
              <w:left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173</w:t>
            </w:r>
          </w:p>
        </w:tc>
        <w:tc>
          <w:tcPr>
            <w:tcW w:w="491" w:type="pct"/>
            <w:tcBorders>
              <w:top w:val="single" w:color="000000" w:sz="4" w:space="0"/>
              <w:left w:val="single" w:color="auto"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市人民政府、市生态环境局、市住房</w:t>
            </w:r>
            <w:r>
              <w:rPr>
                <w:rFonts w:hint="eastAsia" w:ascii="Times New Roman" w:hAnsi="Times New Roman" w:eastAsia="仿宋" w:cs="Times New Roman"/>
                <w:i w:val="0"/>
                <w:iCs w:val="0"/>
                <w:color w:val="auto"/>
                <w:kern w:val="0"/>
                <w:sz w:val="21"/>
                <w:szCs w:val="21"/>
                <w:u w:val="none"/>
                <w:lang w:val="en-US" w:eastAsia="zh-CN" w:bidi="ar"/>
              </w:rPr>
              <w:t>和</w:t>
            </w:r>
            <w:r>
              <w:rPr>
                <w:rFonts w:hint="default" w:ascii="Times New Roman" w:hAnsi="Times New Roman" w:eastAsia="仿宋" w:cs="Times New Roman"/>
                <w:i w:val="0"/>
                <w:iCs w:val="0"/>
                <w:color w:val="auto"/>
                <w:kern w:val="0"/>
                <w:sz w:val="21"/>
                <w:szCs w:val="21"/>
                <w:u w:val="none"/>
                <w:lang w:val="en-US" w:eastAsia="zh-CN" w:bidi="ar"/>
              </w:rPr>
              <w:t>城乡建设局、市交通运输局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1498"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两格式化粪池19</w:t>
            </w:r>
            <w:r>
              <w:rPr>
                <w:rFonts w:hint="eastAsia" w:ascii="Times New Roman" w:hAnsi="Times New Roman" w:eastAsia="仿宋" w:cs="Times New Roman"/>
                <w:i w:val="0"/>
                <w:iCs w:val="0"/>
                <w:color w:val="auto"/>
                <w:kern w:val="0"/>
                <w:sz w:val="21"/>
                <w:szCs w:val="21"/>
                <w:u w:val="none"/>
                <w:lang w:val="en-US" w:eastAsia="zh-CN" w:bidi="ar"/>
              </w:rPr>
              <w:t>座</w:t>
            </w:r>
            <w:r>
              <w:rPr>
                <w:rFonts w:hint="default" w:ascii="Times New Roman" w:hAnsi="Times New Roman" w:eastAsia="仿宋" w:cs="Times New Roman"/>
                <w:i w:val="0"/>
                <w:iCs w:val="0"/>
                <w:color w:val="auto"/>
                <w:kern w:val="0"/>
                <w:sz w:val="21"/>
                <w:szCs w:val="21"/>
                <w:u w:val="none"/>
                <w:lang w:val="en-US" w:eastAsia="zh-CN" w:bidi="ar"/>
              </w:rPr>
              <w:t>，垃圾箱和垃圾桶43个，太阳能防虫灯60个等。</w:t>
            </w:r>
          </w:p>
        </w:tc>
        <w:tc>
          <w:tcPr>
            <w:tcW w:w="514" w:type="pct"/>
            <w:vMerge w:val="continue"/>
            <w:tcBorders>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491" w:type="pct"/>
            <w:tcBorders>
              <w:top w:val="single" w:color="000000" w:sz="4" w:space="0"/>
              <w:left w:val="single" w:color="auto"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市人民政府、市生态环境局、市</w:t>
            </w:r>
            <w:r>
              <w:rPr>
                <w:rFonts w:hint="eastAsia" w:ascii="Times New Roman" w:hAnsi="Times New Roman" w:eastAsia="仿宋" w:cs="Times New Roman"/>
                <w:i w:val="0"/>
                <w:iCs w:val="0"/>
                <w:color w:val="auto"/>
                <w:kern w:val="0"/>
                <w:sz w:val="21"/>
                <w:szCs w:val="21"/>
                <w:u w:val="none"/>
                <w:lang w:val="en-US" w:eastAsia="zh-CN" w:bidi="ar"/>
              </w:rPr>
              <w:t>城市管理执法局</w:t>
            </w:r>
            <w:r>
              <w:rPr>
                <w:rFonts w:hint="default" w:ascii="Times New Roman" w:hAnsi="Times New Roman" w:eastAsia="仿宋" w:cs="Times New Roman"/>
                <w:i w:val="0"/>
                <w:iCs w:val="0"/>
                <w:color w:val="auto"/>
                <w:kern w:val="0"/>
                <w:sz w:val="21"/>
                <w:szCs w:val="21"/>
                <w:u w:val="none"/>
                <w:lang w:val="en-US" w:eastAsia="zh-CN" w:bidi="ar"/>
              </w:rPr>
              <w:t>、市农业农村局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tabs>
                <w:tab w:val="left" w:pos="553"/>
              </w:tabs>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1498"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建设水质预警监测站，可监测包含总磷、总氮和生物毒性等23项指标。</w:t>
            </w:r>
          </w:p>
        </w:tc>
        <w:tc>
          <w:tcPr>
            <w:tcW w:w="514" w:type="pct"/>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523</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建设取水口和一、二级保护区视频监控系统，共设置15个视频监控设备，可实现24小时数据与省生态环境厅和市生态环境局联网。</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56.8</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5"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购置了吸油毡和活性炭等应急物资储备。</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50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攀枝花市饮用水水源保护区视频监控系统</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537"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建设饮用水水源保护区视频监控系统，安装视频监控19个监控探头。</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156.4015</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205"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4</w:t>
            </w:r>
          </w:p>
        </w:tc>
        <w:tc>
          <w:tcPr>
            <w:tcW w:w="539"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攀枝花市</w:t>
            </w: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观音岩水库集中饮用水水源地规范化建设设施维护项目</w:t>
            </w:r>
          </w:p>
        </w:tc>
        <w:tc>
          <w:tcPr>
            <w:tcW w:w="329"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更换老旧破损的界标、交通警示牌和宣传牌。</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205"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市人民政府、市生态环境局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205"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5</w:t>
            </w:r>
          </w:p>
        </w:tc>
        <w:tc>
          <w:tcPr>
            <w:tcW w:w="53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盐边县应急备用水源跨区域联网供水工程</w:t>
            </w:r>
          </w:p>
        </w:tc>
        <w:tc>
          <w:tcPr>
            <w:tcW w:w="32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537"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应急能力建设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在攀枝花市中心城区应急备用水源跨区域联网供水工程基础上，在盐边县供水管网跨江位置建设一座泵站，将盐边供水管网与观音岩</w:t>
            </w:r>
            <w:r>
              <w:rPr>
                <w:rFonts w:hint="default" w:ascii="Times New Roman" w:hAnsi="Times New Roman" w:eastAsia="仿宋" w:cs="Times New Roman"/>
                <w:i w:val="0"/>
                <w:iCs w:val="0"/>
                <w:color w:val="auto"/>
                <w:sz w:val="21"/>
                <w:szCs w:val="21"/>
                <w:u w:val="none"/>
              </w:rPr>
              <w:t>原水管道相连</w:t>
            </w:r>
            <w:r>
              <w:rPr>
                <w:rFonts w:hint="default" w:ascii="Times New Roman" w:hAnsi="Times New Roman" w:eastAsia="仿宋" w:cs="Times New Roman"/>
                <w:i w:val="0"/>
                <w:iCs w:val="0"/>
                <w:color w:val="auto"/>
                <w:sz w:val="21"/>
                <w:szCs w:val="21"/>
                <w:u w:val="none"/>
                <w:lang w:val="en-US" w:eastAsia="zh-CN"/>
              </w:rPr>
              <w:t>。</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盐边县人民政府、盐边县住房和城乡建设局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205"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6</w:t>
            </w:r>
          </w:p>
        </w:tc>
        <w:tc>
          <w:tcPr>
            <w:tcW w:w="53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攀枝花市盐边县沙坝水库工程及二滩南部片区供水工程</w:t>
            </w:r>
          </w:p>
        </w:tc>
        <w:tc>
          <w:tcPr>
            <w:tcW w:w="32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537"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应急能力建设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沙坝水库工程：在盐边县红果彝族乡红果村建设沙坝水库1座，总库容1117.8万m³，灌区建设1条干渠11条支渠；二滩南部片区供水工程：在二滩电站大坝右岸上游3.8km建设浮船取水枢纽，输水管网沿雅砻江右岸二滩达到向南布设，沿途建设泵站逐级提水至桐子林镇、新九镇、高堰沟水库，建设浮船取水1座、加压泵站5座、5万m</w:t>
            </w:r>
            <w:r>
              <w:rPr>
                <w:rFonts w:hint="eastAsia" w:ascii="Times New Roman" w:hAnsi="Times New Roman" w:eastAsia="仿宋" w:cs="Times New Roman"/>
                <w:i w:val="0"/>
                <w:iCs w:val="0"/>
                <w:color w:val="auto"/>
                <w:kern w:val="0"/>
                <w:sz w:val="21"/>
                <w:szCs w:val="21"/>
                <w:u w:val="none"/>
                <w:lang w:val="en-US" w:eastAsia="zh-CN" w:bidi="ar"/>
              </w:rPr>
              <w:t>³</w:t>
            </w:r>
            <w:r>
              <w:rPr>
                <w:rFonts w:hint="default" w:ascii="Times New Roman" w:hAnsi="Times New Roman" w:eastAsia="仿宋" w:cs="Times New Roman"/>
                <w:i w:val="0"/>
                <w:iCs w:val="0"/>
                <w:color w:val="auto"/>
                <w:kern w:val="0"/>
                <w:sz w:val="21"/>
                <w:szCs w:val="21"/>
                <w:u w:val="none"/>
                <w:lang w:val="en-US" w:eastAsia="zh-CN" w:bidi="ar"/>
              </w:rPr>
              <w:t>蓄水调节池1座，敷设输水管道69.916km。</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27000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盐边县人民政府、盐边县水利局、盐边县住房和城乡建设局等相关部门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205"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7</w:t>
            </w:r>
          </w:p>
        </w:tc>
        <w:tc>
          <w:tcPr>
            <w:tcW w:w="53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米易县草场河水系连通及水美乡村建设项目</w:t>
            </w:r>
          </w:p>
        </w:tc>
        <w:tc>
          <w:tcPr>
            <w:tcW w:w="32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537"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晃桥水库上游草场河水系连通及水美乡村建设项目通过实施3.5km水系连通渠系、6处河道清障、10.5km清淤疏浚、8.99km岸坡整治、34.3km²水源涵养和水土保持、1座河湖管护智慧平台等措施。有效解决晃桥水库上游草场河“四乱”问题，河道行洪空间内占河耕地，违建建筑构筑物堆积问题。</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58300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Style w:val="33"/>
                <w:rFonts w:hint="default" w:ascii="Times New Roman" w:hAnsi="Times New Roman" w:cs="Times New Roman"/>
                <w:color w:val="auto"/>
                <w:lang w:val="en-US" w:eastAsia="zh-CN" w:bidi="ar"/>
              </w:rPr>
              <w:t>2023年底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米易县人民政府、米易县水利局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205"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8</w:t>
            </w:r>
          </w:p>
        </w:tc>
        <w:tc>
          <w:tcPr>
            <w:tcW w:w="53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米易县晃桥水库供水质量提升工程</w:t>
            </w:r>
          </w:p>
        </w:tc>
        <w:tc>
          <w:tcPr>
            <w:tcW w:w="329"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537"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供水质量提升工程</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晃桥水库大坝除险加固，供水闸门、供水设备和设施改造。</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4345</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Style w:val="33"/>
                <w:rFonts w:hint="default" w:ascii="Times New Roman" w:hAnsi="Times New Roman" w:cs="Times New Roman"/>
                <w:color w:val="auto"/>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2023年底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米易县人民政府、米易县水利局、米易县住房和城乡建设局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0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53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米易县马鞍山水库水源地规范化建设项目</w:t>
            </w:r>
          </w:p>
        </w:tc>
        <w:tc>
          <w:tcPr>
            <w:tcW w:w="3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米易县马鞍山水库</w:t>
            </w:r>
          </w:p>
        </w:tc>
        <w:tc>
          <w:tcPr>
            <w:tcW w:w="53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一级保护区内户居民建议逐步迁出，二级保护区库周环库村道临库侧以内分布分散农户，严格管控生活垃圾的收集，严禁生活污水直排入库，经化粪池后还田处理，避免造成直接水体污染。</w:t>
            </w:r>
          </w:p>
        </w:tc>
        <w:tc>
          <w:tcPr>
            <w:tcW w:w="514"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400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在保护区内的4个区域适当位置设置15个垃圾箱。</w:t>
            </w:r>
          </w:p>
        </w:tc>
        <w:tc>
          <w:tcPr>
            <w:tcW w:w="514"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米易县人民政府、丙谷镇人民政府、米易县综合行政执法局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对于周边有农田、草地的聚居户或散户，推广“灰水回用+黑水还草”的模式，对保护区内黑水和灰水进行综合利用。建设截污沟渠和管道。</w:t>
            </w:r>
          </w:p>
        </w:tc>
        <w:tc>
          <w:tcPr>
            <w:tcW w:w="514"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马鞍山水库上游河道入口新建2</w:t>
            </w:r>
            <w:r>
              <w:rPr>
                <w:rFonts w:hint="eastAsia" w:ascii="Times New Roman" w:hAnsi="Times New Roman" w:eastAsia="仿宋" w:cs="Times New Roman"/>
                <w:i w:val="0"/>
                <w:iCs w:val="0"/>
                <w:color w:val="auto"/>
                <w:kern w:val="0"/>
                <w:sz w:val="21"/>
                <w:szCs w:val="21"/>
                <w:u w:val="none"/>
                <w:lang w:val="en-US" w:eastAsia="zh-CN" w:bidi="ar"/>
              </w:rPr>
              <w:t>座</w:t>
            </w:r>
            <w:r>
              <w:rPr>
                <w:rFonts w:hint="default" w:ascii="Times New Roman" w:hAnsi="Times New Roman" w:eastAsia="仿宋" w:cs="Times New Roman"/>
                <w:i w:val="0"/>
                <w:iCs w:val="0"/>
                <w:color w:val="auto"/>
                <w:kern w:val="0"/>
                <w:sz w:val="21"/>
                <w:szCs w:val="21"/>
                <w:u w:val="none"/>
                <w:lang w:val="en-US" w:eastAsia="zh-CN" w:bidi="ar"/>
              </w:rPr>
              <w:t>拦渣坝，即橄榄河河道和季节性河道拦渣坝。</w:t>
            </w:r>
          </w:p>
        </w:tc>
        <w:tc>
          <w:tcPr>
            <w:tcW w:w="514"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米易县人民政府、丙谷镇人民政府、米易县水利局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由于水源地保护区内存在一定农业种植，应调整传统种植方式，发展高效、集约型农业，从源头削减污染物排放。一级保护区内农业种植严格控制化肥、农药施用，并逐步退出；二级保护区内减少化肥施用量、禁用农药，使用有机肥替代传统化肥，推广安装杀虫灯、粘虫纸等生态防虫防病技术，同时，控制农田灌溉用水，在节水的同时减少漫灌造成的养分流失和农田径流污染。</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米易县人民政府、丙谷镇人民政府、米易县农业农村局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8"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橄榄河入库口前两岸打造生态植物缓冲带，结合实际情况布设。补充水库消落带植物缓冲带。</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米易县人民政府、丙谷镇人民政府、米易县水利局、米易县马鞍山水利工程运行中心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一级保护区建设隔离防护网，其他区域采取种植植物的生态隔离。</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66</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保护区内设置界标、交通警示牌和宣传牌等设施。</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米易县人民政府、丙谷镇人民政府、攀枝花市米易生态环境局、米易县交通运输局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穿越保护区公路两侧建设交通防撞栏和事故应急池。</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米易县人民政府、丙谷镇人民政府、米易县交通运输局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取水口和一级保护区拐点处各安装视频监控设备1套。</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50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米易县人民政府、丙谷镇人民政府、攀枝花市米易生态环境局、米易县马鞍山水利工程运行中心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保护区规范化建设完成后编制饮用水水源地突发环境事件应急预案，做到“一源一案”，定期开展演练，同时建立突发污染事故应急处置技术方案。</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5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完善应急物资处储备足够的抽水机、吸油毡、粉末活性炭、围油栏、沙袋、临时围堰等应急物资，确保应对突发环境事件。</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25</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米易县人民政府、丙谷镇人民政府、攀枝花市米易生态环境局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05"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10</w:t>
            </w:r>
          </w:p>
        </w:tc>
        <w:tc>
          <w:tcPr>
            <w:tcW w:w="53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米易县在用集中饮用水源地规范化建设提升工程</w:t>
            </w:r>
          </w:p>
        </w:tc>
        <w:tc>
          <w:tcPr>
            <w:tcW w:w="32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w:t>
            </w:r>
          </w:p>
        </w:tc>
        <w:tc>
          <w:tcPr>
            <w:tcW w:w="537" w:type="pct"/>
            <w:vMerge w:val="restart"/>
            <w:tcBorders>
              <w:top w:val="nil"/>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b/>
                <w:bCs/>
                <w:i w:val="0"/>
                <w:iCs w:val="0"/>
                <w:color w:val="auto"/>
                <w:sz w:val="21"/>
                <w:szCs w:val="21"/>
                <w:u w:val="none"/>
                <w:lang w:eastAsia="zh-CN"/>
              </w:rPr>
            </w:pPr>
            <w:r>
              <w:rPr>
                <w:rFonts w:hint="default" w:ascii="Times New Roman" w:hAnsi="Times New Roman" w:eastAsia="仿宋" w:cs="Times New Roman"/>
                <w:b w:val="0"/>
                <w:bCs w:val="0"/>
                <w:i w:val="0"/>
                <w:iCs w:val="0"/>
                <w:color w:val="auto"/>
                <w:sz w:val="21"/>
                <w:szCs w:val="21"/>
                <w:u w:val="none"/>
              </w:rPr>
              <w:t>环境卫生整治、水面漂浮物打捞、围绕栏修补</w:t>
            </w:r>
            <w:r>
              <w:rPr>
                <w:rFonts w:hint="default" w:ascii="Times New Roman" w:hAnsi="Times New Roman" w:eastAsia="仿宋" w:cs="Times New Roman"/>
                <w:b w:val="0"/>
                <w:bCs w:val="0"/>
                <w:i w:val="0"/>
                <w:iCs w:val="0"/>
                <w:color w:val="auto"/>
                <w:sz w:val="21"/>
                <w:szCs w:val="21"/>
                <w:u w:val="none"/>
                <w:lang w:eastAsia="zh-CN"/>
              </w:rPr>
              <w:t>。</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4.46</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2021年11月</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b w:val="0"/>
                <w:bCs w:val="0"/>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修筑沉淀池</w:t>
            </w:r>
            <w:r>
              <w:rPr>
                <w:rFonts w:hint="eastAsia" w:ascii="Times New Roman" w:hAnsi="Times New Roman" w:eastAsia="仿宋" w:cs="Times New Roman"/>
                <w:i w:val="0"/>
                <w:iCs w:val="0"/>
                <w:color w:val="auto"/>
                <w:kern w:val="0"/>
                <w:sz w:val="21"/>
                <w:szCs w:val="21"/>
                <w:u w:val="none"/>
                <w:lang w:val="en-US" w:eastAsia="zh-CN" w:bidi="ar"/>
              </w:rPr>
              <w:t>2</w:t>
            </w:r>
            <w:r>
              <w:rPr>
                <w:rFonts w:hint="default" w:ascii="Times New Roman" w:hAnsi="Times New Roman" w:eastAsia="仿宋" w:cs="Times New Roman"/>
                <w:i w:val="0"/>
                <w:iCs w:val="0"/>
                <w:color w:val="auto"/>
                <w:kern w:val="0"/>
                <w:sz w:val="21"/>
                <w:szCs w:val="21"/>
                <w:u w:val="none"/>
                <w:lang w:val="en-US" w:eastAsia="zh-CN" w:bidi="ar"/>
              </w:rPr>
              <w:t>个，饮水沟</w:t>
            </w:r>
            <w:r>
              <w:rPr>
                <w:rFonts w:hint="eastAsia"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条，拦水坝</w:t>
            </w:r>
            <w:r>
              <w:rPr>
                <w:rFonts w:hint="eastAsia"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座。</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11.7</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米易县人民政府、白马镇人民政府、米易县水利局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b w:val="0"/>
                <w:bCs w:val="0"/>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建设32m</w:t>
            </w:r>
            <w:r>
              <w:rPr>
                <w:rStyle w:val="34"/>
                <w:rFonts w:hint="default" w:ascii="Times New Roman" w:hAnsi="Times New Roman" w:cs="Times New Roman"/>
                <w:color w:val="auto"/>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水池、沉砂池和50m</w:t>
            </w:r>
            <w:r>
              <w:rPr>
                <w:rStyle w:val="34"/>
                <w:rFonts w:hint="default" w:ascii="Times New Roman" w:hAnsi="Times New Roman" w:cs="Times New Roman"/>
                <w:color w:val="auto"/>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的蓄水池。</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10.92</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2021年3月</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米易县人民政府、新山乡人民政府、米易县水利局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建设隔离防护网和界标。</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7.9</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2021年底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米易县人民政府、涉及地</w:t>
            </w:r>
            <w:r>
              <w:rPr>
                <w:rFonts w:hint="eastAsia" w:ascii="Times New Roman" w:hAnsi="Times New Roman" w:eastAsia="仿宋" w:cs="Times New Roman"/>
                <w:i w:val="0"/>
                <w:iCs w:val="0"/>
                <w:color w:val="auto"/>
                <w:kern w:val="0"/>
                <w:sz w:val="21"/>
                <w:szCs w:val="21"/>
                <w:u w:val="none"/>
                <w:lang w:val="en-US" w:eastAsia="zh-CN" w:bidi="ar"/>
              </w:rPr>
              <w:t>方</w:t>
            </w:r>
            <w:r>
              <w:rPr>
                <w:rFonts w:hint="default" w:ascii="Times New Roman" w:hAnsi="Times New Roman" w:eastAsia="仿宋" w:cs="Times New Roman"/>
                <w:i w:val="0"/>
                <w:iCs w:val="0"/>
                <w:color w:val="auto"/>
                <w:kern w:val="0"/>
                <w:sz w:val="21"/>
                <w:szCs w:val="21"/>
                <w:u w:val="none"/>
                <w:lang w:val="en-US" w:eastAsia="zh-CN" w:bidi="ar"/>
              </w:rPr>
              <w:t>乡</w:t>
            </w:r>
            <w:r>
              <w:rPr>
                <w:rFonts w:hint="eastAsia" w:ascii="Times New Roman" w:hAnsi="Times New Roman" w:eastAsia="仿宋" w:cs="Times New Roman"/>
                <w:i w:val="0"/>
                <w:iCs w:val="0"/>
                <w:color w:val="auto"/>
                <w:kern w:val="0"/>
                <w:sz w:val="21"/>
                <w:szCs w:val="21"/>
                <w:u w:val="none"/>
                <w:lang w:val="en-US" w:eastAsia="zh-CN" w:bidi="ar"/>
              </w:rPr>
              <w:t>（镇）</w:t>
            </w:r>
            <w:r>
              <w:rPr>
                <w:rFonts w:hint="default" w:ascii="Times New Roman" w:hAnsi="Times New Roman" w:eastAsia="仿宋" w:cs="Times New Roman"/>
                <w:i w:val="0"/>
                <w:iCs w:val="0"/>
                <w:color w:val="auto"/>
                <w:kern w:val="0"/>
                <w:sz w:val="21"/>
                <w:szCs w:val="21"/>
                <w:u w:val="none"/>
                <w:lang w:val="en-US" w:eastAsia="zh-CN" w:bidi="ar"/>
              </w:rPr>
              <w:t>人民政府、攀枝花市米易生态环境局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完善隔离防护设施。</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 xml:space="preserve">9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完善界标、交通警示牌和宣传牌。</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7.2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、攀枝花市米易生态环境局、米易县交通运输局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完善穿越保护区公路的防撞栏。</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、米易县交通运输局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lang w:eastAsia="zh-CN"/>
              </w:rPr>
            </w:pPr>
            <w:r>
              <w:rPr>
                <w:rFonts w:hint="default" w:ascii="Times New Roman" w:hAnsi="Times New Roman" w:eastAsia="仿宋" w:cs="Times New Roman"/>
                <w:i w:val="0"/>
                <w:iCs w:val="0"/>
                <w:color w:val="auto"/>
                <w:sz w:val="21"/>
                <w:szCs w:val="21"/>
                <w:u w:val="none"/>
              </w:rPr>
              <w:t>修订、完善米易县晃桥水库突发环境事件应急预案</w:t>
            </w:r>
            <w:r>
              <w:rPr>
                <w:rFonts w:hint="default" w:ascii="Times New Roman" w:hAnsi="Times New Roman" w:eastAsia="仿宋" w:cs="Times New Roman"/>
                <w:i w:val="0"/>
                <w:iCs w:val="0"/>
                <w:color w:val="auto"/>
                <w:sz w:val="21"/>
                <w:szCs w:val="21"/>
                <w:u w:val="none"/>
                <w:lang w:eastAsia="zh-CN"/>
              </w:rPr>
              <w:t>。</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2021年7月</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二级保护区范围采购安装无线广播系统设备共</w:t>
            </w:r>
            <w:r>
              <w:rPr>
                <w:rFonts w:hint="eastAsia" w:ascii="Times New Roman" w:hAnsi="Times New Roman" w:eastAsia="仿宋" w:cs="Times New Roman"/>
                <w:i w:val="0"/>
                <w:iCs w:val="0"/>
                <w:color w:val="auto"/>
                <w:kern w:val="0"/>
                <w:sz w:val="21"/>
                <w:szCs w:val="21"/>
                <w:u w:val="none"/>
                <w:lang w:val="en-US" w:eastAsia="zh-CN" w:bidi="ar"/>
              </w:rPr>
              <w:t>3</w:t>
            </w:r>
            <w:r>
              <w:rPr>
                <w:rFonts w:hint="default" w:ascii="Times New Roman" w:hAnsi="Times New Roman" w:eastAsia="仿宋" w:cs="Times New Roman"/>
                <w:i w:val="0"/>
                <w:iCs w:val="0"/>
                <w:color w:val="auto"/>
                <w:kern w:val="0"/>
                <w:sz w:val="21"/>
                <w:szCs w:val="21"/>
                <w:u w:val="none"/>
                <w:lang w:val="en-US" w:eastAsia="zh-CN" w:bidi="ar"/>
              </w:rPr>
              <w:t>套。</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2.238</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2021年8月</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 xml:space="preserve">24.00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11.52</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、攀枝花市米易生态环境局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05"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11</w:t>
            </w:r>
          </w:p>
        </w:tc>
        <w:tc>
          <w:tcPr>
            <w:tcW w:w="53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仁和区在用集中饮用水源地规范化建设提升工程</w:t>
            </w:r>
          </w:p>
        </w:tc>
        <w:tc>
          <w:tcPr>
            <w:tcW w:w="32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w:t>
            </w:r>
          </w:p>
        </w:tc>
        <w:tc>
          <w:tcPr>
            <w:tcW w:w="53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建设一体化污水处理设施7套，以及收集管网等附属设施。</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610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2021年底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保护区内农户生活污水治理，建设沼气池式和三格化粪池式，实现粪污、污水无害化有效处理，禁止生活污水直排。</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、攀枝花市仁和生态环境局、仁和区农业农村局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完善“村收集、镇转运、区处理”模式，实现保护区内农村生活垃圾全部集中收集并进行无害化处置。</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、仁和区综合行政执法局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保护区划定前已有的农业种植和经济林应逐步退出。</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15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、仁和区农业农村局、仁和区乡村振兴局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建设隔离网和标识标牌。</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203.568</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2020年底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更换保护区内破损的隔离网。</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90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更换保护区内污损或破损的标识标牌。</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40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、攀枝花市仁和生态环境局、仁和区交通运输局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完善穿越保护区公路的防撞栏、监控减速带和应急收集池。</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、仁和区交通运输局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在胜利水库和跃进水库取水口、保护区拐点处、交通穿越处安装视频监控，实时掌握水质环境动态，切实提高水源地环境监管水平。</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100.00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定期开展应急演练，同时建立突发污染事故应急处置技术方案。根据水源地风险源变化情况，如需修订突发环境事件应急预案，及时修订。</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18.00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17.42 </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攀枝花市仁和生态环境局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205"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12</w:t>
            </w:r>
          </w:p>
        </w:tc>
        <w:tc>
          <w:tcPr>
            <w:tcW w:w="53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盐边县在用集中饮用水源地规范化建设提升工程</w:t>
            </w:r>
          </w:p>
        </w:tc>
        <w:tc>
          <w:tcPr>
            <w:tcW w:w="329"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w:t>
            </w:r>
          </w:p>
        </w:tc>
        <w:tc>
          <w:tcPr>
            <w:tcW w:w="537" w:type="pct"/>
            <w:vMerge w:val="restart"/>
            <w:tcBorders>
              <w:top w:val="nil"/>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保护区内农户生活污水治理，在居民集中区域建设集中式污水处理设施，分散区建设分散式污水处理设施，实现粪污、污水无害化有效处理，禁止生活污水直排。</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406.04</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、攀枝花市盐边生态环境局、盐边县农业农村局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205"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29"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37"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三滩村建设</w:t>
            </w:r>
            <w:r>
              <w:rPr>
                <w:rFonts w:hint="eastAsia" w:ascii="Times New Roman" w:hAnsi="Times New Roman" w:eastAsia="仿宋" w:cs="Times New Roman"/>
                <w:i w:val="0"/>
                <w:iCs w:val="0"/>
                <w:color w:val="auto"/>
                <w:kern w:val="0"/>
                <w:sz w:val="21"/>
                <w:szCs w:val="21"/>
                <w:u w:val="none"/>
                <w:lang w:val="en-US" w:eastAsia="zh-CN" w:bidi="ar"/>
              </w:rPr>
              <w:t>1</w:t>
            </w:r>
            <w:r>
              <w:rPr>
                <w:rFonts w:hint="default" w:ascii="Times New Roman" w:hAnsi="Times New Roman" w:eastAsia="仿宋" w:cs="Times New Roman"/>
                <w:i w:val="0"/>
                <w:iCs w:val="0"/>
                <w:color w:val="auto"/>
                <w:kern w:val="0"/>
                <w:sz w:val="21"/>
                <w:szCs w:val="21"/>
                <w:u w:val="none"/>
                <w:lang w:val="en-US" w:eastAsia="zh-CN" w:bidi="ar"/>
              </w:rPr>
              <w:t>座20m³/d一体化污水处理设施。</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99</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2022年底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盐边县人民政府、红果乡人民政府、攀枝花市盐边生态环境局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三滩大桥和雅砻江右岸二滩大道低洼处修建径流收集系统和应急收集池。</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83</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盐边县人民政府、盐边县交通运输局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对库区边界沿岸地表裸露地带进行补充灌草绿化。</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10.5</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2025</w:t>
            </w:r>
            <w:r>
              <w:rPr>
                <w:rFonts w:hint="default" w:ascii="Times New Roman" w:hAnsi="Times New Roman" w:eastAsia="仿宋" w:cs="Times New Roman"/>
                <w:i w:val="0"/>
                <w:iCs w:val="0"/>
                <w:color w:val="auto"/>
                <w:kern w:val="0"/>
                <w:sz w:val="21"/>
                <w:szCs w:val="21"/>
                <w:u w:val="none"/>
                <w:lang w:val="en-US" w:eastAsia="zh-CN" w:bidi="ar"/>
              </w:rPr>
              <w:t>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、盐边县水利局、盐边县林业局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对保护区内散落的生活垃圾进行收集、清运。</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24</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w:t>
            </w:r>
            <w:r>
              <w:rPr>
                <w:rFonts w:hint="default" w:ascii="Times New Roman" w:hAnsi="Times New Roman" w:cs="Times New Roman"/>
                <w:i w:val="0"/>
                <w:iCs w:val="0"/>
                <w:color w:val="auto"/>
                <w:kern w:val="0"/>
                <w:sz w:val="21"/>
                <w:szCs w:val="21"/>
                <w:u w:val="none"/>
                <w:lang w:val="en-US" w:eastAsia="zh-CN" w:bidi="ar"/>
              </w:rPr>
              <w:t>4</w:t>
            </w:r>
            <w:r>
              <w:rPr>
                <w:rFonts w:hint="default" w:ascii="Times New Roman" w:hAnsi="Times New Roman" w:eastAsia="仿宋" w:cs="Times New Roman"/>
                <w:i w:val="0"/>
                <w:iCs w:val="0"/>
                <w:color w:val="auto"/>
                <w:kern w:val="0"/>
                <w:sz w:val="21"/>
                <w:szCs w:val="21"/>
                <w:u w:val="none"/>
                <w:lang w:val="en-US" w:eastAsia="zh-CN" w:bidi="ar"/>
              </w:rPr>
              <w:t>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、盐边县综合执法局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建设垃圾房购置垃圾箱，收集清运保护区内垃圾。</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26.5</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w:t>
            </w:r>
            <w:r>
              <w:rPr>
                <w:rFonts w:hint="default" w:ascii="Times New Roman" w:hAnsi="Times New Roman" w:cs="Times New Roman"/>
                <w:i w:val="0"/>
                <w:iCs w:val="0"/>
                <w:color w:val="auto"/>
                <w:kern w:val="0"/>
                <w:sz w:val="21"/>
                <w:szCs w:val="21"/>
                <w:u w:val="none"/>
                <w:lang w:val="en-US" w:eastAsia="zh-CN" w:bidi="ar"/>
              </w:rPr>
              <w:t>5</w:t>
            </w:r>
            <w:r>
              <w:rPr>
                <w:rFonts w:hint="default" w:ascii="Times New Roman" w:hAnsi="Times New Roman" w:eastAsia="仿宋" w:cs="Times New Roman"/>
                <w:i w:val="0"/>
                <w:iCs w:val="0"/>
                <w:color w:val="auto"/>
                <w:kern w:val="0"/>
                <w:sz w:val="21"/>
                <w:szCs w:val="21"/>
                <w:u w:val="none"/>
                <w:lang w:val="en-US" w:eastAsia="zh-CN" w:bidi="ar"/>
              </w:rPr>
              <w:t>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、盐边县综合执法局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补充建设隔离网，更换保护区内破损的隔离网，其他区域种植植物形成生态隔离。</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553.06</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、攀枝花市盐边生态环境局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补充建设界标、交通警示牌和宣传牌，同时更换污损或破损标识标牌。</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10.89</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、攀枝花市盐边生态环境局、盐边县交通运输局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补充建设穿越保护区公路的防撞栏。</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78.76</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、盐边县交通运输局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2个“千吨万人” 乡镇集中式饮用水水源取水口和一级保护区拐点处各安装视频监控设备1套。</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40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2025年底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、攀枝花市盐边生态环境局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雅砻江菩萨岩饮用水源地编制饮用水水源地突发环境事件应急预案，做到“一源一案”，定期开展演练。其他饮用水源地定期开展应急演练，同时建立突发污染事故应急处置技术方案。根据水源地风险源变化情况，如需修订突发环境事件应急预案，及时修订。</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30</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、攀枝花市盐边生态环境局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05"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329"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53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14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加强应急物资管理，定期更换和补充应急物资，确保应急处置过程应急物资及时供应。</w:t>
            </w:r>
          </w:p>
        </w:tc>
        <w:tc>
          <w:tcPr>
            <w:tcW w:w="51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10.89</w:t>
            </w:r>
          </w:p>
        </w:tc>
        <w:tc>
          <w:tcPr>
            <w:tcW w:w="491" w:type="pct"/>
            <w:tcBorders>
              <w:top w:val="single" w:color="000000" w:sz="4" w:space="0"/>
              <w:left w:val="single" w:color="000000" w:sz="4" w:space="0"/>
              <w:bottom w:val="single" w:color="000000" w:sz="4" w:space="0"/>
              <w:right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2024年底</w:t>
            </w:r>
          </w:p>
        </w:tc>
        <w:tc>
          <w:tcPr>
            <w:tcW w:w="8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盐边县人民政府、</w:t>
            </w:r>
            <w:r>
              <w:rPr>
                <w:rFonts w:hint="eastAsia" w:ascii="Times New Roman" w:hAnsi="Times New Roman" w:eastAsia="仿宋" w:cs="Times New Roman"/>
                <w:i w:val="0"/>
                <w:iCs w:val="0"/>
                <w:color w:val="auto"/>
                <w:kern w:val="0"/>
                <w:sz w:val="21"/>
                <w:szCs w:val="21"/>
                <w:u w:val="none"/>
                <w:lang w:val="en-US" w:eastAsia="zh-CN" w:bidi="ar"/>
              </w:rPr>
              <w:t>涉及地方乡（镇）人民政府</w:t>
            </w:r>
            <w:r>
              <w:rPr>
                <w:rFonts w:hint="default" w:ascii="Times New Roman" w:hAnsi="Times New Roman" w:eastAsia="仿宋" w:cs="Times New Roman"/>
                <w:i w:val="0"/>
                <w:iCs w:val="0"/>
                <w:color w:val="auto"/>
                <w:kern w:val="0"/>
                <w:sz w:val="21"/>
                <w:szCs w:val="21"/>
                <w:u w:val="none"/>
                <w:lang w:val="en-US" w:eastAsia="zh-CN" w:bidi="ar"/>
              </w:rPr>
              <w:t>、攀枝花市盐边生态环境局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nil"/>
              <w:left w:val="nil"/>
              <w:bottom w:val="nil"/>
              <w:right w:val="nil"/>
            </w:tcBorders>
            <w:noWrap w:val="0"/>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*注：以项目实际入库情况为准。</w:t>
            </w:r>
          </w:p>
        </w:tc>
      </w:tr>
    </w:tbl>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p>
      <w:pPr>
        <w:spacing w:line="600" w:lineRule="exact"/>
        <w:outlineLvl w:val="0"/>
        <w:rPr>
          <w:rFonts w:hint="default" w:ascii="Times New Roman" w:hAnsi="Times New Roman" w:eastAsia="仿宋_GB2312" w:cs="Times New Roman"/>
          <w:b/>
          <w:bCs/>
          <w:color w:val="auto"/>
          <w:sz w:val="32"/>
          <w:szCs w:val="32"/>
          <w:lang w:val="en-US" w:eastAsia="zh-CN"/>
        </w:rPr>
      </w:pPr>
      <w:bookmarkStart w:id="96" w:name="_Toc18059"/>
      <w:r>
        <w:rPr>
          <w:rFonts w:hint="default" w:ascii="Times New Roman" w:hAnsi="Times New Roman" w:eastAsia="楷体_GB2312" w:cs="Times New Roman"/>
          <w:b w:val="0"/>
          <w:bCs/>
          <w:color w:val="auto"/>
          <w:sz w:val="32"/>
          <w:szCs w:val="32"/>
          <w:lang w:eastAsia="zh-CN"/>
        </w:rPr>
        <w:t>表</w:t>
      </w:r>
      <w:r>
        <w:rPr>
          <w:rFonts w:hint="default" w:ascii="Times New Roman" w:hAnsi="Times New Roman" w:eastAsia="楷体_GB2312" w:cs="Times New Roman"/>
          <w:b w:val="0"/>
          <w:bCs/>
          <w:color w:val="auto"/>
          <w:sz w:val="32"/>
          <w:szCs w:val="32"/>
          <w:lang w:val="en-US" w:eastAsia="zh-CN"/>
        </w:rPr>
        <w:t>8  规划项目投资汇总表</w:t>
      </w:r>
      <w:bookmarkEnd w:id="96"/>
    </w:p>
    <w:tbl>
      <w:tblPr>
        <w:tblStyle w:val="1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2"/>
        <w:gridCol w:w="2438"/>
        <w:gridCol w:w="5588"/>
        <w:gridCol w:w="1936"/>
        <w:gridCol w:w="2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blHeader/>
        </w:trPr>
        <w:tc>
          <w:tcPr>
            <w:tcW w:w="283"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bookmarkStart w:id="97" w:name="_GoBack"/>
            <w:r>
              <w:rPr>
                <w:rFonts w:hint="default" w:ascii="Times New Roman" w:hAnsi="Times New Roman" w:eastAsia="仿宋" w:cs="Times New Roman"/>
                <w:b/>
                <w:bCs/>
                <w:i w:val="0"/>
                <w:iCs w:val="0"/>
                <w:color w:val="auto"/>
                <w:kern w:val="0"/>
                <w:sz w:val="21"/>
                <w:szCs w:val="21"/>
                <w:u w:val="none"/>
                <w:lang w:val="en-US" w:eastAsia="zh-CN" w:bidi="ar"/>
              </w:rPr>
              <w:t>序号</w:t>
            </w:r>
          </w:p>
        </w:tc>
        <w:tc>
          <w:tcPr>
            <w:tcW w:w="893" w:type="pct"/>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项目类别</w:t>
            </w:r>
          </w:p>
        </w:tc>
        <w:tc>
          <w:tcPr>
            <w:tcW w:w="2047"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包含项目名称</w:t>
            </w:r>
          </w:p>
        </w:tc>
        <w:tc>
          <w:tcPr>
            <w:tcW w:w="709" w:type="pct"/>
            <w:tcBorders>
              <w:top w:val="single" w:color="000000" w:sz="4" w:space="0"/>
              <w:left w:val="single" w:color="000000" w:sz="4" w:space="0"/>
              <w:bottom w:val="single" w:color="000000" w:sz="4" w:space="0"/>
              <w:right w:val="single" w:color="000000" w:sz="4" w:space="0"/>
            </w:tcBorders>
            <w:shd w:val="clear" w:color="auto" w:fill="EEECE1"/>
            <w:noWrap w:val="0"/>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项目数量（个）</w:t>
            </w:r>
          </w:p>
        </w:tc>
        <w:tc>
          <w:tcPr>
            <w:tcW w:w="1067" w:type="pct"/>
            <w:tcBorders>
              <w:top w:val="single" w:color="000000" w:sz="4" w:space="0"/>
              <w:left w:val="single" w:color="000000" w:sz="4" w:space="0"/>
              <w:bottom w:val="single" w:color="000000" w:sz="4" w:space="0"/>
              <w:right w:val="single" w:color="000000" w:sz="4" w:space="0"/>
            </w:tcBorders>
            <w:shd w:val="clear" w:color="auto" w:fill="EEECE1"/>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投资金额（万元）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893"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保护区规范化建设</w:t>
            </w: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观音岩水库集中饮用水水源地规范化建设设施维护项目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米易县马鞍山水库水源地规范化建设项目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633.568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642.71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94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1614.378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893"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保护区综合整治工程</w:t>
            </w: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米易县草场河水系连通及水美乡村建设项目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58300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米易县马鞍山水库水源地规范化建设项目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27.08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649.04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940"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60251.12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893"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风险应急防控能力建设</w:t>
            </w: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观音岩水库集中饮用水水源地规范化建设设施维护项目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米易县马鞍山水库水源地规范化建设项目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40.158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0"/>
                <w:szCs w:val="20"/>
                <w:u w:val="none"/>
                <w:lang w:val="en-US" w:eastAsia="zh-CN" w:bidi="ar"/>
              </w:rPr>
              <w:t>35.42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40.89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940"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249.468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893"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应急能力建设</w:t>
            </w: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攀枝花市中心城区应急备用水源跨区域联网</w:t>
            </w:r>
            <w:r>
              <w:rPr>
                <w:rFonts w:hint="eastAsia" w:ascii="Times New Roman" w:hAnsi="Times New Roman" w:eastAsia="仿宋" w:cs="Times New Roman"/>
                <w:i w:val="0"/>
                <w:iCs w:val="0"/>
                <w:color w:val="auto"/>
                <w:kern w:val="0"/>
                <w:sz w:val="21"/>
                <w:szCs w:val="21"/>
                <w:u w:val="none"/>
                <w:lang w:val="en-US" w:eastAsia="zh-CN" w:bidi="ar"/>
              </w:rPr>
              <w:t>供水</w:t>
            </w:r>
            <w:r>
              <w:rPr>
                <w:rFonts w:hint="default" w:ascii="Times New Roman" w:hAnsi="Times New Roman" w:eastAsia="仿宋" w:cs="Times New Roman"/>
                <w:i w:val="0"/>
                <w:iCs w:val="0"/>
                <w:color w:val="auto"/>
                <w:kern w:val="0"/>
                <w:sz w:val="21"/>
                <w:szCs w:val="21"/>
                <w:u w:val="none"/>
                <w:lang w:val="en-US" w:eastAsia="zh-CN" w:bidi="ar"/>
              </w:rPr>
              <w:t>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0"/>
                <w:szCs w:val="20"/>
                <w:u w:val="none"/>
                <w:lang w:val="en-US" w:eastAsia="zh-CN" w:bidi="ar"/>
              </w:rPr>
              <w:t>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盐边县应急备用水源跨区域联网供水工程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93"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攀枝花市盐边县沙坝水库工程及二滩南部片区供水工程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27000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940" w:type="pct"/>
            <w:gridSpan w:val="2"/>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3</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64000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893"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监控能力建设</w:t>
            </w: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观音岩水库集中饮用水水源地规范化建设项目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579.8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攀枝花市饮用水水源保护区视频监控系统</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156.4015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米易县马鞍山水库水源地规范化建设项目</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仁和区在用集中饮用水源地规范化建设提升工程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893" w:type="pct"/>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i w:val="0"/>
                <w:iCs w:val="0"/>
                <w:color w:val="auto"/>
                <w:sz w:val="21"/>
                <w:szCs w:val="21"/>
                <w:u w:val="none"/>
              </w:rPr>
            </w:pPr>
          </w:p>
        </w:tc>
        <w:tc>
          <w:tcPr>
            <w:tcW w:w="20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盐边县在用集中饮用水源地规范化建设提升工程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rPr>
            </w:pPr>
          </w:p>
        </w:tc>
        <w:tc>
          <w:tcPr>
            <w:tcW w:w="2940"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小计</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926.2015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8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6</w:t>
            </w:r>
          </w:p>
        </w:tc>
        <w:tc>
          <w:tcPr>
            <w:tcW w:w="89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供水质量提升工程</w:t>
            </w:r>
          </w:p>
        </w:tc>
        <w:tc>
          <w:tcPr>
            <w:tcW w:w="20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米易县晃桥水库供水质量提升工程</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0"/>
                <w:szCs w:val="20"/>
                <w:u w:val="none"/>
                <w:lang w:val="en-US" w:eastAsia="zh-CN" w:bidi="ar"/>
              </w:rPr>
            </w:pPr>
            <w:r>
              <w:rPr>
                <w:rFonts w:hint="default" w:ascii="Times New Roman" w:hAnsi="Times New Roman" w:eastAsia="仿宋" w:cs="Times New Roman"/>
                <w:i w:val="0"/>
                <w:iCs w:val="0"/>
                <w:color w:val="auto"/>
                <w:kern w:val="0"/>
                <w:sz w:val="20"/>
                <w:szCs w:val="20"/>
                <w:u w:val="none"/>
                <w:lang w:val="en-US" w:eastAsia="zh-CN" w:bidi="ar"/>
              </w:rPr>
              <w:t>4345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22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合计</w:t>
            </w:r>
          </w:p>
        </w:tc>
        <w:tc>
          <w:tcPr>
            <w:tcW w:w="709" w:type="pct"/>
            <w:tcBorders>
              <w:top w:val="single" w:color="000000" w:sz="4" w:space="0"/>
              <w:left w:val="single" w:color="000000" w:sz="4" w:space="0"/>
              <w:bottom w:val="single" w:color="000000" w:sz="4" w:space="0"/>
              <w:right w:val="single" w:color="000000" w:sz="4" w:space="0"/>
            </w:tcBorders>
            <w:noWrap/>
            <w:vAlign w:val="center"/>
          </w:tcPr>
          <w:p>
            <w:pPr>
              <w:rPr>
                <w:rFonts w:hint="default" w:ascii="Times New Roman" w:hAnsi="Times New Roman" w:eastAsia="仿宋" w:cs="Times New Roman"/>
                <w:i w:val="0"/>
                <w:iCs w:val="0"/>
                <w:color w:val="auto"/>
                <w:sz w:val="21"/>
                <w:szCs w:val="21"/>
                <w:u w:val="none"/>
              </w:rPr>
            </w:pPr>
          </w:p>
        </w:tc>
        <w:tc>
          <w:tcPr>
            <w:tcW w:w="10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131386.</w:t>
            </w:r>
          </w:p>
        </w:tc>
      </w:tr>
      <w:bookmarkEnd w:id="97"/>
    </w:tbl>
    <w:p>
      <w:pPr>
        <w:pStyle w:val="10"/>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bCs/>
          <w:color w:val="auto"/>
          <w:sz w:val="32"/>
          <w:szCs w:val="32"/>
          <w:lang w:val="en-US" w:eastAsia="zh-CN"/>
        </w:rPr>
      </w:pPr>
    </w:p>
    <w:sectPr>
      <w:pgSz w:w="16838" w:h="11906" w:orient="landscape"/>
      <w:pgMar w:top="1587" w:right="1701" w:bottom="1474" w:left="170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7A18BE-FA18-4A35-9DCA-809543508BA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2" w:fontKey="{65CC3FB6-59CD-4779-B643-08D248D8099C}"/>
  </w:font>
  <w:font w:name="仿宋">
    <w:panose1 w:val="02010609060101010101"/>
    <w:charset w:val="86"/>
    <w:family w:val="auto"/>
    <w:pitch w:val="default"/>
    <w:sig w:usb0="800002BF" w:usb1="38CF7CFA" w:usb2="00000016" w:usb3="00000000" w:csb0="00040001" w:csb1="00000000"/>
    <w:embedRegular r:id="rId3" w:fontKey="{C7E19678-3B5D-4CC4-BF71-785F276FECED}"/>
  </w:font>
  <w:font w:name="Helvetica Neue">
    <w:altName w:val="Times New Roman"/>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panose1 w:val="02000000000000000000"/>
    <w:charset w:val="86"/>
    <w:family w:val="auto"/>
    <w:pitch w:val="default"/>
    <w:sig w:usb0="00000001" w:usb1="08000000" w:usb2="00000000" w:usb3="00000000" w:csb0="00040000" w:csb1="00000000"/>
    <w:embedRegular r:id="rId4" w:fontKey="{BAEEABD9-917C-4733-AD48-8A7F2E904649}"/>
  </w:font>
  <w:font w:name="楷体">
    <w:panose1 w:val="02010609060101010101"/>
    <w:charset w:val="86"/>
    <w:family w:val="auto"/>
    <w:pitch w:val="default"/>
    <w:sig w:usb0="800002BF" w:usb1="38CF7CFA" w:usb2="00000016" w:usb3="00000000" w:csb0="00040001" w:csb1="00000000"/>
    <w:embedRegular r:id="rId5" w:fontKey="{C6892DA0-A4B0-4599-BA65-57295163C49E}"/>
  </w:font>
  <w:font w:name="楷体_GB2312">
    <w:altName w:val="楷体"/>
    <w:panose1 w:val="02010609030101010101"/>
    <w:charset w:val="86"/>
    <w:family w:val="auto"/>
    <w:pitch w:val="default"/>
    <w:sig w:usb0="00000000" w:usb1="00000000" w:usb2="00000000" w:usb3="00000000" w:csb0="00040000" w:csb1="00000000"/>
    <w:embedRegular r:id="rId6" w:fontKey="{88AEA5D6-99EE-4483-8D60-FC0CE50E05AA}"/>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1022"/>
        <w:tab w:val="clear" w:pos="4153"/>
      </w:tabs>
      <w:rPr>
        <w:rFonts w:hint="eastAsia" w:eastAsia="宋体"/>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1022"/>
        <w:tab w:val="clear" w:pos="4153"/>
      </w:tabs>
      <w:rPr>
        <w:rFonts w:hint="eastAsia" w:eastAsia="宋体"/>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aJ58gBAACa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9k&#10;mfXpA9SY9hAwMQ0f/IC5sx/QmWkPKtr8RUIE46ju6aKuHBIR+dFquVpVGBIYmy+Izx6fhwjpo/SW&#10;ZKOhEcdXVOXHO0hj6pySqzl/q40pIzTuPwdiZg/LvY89ZisNu2EitPPtCfn0OPmGOlx0Sswnh8Lm&#10;JZmNOBu72TiEqPdd2aJcD8L7Q8ImSm+5wgg7FcaRFXbTeuWd+Pdesh5/qc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BGiefIAQAAmgMAAA4AAAAAAAAAAQAgAAAAHgEAAGRycy9lMm9Eb2Mu&#10;eG1sUEsFBgAAAAAGAAYAWQEAAFgFAAAAAA==&#10;">
              <v:fill on="f" focussize="0,0"/>
              <v:stroke on="f"/>
              <v:imagedata o:title=""/>
              <o:lock v:ext="edit" aspectratio="f"/>
              <v:textbox inset="0mm,0mm,0mm,0mm" style="mso-fit-shape-to-text:t;">
                <w:txbxContent>
                  <w:p>
                    <w:pPr>
                      <w:pStyle w:val="9"/>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1022"/>
        <w:tab w:val="clear" w:pos="4153"/>
      </w:tabs>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hmOsg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W8&#10;zvr0AWpMewiYmIY7P2Du7Ad0ZtqDijZ/kRDBOKp7vqorh0REfrRerdcVhgTG5gvis8fnIUJ6K70l&#10;2WhoxPEVVfnpPaQxdU7J1Zy/18aUERr3lwMxs4fl3sces5WG/TAR2vv2jHx6nHxDHS46JeadQ2Hz&#10;ksxGnI39bBxD1IeubFGuB+H2mLCJ0luuMMJOhXFkhd20Xnkn/ryXrM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boZjrIAQAAmgMAAA4AAAAAAAAAAQAgAAAAHgEAAGRycy9lMm9Eb2Mu&#10;eG1sUEsFBgAAAAAGAAYAWQEAAFgFAAAAAA==&#10;">
              <v:fill on="f" focussize="0,0"/>
              <v:stroke on="f"/>
              <v:imagedata o:title=""/>
              <o:lock v:ext="edit" aspectratio="f"/>
              <v:textbox inset="0mm,0mm,0mm,0mm" style="mso-fit-shape-to-text:t;">
                <w:txbxContent>
                  <w:p>
                    <w:pPr>
                      <w:pStyle w:val="9"/>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14"/>
      </w:pPr>
      <w:r>
        <w:rPr>
          <w:rStyle w:val="23"/>
        </w:rPr>
        <w:footnoteRef/>
      </w:r>
      <w:r>
        <w:t xml:space="preserve"> </w:t>
      </w:r>
      <w:r>
        <w:rPr>
          <w:rFonts w:hint="eastAsia" w:ascii="宋体" w:hAnsi="宋体" w:eastAsia="宋体" w:cs="宋体"/>
          <w:sz w:val="18"/>
          <w:szCs w:val="18"/>
          <w:lang w:val="en-US" w:eastAsia="zh-CN"/>
        </w:rPr>
        <w:t>《</w:t>
      </w:r>
      <w:r>
        <w:rPr>
          <w:rFonts w:hint="eastAsia" w:ascii="宋体" w:hAnsi="宋体" w:eastAsia="宋体" w:cs="宋体"/>
          <w:snapToGrid w:val="0"/>
          <w:sz w:val="18"/>
          <w:szCs w:val="18"/>
          <w:lang w:eastAsia="zh-CN"/>
        </w:rPr>
        <w:t>攀枝花市“十四五”生态环境保护规划</w:t>
      </w:r>
      <w:r>
        <w:rPr>
          <w:rFonts w:hint="eastAsia" w:ascii="宋体" w:hAnsi="宋体" w:eastAsia="宋体" w:cs="宋体"/>
          <w:sz w:val="18"/>
          <w:szCs w:val="18"/>
          <w:lang w:val="en-US" w:eastAsia="zh-CN"/>
        </w:rPr>
        <w:t>》</w:t>
      </w:r>
    </w:p>
  </w:footnote>
  <w:footnote w:id="1">
    <w:p>
      <w:pPr>
        <w:pStyle w:val="14"/>
      </w:pPr>
      <w:r>
        <w:rPr>
          <w:rStyle w:val="23"/>
        </w:rPr>
        <w:footnoteRef/>
      </w:r>
      <w:r>
        <w:t xml:space="preserve"> </w:t>
      </w:r>
      <w:r>
        <w:rPr>
          <w:rFonts w:hint="eastAsia"/>
        </w:rPr>
        <w:t>《四川省饮用水水源保护管理条例》</w:t>
      </w:r>
    </w:p>
  </w:footnote>
  <w:footnote w:id="2">
    <w:p>
      <w:pPr>
        <w:pStyle w:val="14"/>
      </w:pPr>
      <w:r>
        <w:rPr>
          <w:rStyle w:val="23"/>
        </w:rPr>
        <w:footnoteRef/>
      </w:r>
      <w:r>
        <w:t xml:space="preserve"> </w:t>
      </w:r>
      <w:r>
        <w:rPr>
          <w:rFonts w:hint="eastAsia"/>
        </w:rPr>
        <w:t>《攀枝花市盐边县沙坝水库工程及二滩南部片区供水工程受水区水污染防治规划》</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bidi w:val="0"/>
      <w:rPr>
        <w:rFonts w:hint="eastAsia"/>
      </w:rPr>
    </w:pPr>
    <w:r>
      <w:rPr>
        <w:rFonts w:hint="eastAsia"/>
      </w:rPr>
      <w:t>攀枝花市“十四五”饮用水水源环境保护规划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EC3667"/>
    <w:multiLevelType w:val="singleLevel"/>
    <w:tmpl w:val="A4EC3667"/>
    <w:lvl w:ilvl="0" w:tentative="0">
      <w:start w:val="3"/>
      <w:numFmt w:val="decimal"/>
      <w:suff w:val="nothing"/>
      <w:lvlText w:val="%1、"/>
      <w:lvlJc w:val="left"/>
    </w:lvl>
  </w:abstractNum>
  <w:abstractNum w:abstractNumId="1">
    <w:nsid w:val="13D86E7B"/>
    <w:multiLevelType w:val="multilevel"/>
    <w:tmpl w:val="13D86E7B"/>
    <w:lvl w:ilvl="0" w:tentative="0">
      <w:start w:val="1"/>
      <w:numFmt w:val="decimal"/>
      <w:suff w:val="nothing"/>
      <w:lvlText w:val="%1"/>
      <w:lvlJc w:val="left"/>
      <w:pPr>
        <w:ind w:left="425" w:hanging="425"/>
      </w:pPr>
      <w:rPr>
        <w:rFonts w:hint="eastAsia"/>
      </w:rPr>
    </w:lvl>
    <w:lvl w:ilvl="1" w:tentative="0">
      <w:start w:val="1"/>
      <w:numFmt w:val="decimal"/>
      <w:suff w:val="nothing"/>
      <w:lvlText w:val="%1.%2"/>
      <w:lvlJc w:val="left"/>
      <w:pPr>
        <w:ind w:left="993" w:hanging="567"/>
      </w:pPr>
      <w:rPr>
        <w:rFonts w:hint="eastAsia"/>
      </w:rPr>
    </w:lvl>
    <w:lvl w:ilvl="2" w:tentative="0">
      <w:start w:val="1"/>
      <w:numFmt w:val="decimal"/>
      <w:suff w:val="nothing"/>
      <w:lvlText w:val="%1.%2.%3"/>
      <w:lvlJc w:val="left"/>
      <w:pPr>
        <w:ind w:left="1276" w:hanging="567"/>
      </w:pPr>
      <w:rPr>
        <w:rFonts w:hint="eastAsia"/>
      </w:rPr>
    </w:lvl>
    <w:lvl w:ilvl="3" w:tentative="0">
      <w:start w:val="1"/>
      <w:numFmt w:val="decimal"/>
      <w:pStyle w:val="4"/>
      <w:suff w:val="nothing"/>
      <w:lvlText w:val="%1.%2.%3.%4"/>
      <w:lvlJc w:val="left"/>
      <w:pPr>
        <w:ind w:left="2409" w:hanging="708"/>
      </w:pPr>
      <w:rPr>
        <w:rFonts w:hint="eastAsia"/>
        <w:lang w:val="en-US"/>
      </w:rPr>
    </w:lvl>
    <w:lvl w:ilvl="4" w:tentative="0">
      <w:start w:val="1"/>
      <w:numFmt w:val="decimal"/>
      <w:suff w:val="nothing"/>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6AF4BA01"/>
    <w:multiLevelType w:val="singleLevel"/>
    <w:tmpl w:val="6AF4BA01"/>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6"/>
    <w:footnote w:id="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lY2M5NWNkN2ZlMzgxMzY1YTAyOWI2Y2EzNmM2N2YifQ=="/>
  </w:docVars>
  <w:rsids>
    <w:rsidRoot w:val="00000000"/>
    <w:rsid w:val="005A7208"/>
    <w:rsid w:val="019E78B4"/>
    <w:rsid w:val="01C245B6"/>
    <w:rsid w:val="025C5BE3"/>
    <w:rsid w:val="02936A01"/>
    <w:rsid w:val="02F26C86"/>
    <w:rsid w:val="03343620"/>
    <w:rsid w:val="0403494A"/>
    <w:rsid w:val="045D72C7"/>
    <w:rsid w:val="06C61385"/>
    <w:rsid w:val="06D64860"/>
    <w:rsid w:val="08206641"/>
    <w:rsid w:val="08804EE2"/>
    <w:rsid w:val="09D93C30"/>
    <w:rsid w:val="0A3E5EE3"/>
    <w:rsid w:val="0AEB484F"/>
    <w:rsid w:val="0B557BA5"/>
    <w:rsid w:val="0BC668C1"/>
    <w:rsid w:val="0C364685"/>
    <w:rsid w:val="0C392055"/>
    <w:rsid w:val="0E7F4EB9"/>
    <w:rsid w:val="0EF45FEF"/>
    <w:rsid w:val="0F546B75"/>
    <w:rsid w:val="0FDC5544"/>
    <w:rsid w:val="108C1CE9"/>
    <w:rsid w:val="109079DB"/>
    <w:rsid w:val="10C3689D"/>
    <w:rsid w:val="13883E92"/>
    <w:rsid w:val="155847F4"/>
    <w:rsid w:val="15C84168"/>
    <w:rsid w:val="162E461F"/>
    <w:rsid w:val="16D00D56"/>
    <w:rsid w:val="1800023D"/>
    <w:rsid w:val="18952734"/>
    <w:rsid w:val="19065693"/>
    <w:rsid w:val="19331516"/>
    <w:rsid w:val="19996254"/>
    <w:rsid w:val="19EC2827"/>
    <w:rsid w:val="1B7F27D7"/>
    <w:rsid w:val="1D0E1B5B"/>
    <w:rsid w:val="1E5D2BD2"/>
    <w:rsid w:val="216E2FE1"/>
    <w:rsid w:val="2197576F"/>
    <w:rsid w:val="21EF55AB"/>
    <w:rsid w:val="23AB7467"/>
    <w:rsid w:val="23E861E7"/>
    <w:rsid w:val="24155F99"/>
    <w:rsid w:val="248A5117"/>
    <w:rsid w:val="24EF58C2"/>
    <w:rsid w:val="25096983"/>
    <w:rsid w:val="26BE72FA"/>
    <w:rsid w:val="27FA04A4"/>
    <w:rsid w:val="2B1A4D1A"/>
    <w:rsid w:val="2B931F2B"/>
    <w:rsid w:val="2C7A3CC3"/>
    <w:rsid w:val="2CA421B4"/>
    <w:rsid w:val="2D3B2FCE"/>
    <w:rsid w:val="2E262354"/>
    <w:rsid w:val="2EC27BA3"/>
    <w:rsid w:val="2F081A5A"/>
    <w:rsid w:val="309C0E9F"/>
    <w:rsid w:val="30EE4C7F"/>
    <w:rsid w:val="328238D1"/>
    <w:rsid w:val="32FA49E9"/>
    <w:rsid w:val="36960F18"/>
    <w:rsid w:val="36A63959"/>
    <w:rsid w:val="36B16558"/>
    <w:rsid w:val="399F745E"/>
    <w:rsid w:val="39F72585"/>
    <w:rsid w:val="3A59760D"/>
    <w:rsid w:val="3A8C1337"/>
    <w:rsid w:val="3BA60B91"/>
    <w:rsid w:val="3C89409A"/>
    <w:rsid w:val="3CA65ECA"/>
    <w:rsid w:val="3F95790E"/>
    <w:rsid w:val="408F034B"/>
    <w:rsid w:val="41CF6407"/>
    <w:rsid w:val="426A3EF5"/>
    <w:rsid w:val="43AF7973"/>
    <w:rsid w:val="44DF4BB3"/>
    <w:rsid w:val="45594965"/>
    <w:rsid w:val="45F60406"/>
    <w:rsid w:val="4708579A"/>
    <w:rsid w:val="47B21F7A"/>
    <w:rsid w:val="49227764"/>
    <w:rsid w:val="495F28F1"/>
    <w:rsid w:val="4A131068"/>
    <w:rsid w:val="4A557F57"/>
    <w:rsid w:val="4BE8259F"/>
    <w:rsid w:val="4BF34641"/>
    <w:rsid w:val="4C343D62"/>
    <w:rsid w:val="4C612351"/>
    <w:rsid w:val="4EA47830"/>
    <w:rsid w:val="501E2A33"/>
    <w:rsid w:val="511E4CB5"/>
    <w:rsid w:val="51D3784E"/>
    <w:rsid w:val="51E8651A"/>
    <w:rsid w:val="5238481F"/>
    <w:rsid w:val="53624389"/>
    <w:rsid w:val="537E14D0"/>
    <w:rsid w:val="537E34E2"/>
    <w:rsid w:val="53864322"/>
    <w:rsid w:val="53CD47B1"/>
    <w:rsid w:val="552B2EF2"/>
    <w:rsid w:val="556947A2"/>
    <w:rsid w:val="55781E7A"/>
    <w:rsid w:val="55A95BDD"/>
    <w:rsid w:val="56666EE2"/>
    <w:rsid w:val="569D1D6E"/>
    <w:rsid w:val="5A9543EF"/>
    <w:rsid w:val="5FBA3DFB"/>
    <w:rsid w:val="603C1CD3"/>
    <w:rsid w:val="616B5BBD"/>
    <w:rsid w:val="621A6DD3"/>
    <w:rsid w:val="62A66CC7"/>
    <w:rsid w:val="62F750FE"/>
    <w:rsid w:val="63D01E3F"/>
    <w:rsid w:val="64AA6B34"/>
    <w:rsid w:val="650605E3"/>
    <w:rsid w:val="65BA4740"/>
    <w:rsid w:val="69E14E96"/>
    <w:rsid w:val="6A294057"/>
    <w:rsid w:val="6A5400BE"/>
    <w:rsid w:val="6AD61D9F"/>
    <w:rsid w:val="6B011A45"/>
    <w:rsid w:val="6BB43DF4"/>
    <w:rsid w:val="6CA95923"/>
    <w:rsid w:val="6DFC1C1C"/>
    <w:rsid w:val="6E296D1B"/>
    <w:rsid w:val="701D01BA"/>
    <w:rsid w:val="71065D68"/>
    <w:rsid w:val="73401C7C"/>
    <w:rsid w:val="7399224D"/>
    <w:rsid w:val="740F7429"/>
    <w:rsid w:val="75641C34"/>
    <w:rsid w:val="764A3CD3"/>
    <w:rsid w:val="77B44FB4"/>
    <w:rsid w:val="780F341D"/>
    <w:rsid w:val="79152957"/>
    <w:rsid w:val="79534C4C"/>
    <w:rsid w:val="79935991"/>
    <w:rsid w:val="79DF38C0"/>
    <w:rsid w:val="7A0A57D4"/>
    <w:rsid w:val="7A41698C"/>
    <w:rsid w:val="7BB4238A"/>
    <w:rsid w:val="7C3E331D"/>
    <w:rsid w:val="7CAB314C"/>
    <w:rsid w:val="7DC223A1"/>
    <w:rsid w:val="7E4C610E"/>
    <w:rsid w:val="7EDB517C"/>
    <w:rsid w:val="7F0365F2"/>
    <w:rsid w:val="7F9240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qFormat/>
    <w:uiPriority w:val="9"/>
    <w:pPr>
      <w:keepNext/>
      <w:keepLines/>
      <w:widowControl w:val="0"/>
      <w:numPr>
        <w:ilvl w:val="3"/>
        <w:numId w:val="1"/>
      </w:numPr>
      <w:adjustRightInd/>
      <w:snapToGrid/>
      <w:ind w:left="0" w:firstLine="560" w:firstLineChars="0"/>
      <w:outlineLvl w:val="3"/>
    </w:pPr>
    <w:rPr>
      <w:rFonts w:eastAsia="仿宋_GB2312"/>
      <w:bCs/>
      <w:color w:val="000000"/>
      <w:kern w:val="2"/>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ourier New" w:hAnsi="Courier New" w:eastAsia="仿宋_GB2312" w:cs="Courier New"/>
      <w:color w:val="000000"/>
      <w:sz w:val="24"/>
      <w:szCs w:val="24"/>
      <w:lang w:val="en-US" w:eastAsia="zh-CN" w:bidi="ar-SA"/>
    </w:rPr>
  </w:style>
  <w:style w:type="paragraph" w:styleId="5">
    <w:name w:val="annotation text"/>
    <w:basedOn w:val="1"/>
    <w:qFormat/>
    <w:uiPriority w:val="0"/>
    <w:pPr>
      <w:jc w:val="left"/>
    </w:pPr>
  </w:style>
  <w:style w:type="paragraph" w:styleId="6">
    <w:name w:val="Salutation"/>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7">
    <w:name w:val="Body Text"/>
    <w:basedOn w:val="1"/>
    <w:qFormat/>
    <w:uiPriority w:val="0"/>
    <w:rPr>
      <w:rFonts w:eastAsia="宋体"/>
    </w:rPr>
  </w:style>
  <w:style w:type="paragraph" w:styleId="8">
    <w:name w:val="Body Text Indent"/>
    <w:basedOn w:val="1"/>
    <w:next w:val="9"/>
    <w:unhideWhenUsed/>
    <w:qFormat/>
    <w:uiPriority w:val="99"/>
    <w:pPr>
      <w:spacing w:after="120"/>
      <w:ind w:left="420" w:leftChars="200"/>
    </w:pPr>
  </w:style>
  <w:style w:type="paragraph" w:styleId="9">
    <w:name w:val="footer"/>
    <w:basedOn w:val="1"/>
    <w:unhideWhenUsed/>
    <w:qFormat/>
    <w:uiPriority w:val="99"/>
    <w:pPr>
      <w:tabs>
        <w:tab w:val="center" w:pos="4153"/>
        <w:tab w:val="right" w:pos="8306"/>
      </w:tabs>
      <w:jc w:val="left"/>
    </w:pPr>
    <w:rPr>
      <w:sz w:val="18"/>
      <w:szCs w:val="18"/>
    </w:rPr>
  </w:style>
  <w:style w:type="paragraph" w:styleId="10">
    <w:name w:val="Plain Text"/>
    <w:qFormat/>
    <w:uiPriority w:val="0"/>
    <w:pPr>
      <w:widowControl w:val="0"/>
      <w:jc w:val="both"/>
    </w:pPr>
    <w:rPr>
      <w:rFonts w:ascii="宋体" w:hAnsi="Calibri" w:eastAsia="宋体" w:cs="Courier New"/>
      <w:kern w:val="2"/>
      <w:sz w:val="21"/>
      <w:szCs w:val="21"/>
      <w:lang w:val="en-US" w:eastAsia="zh-CN" w:bidi="ar-SA"/>
    </w:rPr>
  </w:style>
  <w:style w:type="paragraph" w:styleId="11">
    <w:name w:val="Body Text Indent 2"/>
    <w:basedOn w:val="1"/>
    <w:next w:val="1"/>
    <w:qFormat/>
    <w:uiPriority w:val="0"/>
    <w:pPr>
      <w:spacing w:after="120" w:line="480" w:lineRule="auto"/>
      <w:ind w:left="420" w:leftChars="200"/>
    </w:p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unhideWhenUsed/>
    <w:qFormat/>
    <w:uiPriority w:val="99"/>
    <w:pPr>
      <w:snapToGrid w:val="0"/>
      <w:jc w:val="left"/>
    </w:pPr>
    <w:rPr>
      <w:sz w:val="18"/>
      <w:szCs w:val="18"/>
    </w:rPr>
  </w:style>
  <w:style w:type="paragraph" w:styleId="15">
    <w:name w:val="toc 2"/>
    <w:basedOn w:val="1"/>
    <w:next w:val="1"/>
    <w:qFormat/>
    <w:uiPriority w:val="0"/>
    <w:pPr>
      <w:ind w:left="420" w:leftChars="200"/>
    </w:pPr>
  </w:style>
  <w:style w:type="paragraph" w:styleId="16">
    <w:name w:val="Body Text First Indent 2"/>
    <w:basedOn w:val="8"/>
    <w:next w:val="10"/>
    <w:qFormat/>
    <w:uiPriority w:val="99"/>
    <w:pPr>
      <w:ind w:firstLine="420"/>
    </w:pPr>
    <w:rPr>
      <w:rFonts w:ascii="Calibri" w:hAnsi="Calibri" w:eastAsia="宋体"/>
      <w:kern w:val="0"/>
      <w:sz w:val="20"/>
      <w:szCs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0"/>
    <w:rPr>
      <w:i/>
    </w:rPr>
  </w:style>
  <w:style w:type="character" w:styleId="22">
    <w:name w:val="Hyperlink"/>
    <w:basedOn w:val="19"/>
    <w:qFormat/>
    <w:uiPriority w:val="0"/>
    <w:rPr>
      <w:color w:val="0000FF"/>
      <w:u w:val="single"/>
    </w:rPr>
  </w:style>
  <w:style w:type="character" w:styleId="23">
    <w:name w:val="footnote reference"/>
    <w:basedOn w:val="19"/>
    <w:unhideWhenUsed/>
    <w:qFormat/>
    <w:uiPriority w:val="99"/>
    <w:rPr>
      <w:vertAlign w:val="superscript"/>
    </w:rPr>
  </w:style>
  <w:style w:type="paragraph" w:customStyle="1" w:styleId="24">
    <w:name w:val="图表题"/>
    <w:basedOn w:val="1"/>
    <w:qFormat/>
    <w:uiPriority w:val="0"/>
    <w:pPr>
      <w:widowControl w:val="0"/>
      <w:adjustRightInd/>
      <w:snapToGrid/>
      <w:ind w:firstLine="0" w:firstLineChars="0"/>
      <w:jc w:val="center"/>
    </w:pPr>
    <w:rPr>
      <w:rFonts w:eastAsia="黑体" w:cs="Times New Roman"/>
      <w:b/>
      <w:kern w:val="2"/>
      <w:sz w:val="18"/>
      <w:szCs w:val="24"/>
    </w:rPr>
  </w:style>
  <w:style w:type="paragraph" w:customStyle="1" w:styleId="25">
    <w:name w:val="图表内容"/>
    <w:basedOn w:val="1"/>
    <w:qFormat/>
    <w:uiPriority w:val="0"/>
    <w:pPr>
      <w:adjustRightInd/>
      <w:snapToGrid/>
      <w:spacing w:line="240" w:lineRule="auto"/>
      <w:ind w:firstLine="0" w:firstLineChars="0"/>
      <w:jc w:val="center"/>
    </w:pPr>
    <w:rPr>
      <w:sz w:val="18"/>
      <w:szCs w:val="18"/>
    </w:rPr>
  </w:style>
  <w:style w:type="paragraph" w:customStyle="1" w:styleId="26">
    <w:name w:val="文字"/>
    <w:basedOn w:val="1"/>
    <w:qFormat/>
    <w:uiPriority w:val="0"/>
    <w:pPr>
      <w:spacing w:after="120" w:afterLines="0" w:afterAutospacing="0" w:line="360" w:lineRule="auto"/>
      <w:ind w:firstLine="420"/>
      <w:jc w:val="both"/>
    </w:p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character" w:customStyle="1" w:styleId="28">
    <w:name w:val="font31"/>
    <w:basedOn w:val="19"/>
    <w:qFormat/>
    <w:uiPriority w:val="0"/>
    <w:rPr>
      <w:rFonts w:hint="eastAsia" w:ascii="宋体" w:hAnsi="宋体" w:eastAsia="宋体" w:cs="宋体"/>
      <w:color w:val="000000"/>
      <w:sz w:val="20"/>
      <w:szCs w:val="20"/>
      <w:u w:val="none"/>
    </w:rPr>
  </w:style>
  <w:style w:type="character" w:customStyle="1" w:styleId="29">
    <w:name w:val="font51"/>
    <w:basedOn w:val="19"/>
    <w:qFormat/>
    <w:uiPriority w:val="0"/>
    <w:rPr>
      <w:rFonts w:hint="eastAsia" w:ascii="仿宋" w:hAnsi="仿宋" w:eastAsia="仿宋" w:cs="仿宋"/>
      <w:color w:val="000000"/>
      <w:sz w:val="20"/>
      <w:szCs w:val="20"/>
      <w:u w:val="none"/>
    </w:rPr>
  </w:style>
  <w:style w:type="character" w:customStyle="1" w:styleId="30">
    <w:name w:val="font61"/>
    <w:basedOn w:val="19"/>
    <w:qFormat/>
    <w:uiPriority w:val="0"/>
    <w:rPr>
      <w:rFonts w:hint="eastAsia" w:ascii="仿宋" w:hAnsi="仿宋" w:eastAsia="仿宋" w:cs="仿宋"/>
      <w:color w:val="FF0000"/>
      <w:sz w:val="20"/>
      <w:szCs w:val="20"/>
      <w:u w:val="none"/>
    </w:rPr>
  </w:style>
  <w:style w:type="character" w:customStyle="1" w:styleId="31">
    <w:name w:val="font41"/>
    <w:basedOn w:val="19"/>
    <w:qFormat/>
    <w:uiPriority w:val="0"/>
    <w:rPr>
      <w:rFonts w:hint="eastAsia" w:ascii="仿宋" w:hAnsi="仿宋" w:eastAsia="仿宋" w:cs="仿宋"/>
      <w:color w:val="000000"/>
      <w:sz w:val="20"/>
      <w:szCs w:val="20"/>
      <w:u w:val="none"/>
    </w:rPr>
  </w:style>
  <w:style w:type="character" w:customStyle="1" w:styleId="32">
    <w:name w:val="font71"/>
    <w:basedOn w:val="19"/>
    <w:qFormat/>
    <w:uiPriority w:val="0"/>
    <w:rPr>
      <w:rFonts w:hint="eastAsia" w:ascii="宋体" w:hAnsi="宋体" w:eastAsia="宋体" w:cs="宋体"/>
      <w:color w:val="000000"/>
      <w:sz w:val="20"/>
      <w:szCs w:val="20"/>
      <w:u w:val="none"/>
    </w:rPr>
  </w:style>
  <w:style w:type="character" w:customStyle="1" w:styleId="33">
    <w:name w:val="font11"/>
    <w:basedOn w:val="19"/>
    <w:qFormat/>
    <w:uiPriority w:val="0"/>
    <w:rPr>
      <w:rFonts w:hint="eastAsia" w:ascii="仿宋" w:hAnsi="仿宋" w:eastAsia="仿宋" w:cs="仿宋"/>
      <w:color w:val="000000"/>
      <w:sz w:val="21"/>
      <w:szCs w:val="21"/>
      <w:u w:val="none"/>
    </w:rPr>
  </w:style>
  <w:style w:type="character" w:customStyle="1" w:styleId="34">
    <w:name w:val="font21"/>
    <w:basedOn w:val="19"/>
    <w:qFormat/>
    <w:uiPriority w:val="0"/>
    <w:rPr>
      <w:rFonts w:hint="eastAsia" w:ascii="仿宋" w:hAnsi="仿宋" w:eastAsia="仿宋" w:cs="仿宋"/>
      <w:color w:val="000000"/>
      <w:sz w:val="21"/>
      <w:szCs w:val="21"/>
      <w:u w:val="none"/>
      <w:vertAlign w:val="superscript"/>
    </w:rPr>
  </w:style>
  <w:style w:type="paragraph" w:customStyle="1" w:styleId="35">
    <w:name w:val="默认"/>
    <w:basedOn w:val="1"/>
    <w:next w:val="1"/>
    <w:qFormat/>
    <w:uiPriority w:val="99"/>
    <w:rPr>
      <w:rFonts w:ascii="Helvetica Neue" w:hAnsi="Helvetica Neue" w:eastAsia="Arial Unicode MS" w:cs="Arial Unicode MS"/>
      <w:color w:val="000000"/>
      <w:sz w:val="22"/>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023&#24180;&#24037;&#20316;&#25991;&#26723;\2023.10.11&#25856;&#26525;&#33457;&#21313;&#22235;&#20116;&#39278;&#29992;&#27700;&#27700;&#28304;&#20445;&#25252;&#35268;&#21010;\&#25856;&#26525;&#33457;&#24066;&#39278;&#29992;&#27700;&#2830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023&#24180;&#24037;&#20316;&#25991;&#26723;\2023.10.11&#25856;&#26525;&#33457;&#21313;&#22235;&#20116;&#39278;&#29992;&#27700;&#27700;&#28304;&#20445;&#25252;&#35268;&#21010;\&#25856;&#26525;&#33457;&#24066;&#39278;&#29992;&#27700;&#283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[攀枝花市饮用水源.xlsx]Sheet1!$G$2</c:f>
              <c:strCache>
                <c:ptCount val="1"/>
                <c:pt idx="0">
                  <c:v>湖库型</c:v>
                </c:pt>
              </c:strCache>
            </c:strRef>
          </c:tx>
          <c:spPr>
            <a:solidFill>
              <a:srgbClr val="4F81BD"/>
            </a:solidFill>
            <a:ln>
              <a:solidFill>
                <a:srgbClr val="FFFFFF"/>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[攀枝花市饮用水源.xlsx]Sheet1!$F$3:$F$6</c:f>
              <c:strCache>
                <c:ptCount val="4"/>
                <c:pt idx="0">
                  <c:v>地级</c:v>
                </c:pt>
                <c:pt idx="1">
                  <c:v>县级</c:v>
                </c:pt>
                <c:pt idx="2">
                  <c:v>乡镇</c:v>
                </c:pt>
                <c:pt idx="3">
                  <c:v>全市</c:v>
                </c:pt>
              </c:strCache>
            </c:strRef>
          </c:cat>
          <c:val>
            <c:numRef>
              <c:f>[攀枝花市饮用水源.xlsx]Sheet1!$G$3:$G$6</c:f>
              <c:numCache>
                <c:formatCode>0%</c:formatCode>
                <c:ptCount val="4"/>
                <c:pt idx="0">
                  <c:v>1</c:v>
                </c:pt>
                <c:pt idx="1">
                  <c:v>0.75</c:v>
                </c:pt>
                <c:pt idx="2">
                  <c:v>0.4</c:v>
                </c:pt>
                <c:pt idx="3">
                  <c:v>0.48</c:v>
                </c:pt>
              </c:numCache>
            </c:numRef>
          </c:val>
        </c:ser>
        <c:ser>
          <c:idx val="1"/>
          <c:order val="1"/>
          <c:tx>
            <c:strRef>
              <c:f>[攀枝花市饮用水源.xlsx]Sheet1!$H$2</c:f>
              <c:strCache>
                <c:ptCount val="1"/>
                <c:pt idx="0">
                  <c:v>河流型</c:v>
                </c:pt>
              </c:strCache>
            </c:strRef>
          </c:tx>
          <c:spPr>
            <a:solidFill>
              <a:srgbClr val="C0504D"/>
            </a:solidFill>
            <a:ln>
              <a:solidFill>
                <a:srgbClr val="FFFFFF"/>
              </a:solid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[攀枝花市饮用水源.xlsx]Sheet1!$F$3:$F$6</c:f>
              <c:strCache>
                <c:ptCount val="4"/>
                <c:pt idx="0">
                  <c:v>地级</c:v>
                </c:pt>
                <c:pt idx="1">
                  <c:v>县级</c:v>
                </c:pt>
                <c:pt idx="2">
                  <c:v>乡镇</c:v>
                </c:pt>
                <c:pt idx="3">
                  <c:v>全市</c:v>
                </c:pt>
              </c:strCache>
            </c:strRef>
          </c:cat>
          <c:val>
            <c:numRef>
              <c:f>[攀枝花市饮用水源.xlsx]Sheet1!$H$3:$H$6</c:f>
              <c:numCache>
                <c:formatCode>0%</c:formatCode>
                <c:ptCount val="4"/>
                <c:pt idx="0">
                  <c:v>0</c:v>
                </c:pt>
                <c:pt idx="1">
                  <c:v>0.25</c:v>
                </c:pt>
                <c:pt idx="2">
                  <c:v>0.45</c:v>
                </c:pt>
                <c:pt idx="3">
                  <c:v>0.4</c:v>
                </c:pt>
              </c:numCache>
            </c:numRef>
          </c:val>
        </c:ser>
        <c:ser>
          <c:idx val="2"/>
          <c:order val="2"/>
          <c:tx>
            <c:strRef>
              <c:f>[攀枝花市饮用水源.xlsx]Sheet1!$I$2</c:f>
              <c:strCache>
                <c:ptCount val="1"/>
                <c:pt idx="0">
                  <c:v>地下水</c:v>
                </c:pt>
              </c:strCache>
            </c:strRef>
          </c:tx>
          <c:spPr>
            <a:solidFill>
              <a:srgbClr val="9BBB59"/>
            </a:solidFill>
            <a:ln>
              <a:solidFill>
                <a:srgbClr val="FFFFFF"/>
              </a:solidFill>
            </a:ln>
            <a:effectLst/>
          </c:spPr>
          <c:invertIfNegative val="0"/>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[攀枝花市饮用水源.xlsx]Sheet1!$F$3:$F$6</c:f>
              <c:strCache>
                <c:ptCount val="4"/>
                <c:pt idx="0">
                  <c:v>地级</c:v>
                </c:pt>
                <c:pt idx="1">
                  <c:v>县级</c:v>
                </c:pt>
                <c:pt idx="2">
                  <c:v>乡镇</c:v>
                </c:pt>
                <c:pt idx="3">
                  <c:v>全市</c:v>
                </c:pt>
              </c:strCache>
            </c:strRef>
          </c:cat>
          <c:val>
            <c:numRef>
              <c:f>[攀枝花市饮用水源.xlsx]Sheet1!$I$3:$I$6</c:f>
              <c:numCache>
                <c:formatCode>0%</c:formatCode>
                <c:ptCount val="4"/>
                <c:pt idx="0">
                  <c:v>0</c:v>
                </c:pt>
                <c:pt idx="1">
                  <c:v>0</c:v>
                </c:pt>
                <c:pt idx="2">
                  <c:v>0.15</c:v>
                </c:pt>
                <c:pt idx="3">
                  <c:v>0.12</c:v>
                </c:pt>
              </c:numCache>
            </c:numRef>
          </c:val>
        </c:ser>
        <c:dLbls>
          <c:showLegendKey val="0"/>
          <c:showVal val="1"/>
          <c:showCatName val="0"/>
          <c:showSerName val="0"/>
          <c:showPercent val="0"/>
          <c:showBubbleSize val="0"/>
        </c:dLbls>
        <c:gapWidth val="246"/>
        <c:overlap val="100"/>
        <c:axId val="339659267"/>
        <c:axId val="14451927"/>
      </c:barChart>
      <c:catAx>
        <c:axId val="339659267"/>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4451927"/>
        <c:crosses val="autoZero"/>
        <c:auto val="1"/>
        <c:lblAlgn val="ctr"/>
        <c:lblOffset val="100"/>
        <c:noMultiLvlLbl val="0"/>
      </c:catAx>
      <c:valAx>
        <c:axId val="14451927"/>
        <c:scaling>
          <c:orientation val="minMax"/>
          <c:max val="1"/>
        </c:scaling>
        <c:delete val="0"/>
        <c:axPos val="l"/>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39659267"/>
        <c:crosses val="autoZero"/>
        <c:crossBetween val="between"/>
        <c:majorUnit val="0.2"/>
      </c:valAx>
      <c:spPr>
        <a:noFill/>
        <a:ln w="12700" cmpd="sng">
          <a:solidFill>
            <a:srgbClr val="000000"/>
          </a:solidFill>
          <a:prstDash val="solid"/>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[攀枝花市饮用水源.xlsx]Sheet1!$B$22</c:f>
              <c:strCache>
                <c:ptCount val="1"/>
                <c:pt idx="0">
                  <c:v>地级</c:v>
                </c:pt>
              </c:strCache>
            </c:strRef>
          </c:tx>
          <c:spPr>
            <a:solidFill>
              <a:srgbClr val="4F81BD"/>
            </a:solidFill>
            <a:ln>
              <a:noFill/>
            </a:ln>
            <a:effectLst/>
          </c:spPr>
          <c:invertIfNegative val="0"/>
          <c:dLbls>
            <c:dLbl>
              <c:idx val="1"/>
              <c:delete val="1"/>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[攀枝花市饮用水源.xlsx]Sheet1!$C$21:$F$21</c:f>
              <c:strCache>
                <c:ptCount val="4"/>
                <c:pt idx="0">
                  <c:v>城区</c:v>
                </c:pt>
                <c:pt idx="1">
                  <c:v>仁和区</c:v>
                </c:pt>
                <c:pt idx="2">
                  <c:v>米易县</c:v>
                </c:pt>
                <c:pt idx="3">
                  <c:v>盐边县</c:v>
                </c:pt>
              </c:strCache>
            </c:strRef>
          </c:cat>
          <c:val>
            <c:numRef>
              <c:f>[攀枝花市饮用水源.xlsx]Sheet1!$C$22:$F$22</c:f>
              <c:numCache>
                <c:formatCode>General</c:formatCode>
                <c:ptCount val="4"/>
                <c:pt idx="0">
                  <c:v>1</c:v>
                </c:pt>
                <c:pt idx="1">
                  <c:v>0</c:v>
                </c:pt>
                <c:pt idx="2">
                  <c:v>0</c:v>
                </c:pt>
                <c:pt idx="3">
                  <c:v>0</c:v>
                </c:pt>
              </c:numCache>
            </c:numRef>
          </c:val>
        </c:ser>
        <c:ser>
          <c:idx val="1"/>
          <c:order val="1"/>
          <c:tx>
            <c:strRef>
              <c:f>[攀枝花市饮用水源.xlsx]Sheet1!$B$23</c:f>
              <c:strCache>
                <c:ptCount val="1"/>
                <c:pt idx="0">
                  <c:v>县级</c:v>
                </c:pt>
              </c:strCache>
            </c:strRef>
          </c:tx>
          <c:spPr>
            <a:solidFill>
              <a:srgbClr val="C0504D"/>
            </a:solidFill>
            <a:ln>
              <a:no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[攀枝花市饮用水源.xlsx]Sheet1!$C$21:$F$21</c:f>
              <c:strCache>
                <c:ptCount val="4"/>
                <c:pt idx="0">
                  <c:v>城区</c:v>
                </c:pt>
                <c:pt idx="1">
                  <c:v>仁和区</c:v>
                </c:pt>
                <c:pt idx="2">
                  <c:v>米易县</c:v>
                </c:pt>
                <c:pt idx="3">
                  <c:v>盐边县</c:v>
                </c:pt>
              </c:strCache>
            </c:strRef>
          </c:cat>
          <c:val>
            <c:numRef>
              <c:f>[攀枝花市饮用水源.xlsx]Sheet1!$C$23:$F$23</c:f>
              <c:numCache>
                <c:formatCode>General</c:formatCode>
                <c:ptCount val="4"/>
                <c:pt idx="0">
                  <c:v>0</c:v>
                </c:pt>
                <c:pt idx="1">
                  <c:v>1</c:v>
                </c:pt>
                <c:pt idx="2">
                  <c:v>2</c:v>
                </c:pt>
                <c:pt idx="3">
                  <c:v>1</c:v>
                </c:pt>
              </c:numCache>
            </c:numRef>
          </c:val>
        </c:ser>
        <c:ser>
          <c:idx val="2"/>
          <c:order val="2"/>
          <c:tx>
            <c:strRef>
              <c:f>[攀枝花市饮用水源.xlsx]Sheet1!$B$24</c:f>
              <c:strCache>
                <c:ptCount val="1"/>
                <c:pt idx="0">
                  <c:v>乡镇</c:v>
                </c:pt>
              </c:strCache>
            </c:strRef>
          </c:tx>
          <c:spPr>
            <a:solidFill>
              <a:srgbClr val="9BBB59"/>
            </a:solidFill>
            <a:ln>
              <a:no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[攀枝花市饮用水源.xlsx]Sheet1!$C$21:$F$21</c:f>
              <c:strCache>
                <c:ptCount val="4"/>
                <c:pt idx="0">
                  <c:v>城区</c:v>
                </c:pt>
                <c:pt idx="1">
                  <c:v>仁和区</c:v>
                </c:pt>
                <c:pt idx="2">
                  <c:v>米易县</c:v>
                </c:pt>
                <c:pt idx="3">
                  <c:v>盐边县</c:v>
                </c:pt>
              </c:strCache>
            </c:strRef>
          </c:cat>
          <c:val>
            <c:numRef>
              <c:f>[攀枝花市饮用水源.xlsx]Sheet1!$C$24:$F$24</c:f>
              <c:numCache>
                <c:formatCode>General</c:formatCode>
                <c:ptCount val="4"/>
                <c:pt idx="0">
                  <c:v>0</c:v>
                </c:pt>
                <c:pt idx="1">
                  <c:v>5</c:v>
                </c:pt>
                <c:pt idx="2">
                  <c:v>7</c:v>
                </c:pt>
                <c:pt idx="3">
                  <c:v>8</c:v>
                </c:pt>
              </c:numCache>
            </c:numRef>
          </c:val>
        </c:ser>
        <c:ser>
          <c:idx val="3"/>
          <c:order val="3"/>
          <c:tx>
            <c:strRef>
              <c:f>[攀枝花市饮用水源.xlsx]Sheet1!$B$25</c:f>
              <c:strCache>
                <c:ptCount val="1"/>
                <c:pt idx="0">
                  <c:v>总数</c:v>
                </c:pt>
              </c:strCache>
            </c:strRef>
          </c:tx>
          <c:spPr>
            <a:solidFill>
              <a:srgbClr val="8064A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[攀枝花市饮用水源.xlsx]Sheet1!$C$21:$F$21</c:f>
              <c:strCache>
                <c:ptCount val="4"/>
                <c:pt idx="0">
                  <c:v>城区</c:v>
                </c:pt>
                <c:pt idx="1">
                  <c:v>仁和区</c:v>
                </c:pt>
                <c:pt idx="2">
                  <c:v>米易县</c:v>
                </c:pt>
                <c:pt idx="3">
                  <c:v>盐边县</c:v>
                </c:pt>
              </c:strCache>
            </c:strRef>
          </c:cat>
          <c:val>
            <c:numRef>
              <c:f>[攀枝花市饮用水源.xlsx]Sheet1!$C$25:$F$25</c:f>
              <c:numCache>
                <c:formatCode>General</c:formatCode>
                <c:ptCount val="4"/>
                <c:pt idx="0">
                  <c:v>1</c:v>
                </c:pt>
                <c:pt idx="1">
                  <c:v>6</c:v>
                </c:pt>
                <c:pt idx="2">
                  <c:v>9</c:v>
                </c:pt>
                <c:pt idx="3">
                  <c:v>9</c:v>
                </c:pt>
              </c:numCache>
            </c:numRef>
          </c:val>
        </c:ser>
        <c:dLbls>
          <c:showLegendKey val="0"/>
          <c:showVal val="1"/>
          <c:showCatName val="0"/>
          <c:showSerName val="0"/>
          <c:showPercent val="0"/>
          <c:showBubbleSize val="0"/>
        </c:dLbls>
        <c:gapWidth val="246"/>
        <c:overlap val="-28"/>
        <c:axId val="834282145"/>
        <c:axId val="292741254"/>
      </c:barChart>
      <c:catAx>
        <c:axId val="834282145"/>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92741254"/>
        <c:crosses val="autoZero"/>
        <c:auto val="1"/>
        <c:lblAlgn val="ctr"/>
        <c:lblOffset val="100"/>
        <c:noMultiLvlLbl val="0"/>
      </c:catAx>
      <c:valAx>
        <c:axId val="29274125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34282145"/>
        <c:crosses val="autoZero"/>
        <c:crossBetween val="between"/>
      </c:valAx>
      <c:spPr>
        <a:noFill/>
        <a:ln>
          <a:solidFill>
            <a:srgbClr val="00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rgbClr val="000000"/>
    </cs:fontRef>
    <cs:spPr>
      <a:ln>
        <a:noFill/>
      </a:ln>
      <a:effectLst/>
    </cs:spPr>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10010">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rgbClr val="000000"/>
    </cs:fontRef>
    <cs:spPr>
      <a:ln>
        <a:solidFill>
          <a:srgbClr val="FFFFFF"/>
        </a:solidFill>
      </a:ln>
      <a:effectLst/>
    </cs:spPr>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38290</Words>
  <Characters>41198</Characters>
  <Lines>0</Lines>
  <Paragraphs>0</Paragraphs>
  <TotalTime>68</TotalTime>
  <ScaleCrop>false</ScaleCrop>
  <LinksUpToDate>false</LinksUpToDate>
  <CharactersWithSpaces>41546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唐英</cp:lastModifiedBy>
  <dcterms:modified xsi:type="dcterms:W3CDTF">2023-12-25T04:22:24Z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CD590529D7154D118237FC93D9B62A74_13</vt:lpwstr>
  </property>
</Properties>
</file>