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44"/>
          <w:szCs w:val="44"/>
        </w:rPr>
      </w:pPr>
      <w:bookmarkStart w:id="0" w:name="_GoBack"/>
      <w:bookmarkEnd w:id="0"/>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攀枝花市盐边生态环境监测站</w:t>
      </w:r>
      <w:r>
        <w:rPr>
          <w:rFonts w:hint="eastAsia" w:ascii="Times New Roman" w:hAnsi="Times New Roman" w:eastAsia="方正小标宋简体"/>
          <w:sz w:val="44"/>
          <w:szCs w:val="44"/>
          <w:lang w:eastAsia="zh-CN"/>
        </w:rPr>
        <w:t>2025</w:t>
      </w:r>
      <w:r>
        <w:rPr>
          <w:rFonts w:ascii="Times New Roman" w:hAnsi="Times New Roman" w:eastAsia="方正小标宋简体"/>
          <w:sz w:val="44"/>
          <w:szCs w:val="44"/>
        </w:rPr>
        <w:t>年</w:t>
      </w:r>
    </w:p>
    <w:p>
      <w:pPr>
        <w:spacing w:line="600"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单位</w:t>
      </w:r>
      <w:r>
        <w:rPr>
          <w:rFonts w:ascii="Times New Roman" w:hAnsi="Times New Roman" w:eastAsia="方正小标宋简体"/>
          <w:sz w:val="44"/>
          <w:szCs w:val="44"/>
        </w:rPr>
        <w:t>预算编制说明</w:t>
      </w:r>
    </w:p>
    <w:p>
      <w:pPr>
        <w:spacing w:line="600" w:lineRule="exact"/>
        <w:jc w:val="center"/>
        <w:rPr>
          <w:rFonts w:hint="eastAsia" w:ascii="Times New Roman" w:hAnsi="Times New Roman" w:eastAsia="方正小标宋简体"/>
          <w:sz w:val="44"/>
          <w:szCs w:val="44"/>
          <w:u w:val="single"/>
          <w:lang w:eastAsia="zh-CN"/>
        </w:rPr>
      </w:pPr>
    </w:p>
    <w:p>
      <w:pPr>
        <w:keepNext w:val="0"/>
        <w:keepLines w:val="0"/>
        <w:pageBreakBefore w:val="0"/>
        <w:widowControl w:val="0"/>
        <w:kinsoku/>
        <w:wordWrap/>
        <w:overflowPunct/>
        <w:topLinePunct w:val="0"/>
        <w:autoSpaceDE/>
        <w:autoSpaceDN/>
        <w:bidi w:val="0"/>
        <w:snapToGrid/>
        <w:spacing w:line="400" w:lineRule="exact"/>
        <w:jc w:val="center"/>
        <w:rPr>
          <w:rFonts w:hint="eastAsia" w:ascii="Times New Roman" w:hAnsi="Times New Roman" w:eastAsia="黑体"/>
          <w:lang w:eastAsia="zh-CN"/>
        </w:rPr>
        <w:sectPr>
          <w:footerReference r:id="rId3" w:type="even"/>
          <w:pgSz w:w="11906" w:h="16838"/>
          <w:pgMar w:top="1247" w:right="1542" w:bottom="1247" w:left="2098" w:header="851" w:footer="992" w:gutter="0"/>
          <w:pgNumType w:fmt="decimal" w:start="1"/>
          <w:docGrid w:type="lines" w:linePitch="435" w:charSpace="0"/>
        </w:sectPr>
      </w:pPr>
    </w:p>
    <w:p>
      <w:pPr>
        <w:keepNext w:val="0"/>
        <w:keepLines w:val="0"/>
        <w:pageBreakBefore w:val="0"/>
        <w:widowControl w:val="0"/>
        <w:kinsoku/>
        <w:wordWrap/>
        <w:overflowPunct/>
        <w:topLinePunct w:val="0"/>
        <w:autoSpaceDE/>
        <w:autoSpaceDN/>
        <w:bidi w:val="0"/>
        <w:snapToGrid/>
        <w:spacing w:line="400" w:lineRule="exact"/>
        <w:jc w:val="center"/>
        <w:rPr>
          <w:rFonts w:hint="eastAsia" w:ascii="Times New Roman" w:hAnsi="Times New Roman" w:eastAsia="黑体"/>
          <w:lang w:eastAsia="zh-CN"/>
        </w:rPr>
      </w:pPr>
      <w:r>
        <w:rPr>
          <w:rFonts w:hint="eastAsia" w:ascii="Times New Roman" w:hAnsi="Times New Roman" w:eastAsia="黑体"/>
          <w:lang w:eastAsia="zh-CN"/>
        </w:rPr>
        <w:t>目录</w:t>
      </w:r>
    </w:p>
    <w:p>
      <w:pPr>
        <w:keepNext w:val="0"/>
        <w:keepLines w:val="0"/>
        <w:pageBreakBefore w:val="0"/>
        <w:widowControl w:val="0"/>
        <w:kinsoku/>
        <w:wordWrap/>
        <w:overflowPunct/>
        <w:topLinePunct w:val="0"/>
        <w:autoSpaceDE/>
        <w:autoSpaceDN/>
        <w:bidi w:val="0"/>
        <w:snapToGrid/>
        <w:spacing w:line="400" w:lineRule="exact"/>
        <w:ind w:firstLine="640" w:firstLineChars="200"/>
        <w:jc w:val="center"/>
        <w:rPr>
          <w:rFonts w:hint="eastAsia" w:ascii="Times New Roman" w:hAnsi="Times New Roman" w:eastAsia="黑体"/>
          <w:lang w:eastAsia="zh-CN"/>
        </w:rPr>
      </w:pPr>
    </w:p>
    <w:p>
      <w:pPr>
        <w:keepNext w:val="0"/>
        <w:keepLines w:val="0"/>
        <w:pageBreakBefore w:val="0"/>
        <w:widowControl w:val="0"/>
        <w:kinsoku/>
        <w:wordWrap/>
        <w:overflowPunct/>
        <w:topLinePunct w:val="0"/>
        <w:autoSpaceDE/>
        <w:autoSpaceDN/>
        <w:bidi w:val="0"/>
        <w:snapToGrid/>
        <w:spacing w:line="560" w:lineRule="exact"/>
        <w:jc w:val="left"/>
        <w:rPr>
          <w:rFonts w:ascii="Times New Roman" w:hAnsi="Times New Roman" w:eastAsia="楷体_GB2312"/>
          <w:lang w:val="en-US" w:eastAsia="zh-CN"/>
        </w:rPr>
      </w:pPr>
      <w:r>
        <w:rPr>
          <w:rFonts w:ascii="Times New Roman" w:hAnsi="Times New Roman" w:eastAsia="楷体_GB2312"/>
          <w:lang w:val="en-US" w:eastAsia="zh-CN"/>
        </w:rPr>
        <w:t>一、基本职能及主要工作</w:t>
      </w:r>
      <w:r>
        <w:rPr>
          <w:rFonts w:hint="eastAsia" w:ascii="Times New Roman" w:hAnsi="Times New Roman" w:eastAsia="楷体_GB2312"/>
          <w:lang w:val="en-US" w:eastAsia="zh-CN"/>
        </w:rPr>
        <w:t>.......................................................1</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Times New Roman" w:hAnsi="Times New Roman"/>
          <w:b w:val="0"/>
          <w:bCs w:val="0"/>
          <w:lang w:val="en-US" w:eastAsia="zh-CN"/>
        </w:rPr>
      </w:pPr>
      <w:r>
        <w:rPr>
          <w:rFonts w:ascii="Times New Roman" w:hAnsi="Times New Roman"/>
          <w:b w:val="0"/>
          <w:bCs w:val="0"/>
          <w:lang w:val="en-US" w:eastAsia="zh-CN"/>
        </w:rPr>
        <w:t>（一）盐边生态环境监测站职能简介</w:t>
      </w:r>
      <w:r>
        <w:rPr>
          <w:rFonts w:hint="eastAsia" w:ascii="Times New Roman" w:hAnsi="Times New Roman" w:eastAsia="楷体_GB2312"/>
          <w:lang w:val="en-US" w:eastAsia="zh-CN"/>
        </w:rPr>
        <w:t>...........................</w:t>
      </w:r>
      <w:r>
        <w:rPr>
          <w:rFonts w:hint="eastAsia" w:ascii="Times New Roman" w:hAnsi="Times New Roman"/>
          <w:b w:val="0"/>
          <w:bCs w:val="0"/>
          <w:lang w:val="en-US" w:eastAsia="zh-CN"/>
        </w:rPr>
        <w:t>1</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Times New Roman" w:hAnsi="Times New Roman"/>
          <w:b w:val="0"/>
          <w:bCs w:val="0"/>
          <w:lang w:val="en-US" w:eastAsia="zh-CN"/>
        </w:rPr>
      </w:pPr>
      <w:r>
        <w:rPr>
          <w:rFonts w:ascii="Times New Roman" w:hAnsi="Times New Roman"/>
          <w:b w:val="0"/>
          <w:bCs w:val="0"/>
          <w:lang w:val="en-US" w:eastAsia="zh-CN"/>
        </w:rPr>
        <w:t>（二）盐边生态环境监测站</w:t>
      </w:r>
      <w:r>
        <w:rPr>
          <w:rFonts w:hint="eastAsia" w:ascii="Times New Roman" w:hAnsi="Times New Roman"/>
          <w:b w:val="0"/>
          <w:bCs w:val="0"/>
          <w:lang w:val="en-US" w:eastAsia="zh-CN"/>
        </w:rPr>
        <w:t>2025</w:t>
      </w:r>
      <w:r>
        <w:rPr>
          <w:rFonts w:ascii="Times New Roman" w:hAnsi="Times New Roman"/>
          <w:b w:val="0"/>
          <w:bCs w:val="0"/>
          <w:lang w:val="en-US" w:eastAsia="zh-CN"/>
        </w:rPr>
        <w:t>年重点工作</w:t>
      </w:r>
      <w:r>
        <w:rPr>
          <w:rFonts w:hint="eastAsia" w:ascii="Times New Roman" w:hAnsi="Times New Roman" w:eastAsia="楷体_GB2312"/>
          <w:lang w:val="en-US" w:eastAsia="zh-CN"/>
        </w:rPr>
        <w:t>.............</w:t>
      </w:r>
      <w:r>
        <w:rPr>
          <w:rFonts w:hint="eastAsia" w:ascii="Times New Roman" w:hAnsi="Times New Roman"/>
          <w:b w:val="0"/>
          <w:bCs w:val="0"/>
          <w:lang w:val="en-US" w:eastAsia="zh-CN"/>
        </w:rPr>
        <w:t>1</w:t>
      </w:r>
    </w:p>
    <w:p>
      <w:pPr>
        <w:keepNext w:val="0"/>
        <w:keepLines w:val="0"/>
        <w:pageBreakBefore w:val="0"/>
        <w:widowControl w:val="0"/>
        <w:tabs>
          <w:tab w:val="left" w:pos="8000"/>
        </w:tabs>
        <w:kinsoku/>
        <w:wordWrap/>
        <w:overflowPunct/>
        <w:topLinePunct w:val="0"/>
        <w:autoSpaceDE/>
        <w:autoSpaceDN/>
        <w:bidi w:val="0"/>
        <w:snapToGrid/>
        <w:spacing w:line="560" w:lineRule="exact"/>
        <w:jc w:val="left"/>
        <w:rPr>
          <w:rFonts w:ascii="Times New Roman" w:hAnsi="Times New Roman" w:eastAsia="楷体_GB2312"/>
          <w:lang w:val="en-US" w:eastAsia="zh-CN"/>
        </w:rPr>
      </w:pPr>
      <w:r>
        <w:rPr>
          <w:rFonts w:ascii="Times New Roman" w:hAnsi="Times New Roman" w:eastAsia="楷体_GB2312"/>
          <w:lang w:val="en-US" w:eastAsia="zh-CN"/>
        </w:rPr>
        <w:t>二、机构设置情况</w:t>
      </w:r>
      <w:r>
        <w:rPr>
          <w:rFonts w:hint="eastAsia" w:ascii="Times New Roman" w:hAnsi="Times New Roman" w:eastAsia="楷体_GB2312"/>
          <w:lang w:val="en-US" w:eastAsia="zh-CN"/>
        </w:rPr>
        <w:t>...................................................................2</w:t>
      </w:r>
    </w:p>
    <w:p>
      <w:pPr>
        <w:keepNext w:val="0"/>
        <w:keepLines w:val="0"/>
        <w:pageBreakBefore w:val="0"/>
        <w:widowControl w:val="0"/>
        <w:kinsoku/>
        <w:wordWrap/>
        <w:overflowPunct/>
        <w:topLinePunct w:val="0"/>
        <w:autoSpaceDE/>
        <w:autoSpaceDN/>
        <w:bidi w:val="0"/>
        <w:snapToGrid/>
        <w:spacing w:line="560" w:lineRule="exact"/>
        <w:jc w:val="left"/>
        <w:rPr>
          <w:rFonts w:ascii="Times New Roman" w:hAnsi="Times New Roman" w:eastAsia="楷体_GB2312"/>
          <w:lang w:val="en-US" w:eastAsia="zh-CN"/>
        </w:rPr>
      </w:pPr>
      <w:r>
        <w:rPr>
          <w:rFonts w:ascii="Times New Roman" w:hAnsi="Times New Roman" w:eastAsia="楷体_GB2312"/>
          <w:lang w:val="en-US" w:eastAsia="zh-CN"/>
        </w:rPr>
        <w:t>三、收支预算情况说明</w:t>
      </w:r>
      <w:r>
        <w:rPr>
          <w:rFonts w:hint="eastAsia" w:ascii="Times New Roman" w:hAnsi="Times New Roman" w:eastAsia="楷体_GB2312"/>
          <w:lang w:val="en-US" w:eastAsia="zh-CN"/>
        </w:rPr>
        <w:t>...........................................................3</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Times New Roman" w:hAnsi="Times New Roman"/>
          <w:b w:val="0"/>
          <w:bCs w:val="0"/>
          <w:lang w:val="en-US" w:eastAsia="zh-CN"/>
        </w:rPr>
      </w:pPr>
      <w:r>
        <w:rPr>
          <w:rFonts w:ascii="Times New Roman" w:hAnsi="Times New Roman"/>
          <w:b w:val="0"/>
          <w:bCs w:val="0"/>
          <w:lang w:val="en-US" w:eastAsia="zh-CN"/>
        </w:rPr>
        <w:t>（一）收入预算情况</w:t>
      </w:r>
      <w:r>
        <w:rPr>
          <w:rFonts w:hint="eastAsia" w:ascii="Times New Roman" w:hAnsi="Times New Roman" w:eastAsia="楷体_GB2312"/>
          <w:lang w:val="en-US" w:eastAsia="zh-CN"/>
        </w:rPr>
        <w:t>.......................................................3</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Times New Roman" w:hAnsi="Times New Roman"/>
          <w:b w:val="0"/>
          <w:bCs w:val="0"/>
          <w:lang w:val="en-US" w:eastAsia="zh-CN"/>
        </w:rPr>
      </w:pPr>
      <w:r>
        <w:rPr>
          <w:rFonts w:ascii="Times New Roman" w:hAnsi="Times New Roman"/>
          <w:b w:val="0"/>
          <w:bCs w:val="0"/>
          <w:lang w:val="en-US" w:eastAsia="zh-CN"/>
        </w:rPr>
        <w:t>（二）支出预算情况</w:t>
      </w:r>
      <w:r>
        <w:rPr>
          <w:rFonts w:hint="eastAsia" w:ascii="Times New Roman" w:hAnsi="Times New Roman" w:eastAsia="楷体_GB2312"/>
          <w:lang w:val="en-US" w:eastAsia="zh-CN"/>
        </w:rPr>
        <w:t>.......................................................3</w:t>
      </w:r>
    </w:p>
    <w:p>
      <w:pPr>
        <w:keepNext w:val="0"/>
        <w:keepLines w:val="0"/>
        <w:pageBreakBefore w:val="0"/>
        <w:widowControl w:val="0"/>
        <w:kinsoku/>
        <w:wordWrap/>
        <w:overflowPunct/>
        <w:topLinePunct w:val="0"/>
        <w:autoSpaceDE/>
        <w:autoSpaceDN/>
        <w:bidi w:val="0"/>
        <w:snapToGrid/>
        <w:spacing w:line="560" w:lineRule="exact"/>
        <w:jc w:val="left"/>
        <w:rPr>
          <w:rFonts w:ascii="Times New Roman" w:hAnsi="Times New Roman" w:eastAsia="楷体_GB2312"/>
          <w:lang w:val="en-US" w:eastAsia="zh-CN"/>
        </w:rPr>
      </w:pPr>
      <w:r>
        <w:rPr>
          <w:rFonts w:ascii="Times New Roman" w:hAnsi="Times New Roman" w:eastAsia="楷体_GB2312"/>
          <w:lang w:val="en-US" w:eastAsia="zh-CN"/>
        </w:rPr>
        <w:t>四、财政拨款收支预算情况说明</w:t>
      </w:r>
      <w:r>
        <w:rPr>
          <w:rFonts w:hint="eastAsia" w:ascii="Times New Roman" w:hAnsi="Times New Roman" w:eastAsia="楷体_GB2312"/>
          <w:lang w:val="en-US" w:eastAsia="zh-CN"/>
        </w:rPr>
        <w:t>...........................................4</w:t>
      </w:r>
    </w:p>
    <w:p>
      <w:pPr>
        <w:keepNext w:val="0"/>
        <w:keepLines w:val="0"/>
        <w:pageBreakBefore w:val="0"/>
        <w:widowControl w:val="0"/>
        <w:kinsoku/>
        <w:wordWrap/>
        <w:overflowPunct/>
        <w:topLinePunct w:val="0"/>
        <w:autoSpaceDE/>
        <w:autoSpaceDN/>
        <w:bidi w:val="0"/>
        <w:snapToGrid/>
        <w:spacing w:line="560" w:lineRule="exact"/>
        <w:jc w:val="left"/>
        <w:rPr>
          <w:rFonts w:ascii="Times New Roman" w:hAnsi="Times New Roman" w:eastAsia="楷体_GB2312"/>
          <w:lang w:val="en-US" w:eastAsia="zh-CN"/>
        </w:rPr>
      </w:pPr>
      <w:r>
        <w:rPr>
          <w:rFonts w:ascii="Times New Roman" w:hAnsi="Times New Roman" w:eastAsia="楷体_GB2312"/>
          <w:lang w:val="en-US" w:eastAsia="zh-CN"/>
        </w:rPr>
        <w:t>五、一般公共预算当年拨款情况说明</w:t>
      </w:r>
      <w:r>
        <w:rPr>
          <w:rFonts w:hint="eastAsia" w:ascii="Times New Roman" w:hAnsi="Times New Roman" w:eastAsia="楷体_GB2312"/>
          <w:lang w:val="en-US" w:eastAsia="zh-CN"/>
        </w:rPr>
        <w:t>...................................4</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Times New Roman" w:hAnsi="Times New Roman"/>
          <w:b w:val="0"/>
          <w:bCs w:val="0"/>
          <w:lang w:val="en-US" w:eastAsia="zh-CN"/>
        </w:rPr>
      </w:pPr>
      <w:r>
        <w:rPr>
          <w:rFonts w:ascii="Times New Roman" w:hAnsi="Times New Roman"/>
          <w:b w:val="0"/>
          <w:bCs w:val="0"/>
          <w:lang w:val="en-US" w:eastAsia="zh-CN"/>
        </w:rPr>
        <w:t>（一）一般公共预算当年拨款规模变化情况</w:t>
      </w:r>
      <w:r>
        <w:rPr>
          <w:rFonts w:hint="eastAsia" w:ascii="Times New Roman" w:hAnsi="Times New Roman" w:eastAsia="楷体_GB2312"/>
          <w:lang w:val="en-US" w:eastAsia="zh-CN"/>
        </w:rPr>
        <w:t>...............4</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Times New Roman" w:hAnsi="Times New Roman"/>
          <w:b w:val="0"/>
          <w:bCs w:val="0"/>
          <w:lang w:val="en-US" w:eastAsia="zh-CN"/>
        </w:rPr>
      </w:pPr>
      <w:r>
        <w:rPr>
          <w:rFonts w:ascii="Times New Roman" w:hAnsi="Times New Roman"/>
          <w:b w:val="0"/>
          <w:bCs w:val="0"/>
          <w:lang w:val="en-US" w:eastAsia="zh-CN"/>
        </w:rPr>
        <w:t>（二）一般公共预算当年拨款结构情况</w:t>
      </w:r>
      <w:r>
        <w:rPr>
          <w:rFonts w:hint="eastAsia" w:ascii="Times New Roman" w:hAnsi="Times New Roman" w:eastAsia="楷体_GB2312"/>
          <w:lang w:val="en-US" w:eastAsia="zh-CN"/>
        </w:rPr>
        <w:t>.......................4</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Times New Roman" w:hAnsi="Times New Roman"/>
          <w:b w:val="0"/>
          <w:bCs w:val="0"/>
          <w:lang w:val="en-US" w:eastAsia="zh-CN"/>
        </w:rPr>
      </w:pPr>
      <w:r>
        <w:rPr>
          <w:rFonts w:ascii="Times New Roman" w:hAnsi="Times New Roman"/>
          <w:b w:val="0"/>
          <w:bCs w:val="0"/>
          <w:lang w:val="en-US" w:eastAsia="zh-CN"/>
        </w:rPr>
        <w:t>（三）一般公共预算当年拨款具体使用情况</w:t>
      </w:r>
      <w:r>
        <w:rPr>
          <w:rFonts w:hint="eastAsia" w:ascii="Times New Roman" w:hAnsi="Times New Roman" w:eastAsia="楷体_GB2312"/>
          <w:lang w:val="en-US" w:eastAsia="zh-CN"/>
        </w:rPr>
        <w:t>...............4</w:t>
      </w:r>
    </w:p>
    <w:p>
      <w:pPr>
        <w:keepNext w:val="0"/>
        <w:keepLines w:val="0"/>
        <w:pageBreakBefore w:val="0"/>
        <w:widowControl w:val="0"/>
        <w:kinsoku/>
        <w:wordWrap/>
        <w:overflowPunct/>
        <w:topLinePunct w:val="0"/>
        <w:autoSpaceDE/>
        <w:autoSpaceDN/>
        <w:bidi w:val="0"/>
        <w:snapToGrid/>
        <w:spacing w:line="560" w:lineRule="exact"/>
        <w:jc w:val="left"/>
        <w:rPr>
          <w:rFonts w:ascii="Times New Roman" w:hAnsi="Times New Roman" w:eastAsia="楷体_GB2312"/>
          <w:lang w:val="en-US" w:eastAsia="zh-CN"/>
        </w:rPr>
      </w:pPr>
      <w:r>
        <w:rPr>
          <w:rFonts w:ascii="Times New Roman" w:hAnsi="Times New Roman" w:eastAsia="楷体_GB2312"/>
          <w:lang w:val="en-US" w:eastAsia="zh-CN"/>
        </w:rPr>
        <w:t>六、一般公共预算基本支出情况说明</w:t>
      </w:r>
      <w:r>
        <w:rPr>
          <w:rFonts w:hint="eastAsia" w:ascii="Times New Roman" w:hAnsi="Times New Roman" w:eastAsia="楷体_GB2312"/>
          <w:lang w:val="en-US" w:eastAsia="zh-CN"/>
        </w:rPr>
        <w:t>...................................5</w:t>
      </w:r>
    </w:p>
    <w:p>
      <w:pPr>
        <w:keepNext w:val="0"/>
        <w:keepLines w:val="0"/>
        <w:pageBreakBefore w:val="0"/>
        <w:widowControl w:val="0"/>
        <w:kinsoku/>
        <w:wordWrap/>
        <w:overflowPunct/>
        <w:topLinePunct w:val="0"/>
        <w:autoSpaceDE/>
        <w:autoSpaceDN/>
        <w:bidi w:val="0"/>
        <w:snapToGrid/>
        <w:spacing w:line="560" w:lineRule="exact"/>
        <w:jc w:val="left"/>
        <w:rPr>
          <w:rFonts w:ascii="Times New Roman" w:hAnsi="Times New Roman" w:eastAsia="楷体_GB2312"/>
          <w:lang w:val="en-US" w:eastAsia="zh-CN"/>
        </w:rPr>
      </w:pPr>
      <w:r>
        <w:rPr>
          <w:rFonts w:ascii="Times New Roman" w:hAnsi="Times New Roman" w:eastAsia="楷体_GB2312"/>
          <w:lang w:val="en-US" w:eastAsia="zh-CN"/>
        </w:rPr>
        <w:t>七、“三公”经费财政拨款预算安排情况说明</w:t>
      </w:r>
      <w:r>
        <w:rPr>
          <w:rFonts w:hint="eastAsia" w:ascii="Times New Roman" w:hAnsi="Times New Roman" w:eastAsia="楷体_GB2312"/>
          <w:lang w:val="en-US" w:eastAsia="zh-CN"/>
        </w:rPr>
        <w:t>.......................5</w:t>
      </w:r>
    </w:p>
    <w:p>
      <w:pPr>
        <w:keepNext w:val="0"/>
        <w:keepLines w:val="0"/>
        <w:pageBreakBefore w:val="0"/>
        <w:widowControl w:val="0"/>
        <w:kinsoku/>
        <w:wordWrap/>
        <w:overflowPunct/>
        <w:topLinePunct w:val="0"/>
        <w:autoSpaceDE/>
        <w:autoSpaceDN/>
        <w:bidi w:val="0"/>
        <w:snapToGrid/>
        <w:spacing w:line="560" w:lineRule="exact"/>
        <w:jc w:val="left"/>
        <w:rPr>
          <w:rFonts w:hint="eastAsia" w:ascii="Times New Roman" w:hAnsi="Times New Roman" w:eastAsia="楷体_GB2312"/>
          <w:lang w:val="en-US" w:eastAsia="zh-CN"/>
        </w:rPr>
      </w:pPr>
      <w:r>
        <w:rPr>
          <w:rFonts w:hint="eastAsia" w:ascii="Times New Roman" w:hAnsi="Times New Roman" w:eastAsia="楷体_GB2312"/>
          <w:lang w:val="en-US" w:eastAsia="zh-CN"/>
        </w:rPr>
        <w:t>八</w:t>
      </w:r>
      <w:r>
        <w:rPr>
          <w:rFonts w:ascii="Times New Roman" w:hAnsi="Times New Roman" w:eastAsia="楷体_GB2312"/>
          <w:lang w:val="en-US" w:eastAsia="zh-CN"/>
        </w:rPr>
        <w:t>、“三公”经费</w:t>
      </w:r>
      <w:r>
        <w:rPr>
          <w:rFonts w:hint="eastAsia" w:ascii="Times New Roman" w:hAnsi="Times New Roman" w:eastAsia="楷体_GB2312"/>
          <w:lang w:val="en-US" w:eastAsia="zh-CN"/>
        </w:rPr>
        <w:t>非</w:t>
      </w:r>
      <w:r>
        <w:rPr>
          <w:rFonts w:ascii="Times New Roman" w:hAnsi="Times New Roman" w:eastAsia="楷体_GB2312"/>
          <w:lang w:val="en-US" w:eastAsia="zh-CN"/>
        </w:rPr>
        <w:t>财政拨款预算安排情况说明</w:t>
      </w:r>
      <w:r>
        <w:rPr>
          <w:rFonts w:hint="eastAsia" w:ascii="Times New Roman" w:hAnsi="Times New Roman" w:eastAsia="楷体_GB2312"/>
          <w:lang w:val="en-US" w:eastAsia="zh-CN"/>
        </w:rPr>
        <w:t>...................6</w:t>
      </w:r>
    </w:p>
    <w:p>
      <w:pPr>
        <w:keepNext w:val="0"/>
        <w:keepLines w:val="0"/>
        <w:pageBreakBefore w:val="0"/>
        <w:widowControl w:val="0"/>
        <w:kinsoku/>
        <w:wordWrap/>
        <w:overflowPunct/>
        <w:topLinePunct w:val="0"/>
        <w:autoSpaceDE/>
        <w:autoSpaceDN/>
        <w:bidi w:val="0"/>
        <w:snapToGrid/>
        <w:spacing w:line="560" w:lineRule="exact"/>
        <w:jc w:val="left"/>
        <w:rPr>
          <w:rFonts w:ascii="Times New Roman" w:hAnsi="Times New Roman" w:eastAsia="楷体_GB2312"/>
          <w:lang w:val="en-US" w:eastAsia="zh-CN"/>
        </w:rPr>
      </w:pPr>
      <w:r>
        <w:rPr>
          <w:rFonts w:ascii="Times New Roman" w:hAnsi="Times New Roman" w:eastAsia="楷体_GB2312"/>
          <w:lang w:val="en-US" w:eastAsia="zh-CN"/>
        </w:rPr>
        <w:t>九、政府性基金预算支出情况说明</w:t>
      </w:r>
      <w:r>
        <w:rPr>
          <w:rFonts w:hint="eastAsia" w:ascii="Times New Roman" w:hAnsi="Times New Roman" w:eastAsia="楷体_GB2312"/>
          <w:lang w:val="en-US" w:eastAsia="zh-CN"/>
        </w:rPr>
        <w:t>.......................................6</w:t>
      </w:r>
    </w:p>
    <w:p>
      <w:pPr>
        <w:keepNext w:val="0"/>
        <w:keepLines w:val="0"/>
        <w:pageBreakBefore w:val="0"/>
        <w:widowControl w:val="0"/>
        <w:kinsoku/>
        <w:wordWrap/>
        <w:overflowPunct/>
        <w:topLinePunct w:val="0"/>
        <w:autoSpaceDE/>
        <w:autoSpaceDN/>
        <w:bidi w:val="0"/>
        <w:snapToGrid/>
        <w:spacing w:line="560" w:lineRule="exact"/>
        <w:jc w:val="left"/>
        <w:rPr>
          <w:rFonts w:ascii="Times New Roman" w:hAnsi="Times New Roman" w:eastAsia="楷体_GB2312"/>
          <w:lang w:val="en-US" w:eastAsia="zh-CN"/>
        </w:rPr>
      </w:pPr>
      <w:r>
        <w:rPr>
          <w:rFonts w:ascii="Times New Roman" w:hAnsi="Times New Roman" w:eastAsia="楷体_GB2312"/>
          <w:lang w:val="en-US" w:eastAsia="zh-CN"/>
        </w:rPr>
        <w:t>十、国有资本经营预算情况说明</w:t>
      </w:r>
      <w:r>
        <w:rPr>
          <w:rFonts w:hint="eastAsia" w:ascii="Times New Roman" w:hAnsi="Times New Roman" w:eastAsia="楷体_GB2312"/>
          <w:lang w:val="en-US" w:eastAsia="zh-CN"/>
        </w:rPr>
        <w:t>...........................................6</w:t>
      </w:r>
    </w:p>
    <w:p>
      <w:pPr>
        <w:keepNext w:val="0"/>
        <w:keepLines w:val="0"/>
        <w:pageBreakBefore w:val="0"/>
        <w:widowControl w:val="0"/>
        <w:kinsoku/>
        <w:wordWrap/>
        <w:overflowPunct/>
        <w:topLinePunct w:val="0"/>
        <w:autoSpaceDE/>
        <w:autoSpaceDN/>
        <w:bidi w:val="0"/>
        <w:snapToGrid/>
        <w:spacing w:line="560" w:lineRule="exact"/>
        <w:jc w:val="left"/>
        <w:rPr>
          <w:rFonts w:ascii="Times New Roman" w:hAnsi="Times New Roman" w:eastAsia="楷体_GB2312"/>
          <w:lang w:val="en-US" w:eastAsia="zh-CN"/>
        </w:rPr>
      </w:pPr>
      <w:r>
        <w:rPr>
          <w:rFonts w:ascii="Times New Roman" w:hAnsi="Times New Roman" w:eastAsia="楷体_GB2312"/>
          <w:lang w:val="en-US" w:eastAsia="zh-CN"/>
        </w:rPr>
        <w:t>十</w:t>
      </w:r>
      <w:r>
        <w:rPr>
          <w:rFonts w:hint="eastAsia" w:ascii="Times New Roman" w:hAnsi="Times New Roman" w:eastAsia="楷体_GB2312"/>
          <w:lang w:val="en-US" w:eastAsia="zh-CN"/>
        </w:rPr>
        <w:t>一</w:t>
      </w:r>
      <w:r>
        <w:rPr>
          <w:rFonts w:ascii="Times New Roman" w:hAnsi="Times New Roman" w:eastAsia="楷体_GB2312"/>
          <w:lang w:val="en-US" w:eastAsia="zh-CN"/>
        </w:rPr>
        <w:t>、其他重要事项的情况说明</w:t>
      </w:r>
      <w:r>
        <w:rPr>
          <w:rFonts w:hint="eastAsia" w:ascii="Times New Roman" w:hAnsi="Times New Roman" w:eastAsia="楷体_GB2312"/>
          <w:lang w:val="en-US" w:eastAsia="zh-CN"/>
        </w:rPr>
        <w:t>...........................................7</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Times New Roman" w:hAnsi="Times New Roman"/>
          <w:b w:val="0"/>
          <w:bCs w:val="0"/>
          <w:lang w:val="en-US" w:eastAsia="zh-CN"/>
        </w:rPr>
      </w:pPr>
      <w:r>
        <w:rPr>
          <w:rFonts w:ascii="Times New Roman" w:hAnsi="Times New Roman"/>
          <w:b w:val="0"/>
          <w:bCs w:val="0"/>
          <w:lang w:val="en-US" w:eastAsia="zh-CN"/>
        </w:rPr>
        <w:t>（一）机关运行经费</w:t>
      </w:r>
      <w:r>
        <w:rPr>
          <w:rFonts w:hint="eastAsia" w:ascii="Times New Roman" w:hAnsi="Times New Roman" w:eastAsia="楷体_GB2312"/>
          <w:lang w:val="en-US" w:eastAsia="zh-CN"/>
        </w:rPr>
        <w:t>.......................................................7</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Times New Roman" w:hAnsi="Times New Roman"/>
          <w:b w:val="0"/>
          <w:bCs w:val="0"/>
          <w:lang w:val="en-US" w:eastAsia="zh-CN"/>
        </w:rPr>
      </w:pPr>
      <w:r>
        <w:rPr>
          <w:rFonts w:ascii="Times New Roman" w:hAnsi="Times New Roman"/>
          <w:b w:val="0"/>
          <w:bCs w:val="0"/>
          <w:lang w:val="en-US" w:eastAsia="zh-CN"/>
        </w:rPr>
        <w:t>（二）政府采购情况</w:t>
      </w:r>
      <w:r>
        <w:rPr>
          <w:rFonts w:hint="eastAsia" w:ascii="Times New Roman" w:hAnsi="Times New Roman" w:eastAsia="楷体_GB2312"/>
          <w:lang w:val="en-US" w:eastAsia="zh-CN"/>
        </w:rPr>
        <w:t>.......................................................7</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Times New Roman" w:hAnsi="Times New Roman"/>
          <w:b w:val="0"/>
          <w:bCs w:val="0"/>
          <w:lang w:val="en-US" w:eastAsia="zh-CN"/>
        </w:rPr>
      </w:pPr>
      <w:r>
        <w:rPr>
          <w:rFonts w:ascii="Times New Roman" w:hAnsi="Times New Roman"/>
          <w:b w:val="0"/>
          <w:bCs w:val="0"/>
          <w:lang w:val="en-US" w:eastAsia="zh-CN"/>
        </w:rPr>
        <w:t>（三）国有资产占有使用情况</w:t>
      </w:r>
      <w:r>
        <w:rPr>
          <w:rFonts w:hint="eastAsia" w:ascii="Times New Roman" w:hAnsi="Times New Roman" w:eastAsia="楷体_GB2312"/>
          <w:lang w:val="en-US" w:eastAsia="zh-CN"/>
        </w:rPr>
        <w:t>.......................................7</w:t>
      </w:r>
      <w:r>
        <w:rPr>
          <w:rFonts w:ascii="Times New Roman" w:hAnsi="Times New Roman"/>
          <w:b w:val="0"/>
          <w:bCs w:val="0"/>
          <w:lang w:val="en-US" w:eastAsia="zh-CN"/>
        </w:rPr>
        <w:t>（四）绩效目标设置情况</w:t>
      </w:r>
      <w:r>
        <w:rPr>
          <w:rFonts w:hint="eastAsia" w:ascii="Times New Roman" w:hAnsi="Times New Roman" w:eastAsia="楷体_GB2312"/>
          <w:lang w:val="en-US" w:eastAsia="zh-CN"/>
        </w:rPr>
        <w:t>.......................................................</w:t>
      </w:r>
      <w:r>
        <w:rPr>
          <w:rFonts w:hint="eastAsia" w:ascii="Times New Roman" w:hAnsi="Times New Roman"/>
          <w:b w:val="0"/>
          <w:bCs w:val="0"/>
          <w:lang w:val="en-US" w:eastAsia="zh-CN"/>
        </w:rPr>
        <w:t>7</w:t>
      </w:r>
    </w:p>
    <w:p>
      <w:pPr>
        <w:keepNext w:val="0"/>
        <w:keepLines w:val="0"/>
        <w:pageBreakBefore w:val="0"/>
        <w:widowControl w:val="0"/>
        <w:kinsoku/>
        <w:wordWrap/>
        <w:overflowPunct/>
        <w:topLinePunct w:val="0"/>
        <w:autoSpaceDE/>
        <w:autoSpaceDN/>
        <w:bidi w:val="0"/>
        <w:snapToGrid/>
        <w:spacing w:line="560" w:lineRule="exact"/>
        <w:jc w:val="left"/>
        <w:rPr>
          <w:rFonts w:ascii="Times New Roman" w:hAnsi="Times New Roman" w:eastAsia="楷体_GB2312"/>
          <w:lang w:val="en-US" w:eastAsia="zh-CN"/>
        </w:rPr>
      </w:pPr>
      <w:r>
        <w:rPr>
          <w:rFonts w:ascii="Times New Roman" w:hAnsi="Times New Roman" w:eastAsia="楷体_GB2312"/>
          <w:lang w:val="en-US" w:eastAsia="zh-CN"/>
        </w:rPr>
        <w:t>十</w:t>
      </w:r>
      <w:r>
        <w:rPr>
          <w:rFonts w:hint="eastAsia" w:ascii="Times New Roman" w:hAnsi="Times New Roman" w:eastAsia="楷体_GB2312"/>
          <w:lang w:val="en-US" w:eastAsia="zh-CN"/>
        </w:rPr>
        <w:t>二</w:t>
      </w:r>
      <w:r>
        <w:rPr>
          <w:rFonts w:ascii="Times New Roman" w:hAnsi="Times New Roman" w:eastAsia="楷体_GB2312"/>
          <w:lang w:val="en-US" w:eastAsia="zh-CN"/>
        </w:rPr>
        <w:t>、名词解释</w:t>
      </w:r>
      <w:r>
        <w:rPr>
          <w:rFonts w:hint="eastAsia" w:ascii="Times New Roman" w:hAnsi="Times New Roman" w:eastAsia="楷体_GB2312"/>
          <w:lang w:val="en-US" w:eastAsia="zh-CN"/>
        </w:rPr>
        <w:t>.......................................................................7</w:t>
      </w:r>
    </w:p>
    <w:p>
      <w:pPr>
        <w:keepNext w:val="0"/>
        <w:keepLines w:val="0"/>
        <w:pageBreakBefore w:val="0"/>
        <w:widowControl w:val="0"/>
        <w:kinsoku/>
        <w:wordWrap/>
        <w:overflowPunct/>
        <w:topLinePunct w:val="0"/>
        <w:autoSpaceDE/>
        <w:autoSpaceDN/>
        <w:bidi w:val="0"/>
        <w:snapToGrid/>
        <w:spacing w:line="560" w:lineRule="exact"/>
        <w:rPr>
          <w:rFonts w:hint="eastAsia" w:ascii="Times New Roman" w:hAnsi="Times New Roman" w:eastAsia="楷体_GB2312"/>
          <w:lang w:val="en-US" w:eastAsia="zh-CN"/>
        </w:rPr>
        <w:sectPr>
          <w:footerReference r:id="rId4" w:type="default"/>
          <w:pgSz w:w="11906" w:h="16838"/>
          <w:pgMar w:top="1247" w:right="1542" w:bottom="1247" w:left="2098" w:header="851" w:footer="992" w:gutter="0"/>
          <w:pgNumType w:fmt="decimal" w:start="1"/>
          <w:docGrid w:type="lines" w:linePitch="435" w:charSpace="0"/>
        </w:sectPr>
      </w:pPr>
      <w:r>
        <w:rPr>
          <w:rFonts w:hint="eastAsia" w:ascii="Times New Roman" w:hAnsi="Times New Roman" w:eastAsia="楷体_GB2312"/>
          <w:lang w:val="en-US" w:eastAsia="zh-CN"/>
        </w:rPr>
        <w:t>附件...........................................................................................9</w:t>
      </w:r>
    </w:p>
    <w:p>
      <w:pPr>
        <w:spacing w:line="600" w:lineRule="exact"/>
        <w:ind w:firstLine="640" w:firstLineChars="200"/>
        <w:rPr>
          <w:rFonts w:ascii="Times New Roman" w:hAnsi="Times New Roman" w:eastAsia="黑体"/>
        </w:rPr>
      </w:pPr>
      <w:r>
        <w:rPr>
          <w:rFonts w:ascii="Times New Roman" w:hAnsi="Times New Roman" w:eastAsia="黑体"/>
        </w:rPr>
        <w:t>一、基本职能及主要工作</w:t>
      </w:r>
    </w:p>
    <w:p>
      <w:pPr>
        <w:pStyle w:val="12"/>
        <w:spacing w:before="130" w:line="600" w:lineRule="exact"/>
        <w:ind w:firstLine="675" w:firstLineChars="210"/>
        <w:rPr>
          <w:rFonts w:ascii="Times New Roman" w:hAnsi="Times New Roman" w:eastAsia="楷体_GB2312"/>
          <w:b/>
          <w:sz w:val="32"/>
        </w:rPr>
      </w:pPr>
      <w:r>
        <w:rPr>
          <w:rFonts w:ascii="Times New Roman" w:hAnsi="Times New Roman" w:eastAsia="楷体_GB2312"/>
          <w:b/>
          <w:sz w:val="32"/>
        </w:rPr>
        <w:t>（一）盐边生态环境监测站职能简介。</w:t>
      </w:r>
    </w:p>
    <w:p>
      <w:pPr>
        <w:pStyle w:val="12"/>
        <w:keepNext w:val="0"/>
        <w:keepLines w:val="0"/>
        <w:pageBreakBefore w:val="0"/>
        <w:widowControl w:val="0"/>
        <w:kinsoku/>
        <w:wordWrap/>
        <w:overflowPunct/>
        <w:topLinePunct w:val="0"/>
        <w:autoSpaceDE/>
        <w:autoSpaceDN/>
        <w:bidi w:val="0"/>
        <w:snapToGrid/>
        <w:spacing w:before="0" w:line="600" w:lineRule="exact"/>
        <w:ind w:firstLine="640" w:firstLineChars="200"/>
        <w:rPr>
          <w:rFonts w:ascii="Times New Roman" w:hAnsi="Times New Roman"/>
          <w:sz w:val="32"/>
        </w:rPr>
      </w:pPr>
      <w:r>
        <w:rPr>
          <w:rFonts w:ascii="Times New Roman" w:hAnsi="Times New Roman"/>
          <w:sz w:val="32"/>
        </w:rPr>
        <w:t>1.开展辖区内大气、水体、噪声等各种环境要素的质量状况进行监测、综合分析，定期向主管部门呈报本县环境质量状况和污染动态等技术报告。</w:t>
      </w:r>
    </w:p>
    <w:p>
      <w:pPr>
        <w:pStyle w:val="12"/>
        <w:keepNext w:val="0"/>
        <w:keepLines w:val="0"/>
        <w:pageBreakBefore w:val="0"/>
        <w:widowControl w:val="0"/>
        <w:kinsoku/>
        <w:wordWrap/>
        <w:overflowPunct/>
        <w:topLinePunct w:val="0"/>
        <w:autoSpaceDE/>
        <w:autoSpaceDN/>
        <w:bidi w:val="0"/>
        <w:snapToGrid/>
        <w:spacing w:before="0" w:line="600" w:lineRule="exact"/>
        <w:ind w:firstLine="640" w:firstLineChars="200"/>
        <w:rPr>
          <w:rFonts w:ascii="Times New Roman" w:hAnsi="Times New Roman"/>
          <w:sz w:val="32"/>
        </w:rPr>
      </w:pPr>
      <w:r>
        <w:rPr>
          <w:rFonts w:ascii="Times New Roman" w:hAnsi="Times New Roman"/>
          <w:sz w:val="32"/>
        </w:rPr>
        <w:t>2.承担全县重点污染源监督监测、污染源执法监测等业务。</w:t>
      </w:r>
    </w:p>
    <w:p>
      <w:pPr>
        <w:pStyle w:val="12"/>
        <w:keepNext w:val="0"/>
        <w:keepLines w:val="0"/>
        <w:pageBreakBefore w:val="0"/>
        <w:widowControl w:val="0"/>
        <w:kinsoku/>
        <w:wordWrap/>
        <w:overflowPunct/>
        <w:topLinePunct w:val="0"/>
        <w:autoSpaceDE/>
        <w:autoSpaceDN/>
        <w:bidi w:val="0"/>
        <w:snapToGrid/>
        <w:spacing w:before="0" w:line="600" w:lineRule="exact"/>
        <w:ind w:firstLine="640" w:firstLineChars="200"/>
        <w:rPr>
          <w:rFonts w:ascii="Times New Roman" w:hAnsi="Times New Roman"/>
          <w:sz w:val="32"/>
        </w:rPr>
      </w:pPr>
      <w:r>
        <w:rPr>
          <w:rFonts w:ascii="Times New Roman" w:hAnsi="Times New Roman"/>
          <w:sz w:val="32"/>
        </w:rPr>
        <w:t>3.承担辖区内突发性环境污染事故应急监测和污染事故仲裁监测。</w:t>
      </w:r>
    </w:p>
    <w:p>
      <w:pPr>
        <w:pStyle w:val="12"/>
        <w:keepNext w:val="0"/>
        <w:keepLines w:val="0"/>
        <w:pageBreakBefore w:val="0"/>
        <w:widowControl w:val="0"/>
        <w:kinsoku/>
        <w:wordWrap/>
        <w:overflowPunct/>
        <w:topLinePunct w:val="0"/>
        <w:autoSpaceDE/>
        <w:autoSpaceDN/>
        <w:bidi w:val="0"/>
        <w:snapToGrid/>
        <w:spacing w:before="0" w:line="600" w:lineRule="exact"/>
        <w:ind w:firstLine="640" w:firstLineChars="200"/>
        <w:rPr>
          <w:rFonts w:ascii="Times New Roman" w:hAnsi="Times New Roman"/>
          <w:sz w:val="32"/>
        </w:rPr>
      </w:pPr>
      <w:r>
        <w:rPr>
          <w:rFonts w:ascii="Times New Roman" w:hAnsi="Times New Roman"/>
          <w:sz w:val="32"/>
        </w:rPr>
        <w:t>4.开展上级下达的其他专项监测任务。</w:t>
      </w:r>
    </w:p>
    <w:p>
      <w:pPr>
        <w:pStyle w:val="12"/>
        <w:keepNext w:val="0"/>
        <w:keepLines w:val="0"/>
        <w:pageBreakBefore w:val="0"/>
        <w:widowControl w:val="0"/>
        <w:kinsoku/>
        <w:wordWrap/>
        <w:overflowPunct/>
        <w:topLinePunct w:val="0"/>
        <w:autoSpaceDE/>
        <w:autoSpaceDN/>
        <w:bidi w:val="0"/>
        <w:snapToGrid/>
        <w:spacing w:before="0" w:line="600" w:lineRule="exact"/>
        <w:ind w:firstLine="640" w:firstLineChars="200"/>
        <w:rPr>
          <w:rFonts w:ascii="Times New Roman" w:hAnsi="Times New Roman"/>
          <w:sz w:val="32"/>
        </w:rPr>
      </w:pPr>
      <w:r>
        <w:rPr>
          <w:rFonts w:ascii="Times New Roman" w:hAnsi="Times New Roman"/>
          <w:sz w:val="32"/>
        </w:rPr>
        <w:t>5.收集、整理、储存环境监测数据信息资料，定期向同级环境保护行政主管部门和上级环境监测部门呈报本县环境质量状况、污染源动态技术报告，按时上报环境监测报告，定期编报与发布环境状况简报。</w:t>
      </w:r>
    </w:p>
    <w:p>
      <w:pPr>
        <w:pStyle w:val="12"/>
        <w:keepNext w:val="0"/>
        <w:keepLines w:val="0"/>
        <w:pageBreakBefore w:val="0"/>
        <w:widowControl w:val="0"/>
        <w:kinsoku/>
        <w:wordWrap/>
        <w:overflowPunct/>
        <w:topLinePunct w:val="0"/>
        <w:autoSpaceDE/>
        <w:autoSpaceDN/>
        <w:bidi w:val="0"/>
        <w:snapToGrid/>
        <w:spacing w:before="0" w:line="600" w:lineRule="exact"/>
        <w:ind w:firstLine="640" w:firstLineChars="200"/>
        <w:rPr>
          <w:rFonts w:ascii="Times New Roman" w:hAnsi="Times New Roman"/>
          <w:sz w:val="32"/>
        </w:rPr>
      </w:pPr>
      <w:r>
        <w:rPr>
          <w:rFonts w:ascii="Times New Roman" w:hAnsi="Times New Roman"/>
          <w:sz w:val="32"/>
        </w:rPr>
        <w:t>6.为社会提供环境监测及技术咨询服务。</w:t>
      </w:r>
    </w:p>
    <w:p>
      <w:pPr>
        <w:pStyle w:val="12"/>
        <w:spacing w:before="130" w:line="600" w:lineRule="exact"/>
        <w:ind w:firstLine="675" w:firstLineChars="210"/>
        <w:rPr>
          <w:rFonts w:ascii="Times New Roman" w:hAnsi="Times New Roman" w:eastAsia="楷体_GB2312"/>
          <w:b/>
          <w:sz w:val="32"/>
        </w:rPr>
      </w:pPr>
      <w:r>
        <w:rPr>
          <w:rFonts w:ascii="Times New Roman" w:hAnsi="Times New Roman" w:eastAsia="楷体_GB2312"/>
          <w:b/>
          <w:sz w:val="32"/>
        </w:rPr>
        <w:t>（二）盐边生态环境监测站202</w:t>
      </w:r>
      <w:r>
        <w:rPr>
          <w:rFonts w:hint="eastAsia" w:ascii="Times New Roman" w:hAnsi="Times New Roman" w:eastAsia="楷体_GB2312"/>
          <w:b/>
          <w:sz w:val="32"/>
          <w:lang w:val="en-US" w:eastAsia="zh-CN"/>
        </w:rPr>
        <w:t>5</w:t>
      </w:r>
      <w:r>
        <w:rPr>
          <w:rFonts w:ascii="Times New Roman" w:hAnsi="Times New Roman" w:eastAsia="楷体_GB2312"/>
          <w:b/>
          <w:sz w:val="32"/>
        </w:rPr>
        <w:t>年重点工作。</w:t>
      </w:r>
    </w:p>
    <w:p>
      <w:pPr>
        <w:pStyle w:val="12"/>
        <w:keepNext w:val="0"/>
        <w:keepLines w:val="0"/>
        <w:pageBreakBefore w:val="0"/>
        <w:widowControl w:val="0"/>
        <w:kinsoku/>
        <w:wordWrap/>
        <w:overflowPunct/>
        <w:topLinePunct w:val="0"/>
        <w:autoSpaceDE/>
        <w:autoSpaceDN/>
        <w:bidi w:val="0"/>
        <w:snapToGrid/>
        <w:spacing w:before="0" w:line="600" w:lineRule="exact"/>
        <w:ind w:firstLine="672" w:firstLineChars="210"/>
        <w:rPr>
          <w:rFonts w:ascii="Times New Roman" w:hAnsi="Times New Roman"/>
          <w:sz w:val="32"/>
        </w:rPr>
      </w:pPr>
      <w:r>
        <w:rPr>
          <w:rFonts w:ascii="Times New Roman" w:hAnsi="Times New Roman"/>
          <w:sz w:val="32"/>
        </w:rPr>
        <w:t>1.贯彻执行《中华人民共和国环境保护法》及与环境保护、环境监测相关的法律、法规、标准、规范、行政规章。</w:t>
      </w:r>
    </w:p>
    <w:p>
      <w:pPr>
        <w:pStyle w:val="12"/>
        <w:keepNext w:val="0"/>
        <w:keepLines w:val="0"/>
        <w:pageBreakBefore w:val="0"/>
        <w:widowControl w:val="0"/>
        <w:kinsoku/>
        <w:wordWrap/>
        <w:overflowPunct/>
        <w:topLinePunct w:val="0"/>
        <w:autoSpaceDE/>
        <w:autoSpaceDN/>
        <w:bidi w:val="0"/>
        <w:snapToGrid/>
        <w:spacing w:before="0" w:line="600" w:lineRule="exact"/>
        <w:ind w:firstLine="672" w:firstLineChars="210"/>
        <w:rPr>
          <w:rFonts w:ascii="Times New Roman" w:hAnsi="Times New Roman"/>
          <w:sz w:val="32"/>
        </w:rPr>
      </w:pPr>
      <w:r>
        <w:rPr>
          <w:rFonts w:ascii="Times New Roman" w:hAnsi="Times New Roman"/>
          <w:sz w:val="32"/>
        </w:rPr>
        <w:t>2.参与本县辖区内环境保护规划、计划和大型调查研究方案的制定并贯彻执行。</w:t>
      </w:r>
    </w:p>
    <w:p>
      <w:pPr>
        <w:pStyle w:val="12"/>
        <w:keepNext w:val="0"/>
        <w:keepLines w:val="0"/>
        <w:pageBreakBefore w:val="0"/>
        <w:widowControl w:val="0"/>
        <w:kinsoku/>
        <w:wordWrap/>
        <w:overflowPunct/>
        <w:topLinePunct w:val="0"/>
        <w:autoSpaceDE/>
        <w:autoSpaceDN/>
        <w:bidi w:val="0"/>
        <w:snapToGrid/>
        <w:spacing w:before="0" w:line="600" w:lineRule="exact"/>
        <w:ind w:firstLine="672" w:firstLineChars="210"/>
        <w:rPr>
          <w:rFonts w:ascii="Times New Roman" w:hAnsi="Times New Roman"/>
          <w:sz w:val="32"/>
        </w:rPr>
      </w:pPr>
      <w:r>
        <w:rPr>
          <w:rFonts w:ascii="Times New Roman" w:hAnsi="Times New Roman"/>
          <w:sz w:val="32"/>
        </w:rPr>
        <w:t>3.开展环境质量监测，实施污染源监督监测，建立健全环境监测综合技术动态档案，为加强环境管理提供技术支持。</w:t>
      </w:r>
    </w:p>
    <w:p>
      <w:pPr>
        <w:pStyle w:val="12"/>
        <w:keepNext w:val="0"/>
        <w:keepLines w:val="0"/>
        <w:pageBreakBefore w:val="0"/>
        <w:widowControl w:val="0"/>
        <w:kinsoku/>
        <w:wordWrap/>
        <w:overflowPunct/>
        <w:topLinePunct w:val="0"/>
        <w:autoSpaceDE/>
        <w:autoSpaceDN/>
        <w:bidi w:val="0"/>
        <w:snapToGrid/>
        <w:spacing w:before="0" w:line="600" w:lineRule="exact"/>
        <w:ind w:firstLine="672" w:firstLineChars="210"/>
        <w:rPr>
          <w:rFonts w:ascii="Times New Roman" w:hAnsi="Times New Roman"/>
          <w:sz w:val="32"/>
        </w:rPr>
      </w:pPr>
      <w:r>
        <w:rPr>
          <w:rFonts w:ascii="Times New Roman" w:hAnsi="Times New Roman"/>
          <w:sz w:val="32"/>
        </w:rPr>
        <w:t>4.提供环境质量监测相关资料，为环境保护目标责任制的实施和城市环境综合整治定量考核提供依据。</w:t>
      </w:r>
    </w:p>
    <w:p>
      <w:pPr>
        <w:pStyle w:val="12"/>
        <w:keepNext w:val="0"/>
        <w:keepLines w:val="0"/>
        <w:pageBreakBefore w:val="0"/>
        <w:widowControl w:val="0"/>
        <w:kinsoku/>
        <w:wordWrap/>
        <w:overflowPunct/>
        <w:topLinePunct w:val="0"/>
        <w:autoSpaceDE/>
        <w:autoSpaceDN/>
        <w:bidi w:val="0"/>
        <w:snapToGrid/>
        <w:spacing w:before="0" w:line="600" w:lineRule="exact"/>
        <w:ind w:firstLine="672" w:firstLineChars="210"/>
        <w:rPr>
          <w:rFonts w:ascii="Times New Roman" w:hAnsi="Times New Roman"/>
          <w:sz w:val="32"/>
        </w:rPr>
      </w:pPr>
      <w:r>
        <w:rPr>
          <w:rFonts w:ascii="Times New Roman" w:hAnsi="Times New Roman"/>
          <w:sz w:val="32"/>
        </w:rPr>
        <w:t>5.收集、整理、储存环境监测数据信息资料，定期向同级环境保护行政主管部门和上级环境监测部门呈报本县环境质量状况、污染源动态技术报告，按时上报环境监测报告，定期编报与发布环境状况简报（或公报）。</w:t>
      </w:r>
    </w:p>
    <w:p>
      <w:pPr>
        <w:pStyle w:val="12"/>
        <w:keepNext w:val="0"/>
        <w:keepLines w:val="0"/>
        <w:pageBreakBefore w:val="0"/>
        <w:widowControl w:val="0"/>
        <w:kinsoku/>
        <w:wordWrap/>
        <w:overflowPunct/>
        <w:topLinePunct w:val="0"/>
        <w:autoSpaceDE/>
        <w:autoSpaceDN/>
        <w:bidi w:val="0"/>
        <w:snapToGrid/>
        <w:spacing w:before="0" w:line="600" w:lineRule="exact"/>
        <w:ind w:firstLine="672" w:firstLineChars="210"/>
        <w:rPr>
          <w:rFonts w:ascii="Times New Roman" w:hAnsi="Times New Roman"/>
          <w:sz w:val="32"/>
        </w:rPr>
      </w:pPr>
      <w:r>
        <w:rPr>
          <w:rFonts w:ascii="Times New Roman" w:hAnsi="Times New Roman"/>
          <w:sz w:val="32"/>
        </w:rPr>
        <w:t>6.负责排污申报的技术核查和持证单位的监测，并参与污染源总量控制分配方案的制定和年度考评工作。</w:t>
      </w:r>
    </w:p>
    <w:p>
      <w:pPr>
        <w:pStyle w:val="12"/>
        <w:keepNext w:val="0"/>
        <w:keepLines w:val="0"/>
        <w:pageBreakBefore w:val="0"/>
        <w:widowControl w:val="0"/>
        <w:kinsoku/>
        <w:wordWrap/>
        <w:overflowPunct/>
        <w:topLinePunct w:val="0"/>
        <w:autoSpaceDE/>
        <w:autoSpaceDN/>
        <w:bidi w:val="0"/>
        <w:snapToGrid/>
        <w:spacing w:before="0" w:line="600" w:lineRule="exact"/>
        <w:ind w:firstLine="672" w:firstLineChars="210"/>
        <w:rPr>
          <w:rFonts w:ascii="Times New Roman" w:hAnsi="Times New Roman"/>
          <w:sz w:val="32"/>
        </w:rPr>
      </w:pPr>
      <w:r>
        <w:rPr>
          <w:rFonts w:ascii="Times New Roman" w:hAnsi="Times New Roman"/>
          <w:sz w:val="32"/>
        </w:rPr>
        <w:t>7.参与本县污染事故的调查，为仲裁环境污染纠纷提供监测数据。</w:t>
      </w:r>
    </w:p>
    <w:p>
      <w:pPr>
        <w:spacing w:line="600" w:lineRule="exact"/>
        <w:ind w:firstLine="640" w:firstLineChars="200"/>
        <w:rPr>
          <w:rFonts w:ascii="Times New Roman" w:hAnsi="Times New Roman" w:eastAsia="黑体"/>
        </w:rPr>
      </w:pPr>
      <w:r>
        <w:rPr>
          <w:rFonts w:ascii="Times New Roman" w:hAnsi="Times New Roman" w:eastAsia="黑体"/>
        </w:rPr>
        <w:t>二、</w:t>
      </w:r>
      <w:r>
        <w:rPr>
          <w:rFonts w:ascii="Times New Roman" w:hAnsi="Times New Roman" w:eastAsia="黑体"/>
          <w:lang w:eastAsia="zh-CN"/>
        </w:rPr>
        <w:t>机构设置</w:t>
      </w:r>
      <w:r>
        <w:rPr>
          <w:rFonts w:ascii="Times New Roman" w:hAnsi="Times New Roman" w:eastAsia="黑体"/>
        </w:rPr>
        <w:t>情况</w:t>
      </w:r>
    </w:p>
    <w:p>
      <w:pPr>
        <w:pStyle w:val="12"/>
        <w:spacing w:before="130" w:line="600" w:lineRule="exact"/>
        <w:ind w:firstLine="672" w:firstLineChars="210"/>
        <w:rPr>
          <w:rFonts w:ascii="Times New Roman" w:hAnsi="Times New Roman"/>
          <w:sz w:val="32"/>
        </w:rPr>
      </w:pPr>
      <w:r>
        <w:rPr>
          <w:rFonts w:ascii="Times New Roman" w:hAnsi="Times New Roman"/>
          <w:sz w:val="32"/>
        </w:rPr>
        <w:t>攀枝花市盐边生态环境监测站属二级预算单位，监测站内设机构为办公室、现场监测室、中心分析室、质量技术室。</w:t>
      </w:r>
    </w:p>
    <w:p>
      <w:pPr>
        <w:pStyle w:val="12"/>
        <w:spacing w:before="130" w:line="600" w:lineRule="exact"/>
        <w:ind w:firstLine="672" w:firstLineChars="210"/>
        <w:rPr>
          <w:rFonts w:ascii="Times New Roman" w:hAnsi="Times New Roman"/>
          <w:sz w:val="32"/>
        </w:rPr>
      </w:pPr>
      <w:r>
        <w:rPr>
          <w:rFonts w:ascii="Times New Roman" w:hAnsi="Times New Roman"/>
          <w:sz w:val="32"/>
        </w:rPr>
        <w:t>办公室：负责财务行政后勤管理，业务接洽和下达，文书报告收发及档案管理，组织技术业务交流学习，固定资产管理和仪器设备、试剂药品、办公用品采购事宜，政务协调和服务以及领导交予的其他任务。</w:t>
      </w:r>
    </w:p>
    <w:p>
      <w:pPr>
        <w:pStyle w:val="12"/>
        <w:spacing w:before="130" w:line="600" w:lineRule="exact"/>
        <w:ind w:firstLine="672" w:firstLineChars="210"/>
        <w:rPr>
          <w:rFonts w:ascii="Times New Roman" w:hAnsi="Times New Roman"/>
          <w:sz w:val="32"/>
        </w:rPr>
      </w:pPr>
      <w:r>
        <w:rPr>
          <w:rFonts w:ascii="Times New Roman" w:hAnsi="Times New Roman"/>
          <w:sz w:val="32"/>
        </w:rPr>
        <w:t>现场监测室：合理分配监测工作任务，按照规范程序开展现场监测及采样，对现场监测仪器设备进行日常维护，做好原始记录，制订监测工作所需物品名称和数量，编写相应作业指导书和监测报告。</w:t>
      </w:r>
    </w:p>
    <w:p>
      <w:pPr>
        <w:pStyle w:val="12"/>
        <w:spacing w:before="130" w:line="600" w:lineRule="exact"/>
        <w:ind w:firstLine="672" w:firstLineChars="210"/>
        <w:rPr>
          <w:rFonts w:ascii="Times New Roman" w:hAnsi="Times New Roman"/>
          <w:sz w:val="32"/>
        </w:rPr>
      </w:pPr>
      <w:r>
        <w:rPr>
          <w:rFonts w:ascii="Times New Roman" w:hAnsi="Times New Roman"/>
          <w:sz w:val="32"/>
        </w:rPr>
        <w:t>中心分析室：合理分配监测分析任务，按照规范程序开展实验室监测分析，对实验室仪器设备进行日常维护，做好原始记录，制订分析工作所需物品名称和数量，编写相应作业指导书和监测报告。</w:t>
      </w:r>
    </w:p>
    <w:p>
      <w:pPr>
        <w:pStyle w:val="12"/>
        <w:spacing w:before="130" w:line="600" w:lineRule="exact"/>
        <w:ind w:firstLine="672" w:firstLineChars="210"/>
        <w:rPr>
          <w:rFonts w:ascii="Times New Roman" w:hAnsi="Times New Roman"/>
          <w:sz w:val="32"/>
        </w:rPr>
      </w:pPr>
      <w:r>
        <w:rPr>
          <w:rFonts w:ascii="Times New Roman" w:hAnsi="Times New Roman"/>
          <w:sz w:val="32"/>
        </w:rPr>
        <w:t>质量技术室：全面负责监测工作质量管理，组织策划内部审核、管理评审、和质量控制活动，及时更新及替换监测标准和方法，收集、处理、反馈客户抱怨，对不符合工作进行控制，跟踪验证纠正、预防、改进措施，确保本站管理体系的建立、有效运行和持续改进。</w:t>
      </w:r>
    </w:p>
    <w:p>
      <w:pPr>
        <w:spacing w:line="600" w:lineRule="exact"/>
        <w:ind w:firstLine="640" w:firstLineChars="200"/>
        <w:rPr>
          <w:rFonts w:ascii="Times New Roman" w:hAnsi="Times New Roman" w:eastAsia="黑体"/>
        </w:rPr>
      </w:pPr>
      <w:r>
        <w:rPr>
          <w:rFonts w:ascii="Times New Roman" w:hAnsi="Times New Roman" w:eastAsia="黑体"/>
        </w:rPr>
        <w:t>三、收支预算情况说明</w:t>
      </w:r>
    </w:p>
    <w:p>
      <w:pPr>
        <w:spacing w:line="600" w:lineRule="exact"/>
        <w:ind w:firstLine="640" w:firstLineChars="200"/>
        <w:rPr>
          <w:rFonts w:ascii="Times New Roman" w:hAnsi="Times New Roman"/>
        </w:rPr>
      </w:pPr>
      <w:r>
        <w:rPr>
          <w:rFonts w:ascii="Times New Roman" w:hAnsi="Times New Roman"/>
        </w:rPr>
        <w:t>按照综合预算的原则，盐边生态环境监测站所有收入和支出均纳入单位预算管理。</w:t>
      </w:r>
      <w:r>
        <w:rPr>
          <w:rFonts w:ascii="Times New Roman" w:hAnsi="Times New Roman" w:eastAsia="仿宋_GB2312"/>
        </w:rPr>
        <w:t>收入包括：</w:t>
      </w:r>
      <w:r>
        <w:rPr>
          <w:rFonts w:ascii="Times New Roman" w:hAnsi="Times New Roman"/>
        </w:rPr>
        <w:t>一般公共预算拨款收入；支出包括：社会保障与就业支出、卫生健康支出、节能环保支出、住房保障支出。盐边生态环境监测站202</w:t>
      </w:r>
      <w:r>
        <w:rPr>
          <w:rFonts w:hint="eastAsia" w:ascii="Times New Roman" w:hAnsi="Times New Roman"/>
          <w:lang w:val="en-US" w:eastAsia="zh-CN"/>
        </w:rPr>
        <w:t>5</w:t>
      </w:r>
      <w:r>
        <w:rPr>
          <w:rFonts w:ascii="Times New Roman" w:hAnsi="Times New Roman"/>
        </w:rPr>
        <w:t>年收支总预算</w:t>
      </w:r>
      <w:r>
        <w:rPr>
          <w:rFonts w:hint="eastAsia" w:ascii="Times New Roman" w:hAnsi="Times New Roman"/>
          <w:lang w:val="en-US" w:eastAsia="zh-CN"/>
        </w:rPr>
        <w:t>278.09</w:t>
      </w:r>
      <w:r>
        <w:rPr>
          <w:rFonts w:ascii="Times New Roman" w:hAnsi="Times New Roman"/>
        </w:rPr>
        <w:t>万元。比202</w:t>
      </w:r>
      <w:r>
        <w:rPr>
          <w:rFonts w:hint="eastAsia" w:ascii="Times New Roman" w:hAnsi="Times New Roman"/>
          <w:lang w:val="en-US" w:eastAsia="zh-CN"/>
        </w:rPr>
        <w:t>4</w:t>
      </w:r>
      <w:r>
        <w:rPr>
          <w:rFonts w:ascii="Times New Roman" w:hAnsi="Times New Roman"/>
        </w:rPr>
        <w:t>年预算数</w:t>
      </w:r>
      <w:r>
        <w:rPr>
          <w:rFonts w:hint="eastAsia" w:ascii="Times New Roman" w:hAnsi="Times New Roman"/>
          <w:lang w:eastAsia="zh-CN"/>
        </w:rPr>
        <w:t>减少</w:t>
      </w:r>
      <w:r>
        <w:rPr>
          <w:rFonts w:hint="eastAsia" w:ascii="Times New Roman" w:hAnsi="Times New Roman"/>
          <w:lang w:val="en-US" w:eastAsia="zh-CN"/>
        </w:rPr>
        <w:t>15.53</w:t>
      </w:r>
      <w:r>
        <w:rPr>
          <w:rFonts w:ascii="Times New Roman" w:hAnsi="Times New Roman"/>
        </w:rPr>
        <w:t>万元，主要原因是</w:t>
      </w:r>
      <w:r>
        <w:rPr>
          <w:rFonts w:hint="eastAsia" w:ascii="Times New Roman" w:hAnsi="Times New Roman"/>
          <w:lang w:eastAsia="zh-CN"/>
        </w:rPr>
        <w:t>人员调出和新增时新旧职工造成的预算差额</w:t>
      </w:r>
      <w:r>
        <w:rPr>
          <w:rFonts w:ascii="Times New Roman" w:hAnsi="Times New Roman"/>
        </w:rPr>
        <w:t>。</w:t>
      </w:r>
    </w:p>
    <w:p>
      <w:pPr>
        <w:spacing w:line="600" w:lineRule="exact"/>
        <w:ind w:firstLine="643" w:firstLineChars="200"/>
        <w:rPr>
          <w:rFonts w:ascii="Times New Roman" w:hAnsi="Times New Roman" w:eastAsia="楷体_GB2312"/>
          <w:b/>
        </w:rPr>
      </w:pPr>
      <w:r>
        <w:rPr>
          <w:rFonts w:ascii="Times New Roman" w:hAnsi="Times New Roman" w:eastAsia="楷体_GB2312"/>
          <w:b/>
        </w:rPr>
        <w:t>（一）收入预算情况</w:t>
      </w:r>
      <w:r>
        <w:rPr>
          <w:rFonts w:ascii="Times New Roman" w:hAnsi="Times New Roman" w:eastAsia="楷体_GB2312"/>
          <w:b/>
          <w:lang w:eastAsia="zh-CN"/>
        </w:rPr>
        <w:t>。</w:t>
      </w:r>
    </w:p>
    <w:p>
      <w:pPr>
        <w:spacing w:line="600" w:lineRule="exact"/>
        <w:ind w:firstLine="640" w:firstLineChars="200"/>
        <w:rPr>
          <w:rFonts w:ascii="Times New Roman" w:hAnsi="Times New Roman"/>
        </w:rPr>
      </w:pPr>
      <w:r>
        <w:rPr>
          <w:rFonts w:ascii="Times New Roman" w:hAnsi="Times New Roman"/>
        </w:rPr>
        <w:t>盐边生态环境监测站202</w:t>
      </w:r>
      <w:r>
        <w:rPr>
          <w:rFonts w:hint="eastAsia" w:ascii="Times New Roman" w:hAnsi="Times New Roman"/>
          <w:lang w:val="en-US" w:eastAsia="zh-CN"/>
        </w:rPr>
        <w:t>5</w:t>
      </w:r>
      <w:r>
        <w:rPr>
          <w:rFonts w:ascii="Times New Roman" w:hAnsi="Times New Roman"/>
        </w:rPr>
        <w:t>年收入预算</w:t>
      </w:r>
      <w:r>
        <w:rPr>
          <w:rFonts w:hint="eastAsia" w:ascii="Times New Roman" w:hAnsi="Times New Roman"/>
          <w:lang w:val="en-US" w:eastAsia="zh-CN"/>
        </w:rPr>
        <w:t>278.09</w:t>
      </w:r>
      <w:r>
        <w:rPr>
          <w:rFonts w:ascii="Times New Roman" w:hAnsi="Times New Roman"/>
        </w:rPr>
        <w:t>万元，其中：一般公共预算拨款收入</w:t>
      </w:r>
      <w:r>
        <w:rPr>
          <w:rFonts w:hint="eastAsia" w:ascii="Times New Roman" w:hAnsi="Times New Roman"/>
          <w:lang w:val="en-US" w:eastAsia="zh-CN"/>
        </w:rPr>
        <w:t>278.09</w:t>
      </w:r>
      <w:r>
        <w:rPr>
          <w:rFonts w:ascii="Times New Roman" w:hAnsi="Times New Roman"/>
        </w:rPr>
        <w:t>万元，占100%。</w:t>
      </w:r>
    </w:p>
    <w:p>
      <w:pPr>
        <w:spacing w:line="600" w:lineRule="exact"/>
        <w:ind w:firstLine="643" w:firstLineChars="200"/>
        <w:rPr>
          <w:rFonts w:ascii="Times New Roman" w:hAnsi="Times New Roman" w:eastAsia="楷体_GB2312"/>
          <w:b/>
        </w:rPr>
      </w:pPr>
      <w:r>
        <w:rPr>
          <w:rFonts w:ascii="Times New Roman" w:hAnsi="Times New Roman" w:eastAsia="楷体_GB2312"/>
          <w:b/>
        </w:rPr>
        <w:t>（二）支出预算情况</w:t>
      </w:r>
      <w:r>
        <w:rPr>
          <w:rFonts w:ascii="Times New Roman" w:hAnsi="Times New Roman" w:eastAsia="楷体_GB2312"/>
          <w:b/>
          <w:lang w:eastAsia="zh-CN"/>
        </w:rPr>
        <w:t>。</w:t>
      </w:r>
    </w:p>
    <w:p>
      <w:pPr>
        <w:spacing w:line="600" w:lineRule="exact"/>
        <w:ind w:firstLine="640" w:firstLineChars="200"/>
        <w:rPr>
          <w:rFonts w:ascii="Times New Roman" w:hAnsi="Times New Roman"/>
        </w:rPr>
      </w:pPr>
      <w:r>
        <w:rPr>
          <w:rFonts w:ascii="Times New Roman" w:hAnsi="Times New Roman"/>
        </w:rPr>
        <w:t>盐边生态环境监测站202</w:t>
      </w:r>
      <w:r>
        <w:rPr>
          <w:rFonts w:hint="eastAsia" w:ascii="Times New Roman" w:hAnsi="Times New Roman"/>
          <w:lang w:val="en-US" w:eastAsia="zh-CN"/>
        </w:rPr>
        <w:t>5</w:t>
      </w:r>
      <w:r>
        <w:rPr>
          <w:rFonts w:ascii="Times New Roman" w:hAnsi="Times New Roman"/>
        </w:rPr>
        <w:t>年支出预算</w:t>
      </w:r>
      <w:r>
        <w:rPr>
          <w:rFonts w:hint="eastAsia" w:ascii="Times New Roman" w:hAnsi="Times New Roman"/>
          <w:lang w:val="en-US" w:eastAsia="zh-CN"/>
        </w:rPr>
        <w:t>278.09</w:t>
      </w:r>
      <w:r>
        <w:rPr>
          <w:rFonts w:ascii="Times New Roman" w:hAnsi="Times New Roman"/>
        </w:rPr>
        <w:t>万元，其中：基本支出</w:t>
      </w:r>
      <w:r>
        <w:rPr>
          <w:rFonts w:hint="eastAsia" w:ascii="Times New Roman" w:hAnsi="Times New Roman"/>
          <w:lang w:val="en-US" w:eastAsia="zh-CN"/>
        </w:rPr>
        <w:t>278.09</w:t>
      </w:r>
      <w:r>
        <w:rPr>
          <w:rFonts w:ascii="Times New Roman" w:hAnsi="Times New Roman"/>
        </w:rPr>
        <w:t>万元，占100%，项目支出0万元，占0%。</w:t>
      </w:r>
    </w:p>
    <w:p>
      <w:pPr>
        <w:spacing w:line="600" w:lineRule="exact"/>
        <w:ind w:firstLine="640" w:firstLineChars="200"/>
        <w:rPr>
          <w:rFonts w:ascii="Times New Roman" w:hAnsi="Times New Roman" w:eastAsia="黑体"/>
        </w:rPr>
      </w:pPr>
      <w:r>
        <w:rPr>
          <w:rFonts w:ascii="Times New Roman" w:hAnsi="Times New Roman" w:eastAsia="黑体"/>
        </w:rPr>
        <w:t>四、财政拨款收支预算情况说明</w:t>
      </w:r>
    </w:p>
    <w:p>
      <w:pPr>
        <w:spacing w:line="600" w:lineRule="exact"/>
        <w:ind w:firstLine="640" w:firstLineChars="200"/>
        <w:rPr>
          <w:rFonts w:ascii="Times New Roman" w:hAnsi="Times New Roman"/>
        </w:rPr>
      </w:pPr>
      <w:r>
        <w:rPr>
          <w:rFonts w:ascii="Times New Roman" w:hAnsi="Times New Roman"/>
        </w:rPr>
        <w:t>盐边生态环境监测站202</w:t>
      </w:r>
      <w:r>
        <w:rPr>
          <w:rFonts w:hint="eastAsia" w:ascii="Times New Roman" w:hAnsi="Times New Roman"/>
          <w:lang w:val="en-US" w:eastAsia="zh-CN"/>
        </w:rPr>
        <w:t>5</w:t>
      </w:r>
      <w:r>
        <w:rPr>
          <w:rFonts w:ascii="Times New Roman" w:hAnsi="Times New Roman"/>
        </w:rPr>
        <w:t>年财政拨款收支总预算</w:t>
      </w:r>
      <w:r>
        <w:rPr>
          <w:rFonts w:hint="eastAsia" w:ascii="Times New Roman" w:hAnsi="Times New Roman"/>
          <w:lang w:val="en-US" w:eastAsia="zh-CN"/>
        </w:rPr>
        <w:t>278.09</w:t>
      </w:r>
      <w:r>
        <w:rPr>
          <w:rFonts w:ascii="Times New Roman" w:hAnsi="Times New Roman"/>
        </w:rPr>
        <w:t>万元。收入均为本年一般公共预算拨款收入</w:t>
      </w:r>
      <w:r>
        <w:rPr>
          <w:rFonts w:hint="eastAsia" w:ascii="Times New Roman" w:hAnsi="Times New Roman"/>
          <w:lang w:val="en-US" w:eastAsia="zh-CN"/>
        </w:rPr>
        <w:t>278.09</w:t>
      </w:r>
      <w:r>
        <w:rPr>
          <w:rFonts w:ascii="Times New Roman" w:hAnsi="Times New Roman"/>
        </w:rPr>
        <w:t>万元；支出包括：社会保障与就业支出</w:t>
      </w:r>
      <w:r>
        <w:rPr>
          <w:rFonts w:hint="eastAsia" w:ascii="Times New Roman" w:hAnsi="Times New Roman"/>
          <w:lang w:val="en-US" w:eastAsia="zh-CN"/>
        </w:rPr>
        <w:t>30.47</w:t>
      </w:r>
      <w:r>
        <w:rPr>
          <w:rFonts w:ascii="Times New Roman" w:hAnsi="Times New Roman"/>
        </w:rPr>
        <w:t>万元、卫生健康支出</w:t>
      </w:r>
      <w:r>
        <w:rPr>
          <w:rFonts w:hint="eastAsia" w:ascii="Times New Roman" w:hAnsi="Times New Roman"/>
          <w:lang w:val="en-US" w:eastAsia="zh-CN"/>
        </w:rPr>
        <w:t>15.73</w:t>
      </w:r>
      <w:r>
        <w:rPr>
          <w:rFonts w:ascii="Times New Roman" w:hAnsi="Times New Roman"/>
        </w:rPr>
        <w:t>万元、节能环保支出</w:t>
      </w:r>
      <w:r>
        <w:rPr>
          <w:rFonts w:hint="eastAsia" w:ascii="Times New Roman" w:hAnsi="Times New Roman"/>
          <w:lang w:val="en-US" w:eastAsia="zh-CN"/>
        </w:rPr>
        <w:t>210.18</w:t>
      </w:r>
      <w:r>
        <w:rPr>
          <w:rFonts w:ascii="Times New Roman" w:hAnsi="Times New Roman"/>
        </w:rPr>
        <w:t>万元、住房保障支出</w:t>
      </w:r>
      <w:r>
        <w:rPr>
          <w:rFonts w:hint="eastAsia" w:ascii="Times New Roman" w:hAnsi="Times New Roman"/>
          <w:lang w:val="en-US" w:eastAsia="zh-CN"/>
        </w:rPr>
        <w:t>21.71</w:t>
      </w:r>
      <w:r>
        <w:rPr>
          <w:rFonts w:ascii="Times New Roman" w:hAnsi="Times New Roman"/>
        </w:rPr>
        <w:t>万元。</w:t>
      </w:r>
    </w:p>
    <w:p>
      <w:pPr>
        <w:spacing w:line="600" w:lineRule="exact"/>
        <w:ind w:firstLine="640" w:firstLineChars="200"/>
        <w:rPr>
          <w:rFonts w:ascii="Times New Roman" w:hAnsi="Times New Roman" w:eastAsia="黑体"/>
        </w:rPr>
      </w:pPr>
      <w:r>
        <w:rPr>
          <w:rFonts w:ascii="Times New Roman" w:hAnsi="Times New Roman" w:eastAsia="黑体"/>
        </w:rPr>
        <w:t>五、一般公共预算当年拨款情况说明</w:t>
      </w:r>
    </w:p>
    <w:p>
      <w:pPr>
        <w:spacing w:line="600" w:lineRule="exact"/>
        <w:ind w:firstLine="643" w:firstLineChars="200"/>
        <w:rPr>
          <w:rFonts w:ascii="Times New Roman" w:hAnsi="Times New Roman" w:eastAsia="楷体_GB2312"/>
          <w:b/>
        </w:rPr>
      </w:pPr>
      <w:r>
        <w:rPr>
          <w:rFonts w:ascii="Times New Roman" w:hAnsi="Times New Roman" w:eastAsia="楷体_GB2312"/>
          <w:b/>
        </w:rPr>
        <w:t>（一）一般公共预算当年拨款规模变化情况</w:t>
      </w:r>
      <w:r>
        <w:rPr>
          <w:rFonts w:ascii="Times New Roman" w:hAnsi="Times New Roman" w:eastAsia="楷体_GB2312"/>
          <w:b/>
          <w:lang w:eastAsia="zh-CN"/>
        </w:rPr>
        <w:t>。</w:t>
      </w:r>
    </w:p>
    <w:p>
      <w:pPr>
        <w:spacing w:line="600" w:lineRule="exact"/>
        <w:ind w:firstLine="640" w:firstLineChars="200"/>
        <w:rPr>
          <w:rFonts w:ascii="Times New Roman" w:hAnsi="Times New Roman"/>
        </w:rPr>
      </w:pPr>
      <w:r>
        <w:rPr>
          <w:rFonts w:ascii="Times New Roman" w:hAnsi="Times New Roman"/>
        </w:rPr>
        <w:t>盐边生态环境监测站</w:t>
      </w:r>
      <w:r>
        <w:rPr>
          <w:rFonts w:hint="eastAsia" w:ascii="Times New Roman" w:hAnsi="Times New Roman"/>
          <w:lang w:eastAsia="zh-CN"/>
        </w:rPr>
        <w:t>2025</w:t>
      </w:r>
      <w:r>
        <w:rPr>
          <w:rFonts w:ascii="Times New Roman" w:hAnsi="Times New Roman"/>
        </w:rPr>
        <w:t>年一般公共预算当年拨款</w:t>
      </w:r>
      <w:r>
        <w:rPr>
          <w:rFonts w:hint="eastAsia" w:ascii="Times New Roman" w:hAnsi="Times New Roman"/>
          <w:lang w:val="en-US" w:eastAsia="zh-CN"/>
        </w:rPr>
        <w:t>278.09</w:t>
      </w:r>
      <w:r>
        <w:rPr>
          <w:rFonts w:ascii="Times New Roman" w:hAnsi="Times New Roman"/>
        </w:rPr>
        <w:t>万元，比</w:t>
      </w:r>
      <w:r>
        <w:rPr>
          <w:rFonts w:hint="eastAsia" w:ascii="Times New Roman" w:hAnsi="Times New Roman"/>
          <w:lang w:eastAsia="zh-CN"/>
        </w:rPr>
        <w:t>2024</w:t>
      </w:r>
      <w:r>
        <w:rPr>
          <w:rFonts w:ascii="Times New Roman" w:hAnsi="Times New Roman"/>
        </w:rPr>
        <w:t>年预算数</w:t>
      </w:r>
      <w:r>
        <w:rPr>
          <w:rFonts w:ascii="Times New Roman" w:hAnsi="Times New Roman"/>
          <w:u w:val="none"/>
        </w:rPr>
        <w:t>减少</w:t>
      </w:r>
      <w:r>
        <w:rPr>
          <w:rFonts w:hint="eastAsia" w:ascii="Times New Roman" w:hAnsi="Times New Roman"/>
          <w:lang w:val="en-US" w:eastAsia="zh-CN"/>
        </w:rPr>
        <w:t>15.53</w:t>
      </w:r>
      <w:r>
        <w:rPr>
          <w:rFonts w:ascii="Times New Roman" w:hAnsi="Times New Roman"/>
        </w:rPr>
        <w:t>万元，主要是人员调</w:t>
      </w:r>
      <w:r>
        <w:rPr>
          <w:rFonts w:hint="eastAsia" w:ascii="Times New Roman" w:hAnsi="Times New Roman"/>
          <w:lang w:eastAsia="zh-CN"/>
        </w:rPr>
        <w:t>出</w:t>
      </w:r>
      <w:r>
        <w:rPr>
          <w:rFonts w:ascii="Times New Roman" w:hAnsi="Times New Roman"/>
        </w:rPr>
        <w:t>和新增时新旧职工造成的预算差额。</w:t>
      </w:r>
    </w:p>
    <w:p>
      <w:pPr>
        <w:spacing w:line="600" w:lineRule="exact"/>
        <w:ind w:firstLine="643" w:firstLineChars="200"/>
        <w:rPr>
          <w:rFonts w:ascii="Times New Roman" w:hAnsi="Times New Roman" w:eastAsia="楷体_GB2312"/>
          <w:b/>
        </w:rPr>
      </w:pPr>
      <w:r>
        <w:rPr>
          <w:rFonts w:ascii="Times New Roman" w:hAnsi="Times New Roman" w:eastAsia="楷体_GB2312"/>
          <w:b/>
        </w:rPr>
        <w:t>（二）一般公共预算当年拨款结构情况</w:t>
      </w:r>
      <w:r>
        <w:rPr>
          <w:rFonts w:ascii="Times New Roman" w:hAnsi="Times New Roman" w:eastAsia="楷体_GB2312"/>
          <w:b/>
          <w:lang w:eastAsia="zh-CN"/>
        </w:rPr>
        <w:t>。</w:t>
      </w:r>
    </w:p>
    <w:p>
      <w:pPr>
        <w:spacing w:line="600" w:lineRule="exact"/>
        <w:ind w:firstLine="640" w:firstLineChars="200"/>
        <w:rPr>
          <w:rFonts w:ascii="Times New Roman" w:hAnsi="Times New Roman"/>
        </w:rPr>
      </w:pPr>
      <w:r>
        <w:rPr>
          <w:rFonts w:ascii="Times New Roman" w:hAnsi="Times New Roman"/>
        </w:rPr>
        <w:t>社会保障和就业支出</w:t>
      </w:r>
      <w:r>
        <w:rPr>
          <w:rFonts w:hint="eastAsia" w:ascii="Times New Roman" w:hAnsi="Times New Roman"/>
          <w:lang w:val="en-US" w:eastAsia="zh-CN"/>
        </w:rPr>
        <w:t>30.47</w:t>
      </w:r>
      <w:r>
        <w:rPr>
          <w:rFonts w:ascii="Times New Roman" w:hAnsi="Times New Roman"/>
        </w:rPr>
        <w:t>万元，占10.</w:t>
      </w:r>
      <w:r>
        <w:rPr>
          <w:rFonts w:hint="eastAsia" w:ascii="Times New Roman" w:hAnsi="Times New Roman"/>
          <w:lang w:val="en-US" w:eastAsia="zh-CN"/>
        </w:rPr>
        <w:t>96</w:t>
      </w:r>
      <w:r>
        <w:rPr>
          <w:rFonts w:ascii="Times New Roman" w:hAnsi="Times New Roman"/>
        </w:rPr>
        <w:t>%； 卫生健康支出</w:t>
      </w:r>
      <w:r>
        <w:rPr>
          <w:rFonts w:hint="eastAsia" w:ascii="Times New Roman" w:hAnsi="Times New Roman"/>
          <w:lang w:val="en-US" w:eastAsia="zh-CN"/>
        </w:rPr>
        <w:t>15.73</w:t>
      </w:r>
      <w:r>
        <w:rPr>
          <w:rFonts w:ascii="Times New Roman" w:hAnsi="Times New Roman"/>
        </w:rPr>
        <w:t>万元，占</w:t>
      </w:r>
      <w:r>
        <w:rPr>
          <w:rFonts w:hint="eastAsia" w:ascii="Times New Roman" w:hAnsi="Times New Roman"/>
          <w:lang w:val="en-US" w:eastAsia="zh-CN"/>
        </w:rPr>
        <w:t>5.65</w:t>
      </w:r>
      <w:r>
        <w:rPr>
          <w:rFonts w:ascii="Times New Roman" w:hAnsi="Times New Roman"/>
        </w:rPr>
        <w:t>%；节能环保支出</w:t>
      </w:r>
      <w:r>
        <w:rPr>
          <w:rFonts w:hint="eastAsia" w:ascii="Times New Roman" w:hAnsi="Times New Roman"/>
          <w:lang w:val="en-US" w:eastAsia="zh-CN"/>
        </w:rPr>
        <w:t>210.18</w:t>
      </w:r>
      <w:r>
        <w:rPr>
          <w:rFonts w:ascii="Times New Roman" w:hAnsi="Times New Roman"/>
        </w:rPr>
        <w:t>万元，占75.</w:t>
      </w:r>
      <w:r>
        <w:rPr>
          <w:rFonts w:hint="eastAsia" w:ascii="Times New Roman" w:hAnsi="Times New Roman"/>
          <w:lang w:val="en-US" w:eastAsia="zh-CN"/>
        </w:rPr>
        <w:t>58</w:t>
      </w:r>
      <w:r>
        <w:rPr>
          <w:rFonts w:ascii="Times New Roman" w:hAnsi="Times New Roman"/>
        </w:rPr>
        <w:t>%；住房保障支出</w:t>
      </w:r>
      <w:r>
        <w:rPr>
          <w:rFonts w:hint="eastAsia" w:ascii="Times New Roman" w:hAnsi="Times New Roman"/>
          <w:lang w:val="en-US" w:eastAsia="zh-CN"/>
        </w:rPr>
        <w:t>21.71</w:t>
      </w:r>
      <w:r>
        <w:rPr>
          <w:rFonts w:ascii="Times New Roman" w:hAnsi="Times New Roman"/>
        </w:rPr>
        <w:t>万元，占7.</w:t>
      </w:r>
      <w:r>
        <w:rPr>
          <w:rFonts w:hint="eastAsia" w:ascii="Times New Roman" w:hAnsi="Times New Roman"/>
          <w:lang w:val="en-US" w:eastAsia="zh-CN"/>
        </w:rPr>
        <w:t>81</w:t>
      </w:r>
      <w:r>
        <w:rPr>
          <w:rFonts w:ascii="Times New Roman" w:hAnsi="Times New Roman"/>
        </w:rPr>
        <w:t>%。</w:t>
      </w:r>
    </w:p>
    <w:p>
      <w:pPr>
        <w:spacing w:line="600" w:lineRule="exact"/>
        <w:ind w:firstLine="643" w:firstLineChars="200"/>
        <w:rPr>
          <w:rFonts w:ascii="Times New Roman" w:hAnsi="Times New Roman" w:eastAsia="楷体_GB2312"/>
          <w:b/>
        </w:rPr>
      </w:pPr>
      <w:r>
        <w:rPr>
          <w:rFonts w:ascii="Times New Roman" w:hAnsi="Times New Roman" w:eastAsia="楷体_GB2312"/>
          <w:b/>
        </w:rPr>
        <w:t>（三）一般公共预算当年拨款具体使用情况</w:t>
      </w:r>
      <w:r>
        <w:rPr>
          <w:rFonts w:ascii="Times New Roman" w:hAnsi="Times New Roman" w:eastAsia="楷体_GB2312"/>
          <w:b/>
          <w:lang w:eastAsia="zh-CN"/>
        </w:rPr>
        <w:t>。</w:t>
      </w:r>
    </w:p>
    <w:p>
      <w:pPr>
        <w:spacing w:line="600" w:lineRule="exact"/>
        <w:ind w:firstLine="640" w:firstLineChars="200"/>
        <w:rPr>
          <w:rFonts w:ascii="Times New Roman" w:hAnsi="Times New Roman"/>
        </w:rPr>
      </w:pPr>
      <w:r>
        <w:rPr>
          <w:rFonts w:ascii="Times New Roman" w:hAnsi="Times New Roman"/>
        </w:rPr>
        <w:t>1.社会保障和就业支出（类）行政事业单位养老支出（款）事业单位离退休（项）202</w:t>
      </w:r>
      <w:r>
        <w:rPr>
          <w:rFonts w:hint="eastAsia" w:ascii="Times New Roman" w:hAnsi="Times New Roman"/>
          <w:lang w:val="en-US" w:eastAsia="zh-CN"/>
        </w:rPr>
        <w:t>5</w:t>
      </w:r>
      <w:r>
        <w:rPr>
          <w:rFonts w:ascii="Times New Roman" w:hAnsi="Times New Roman"/>
        </w:rPr>
        <w:t>年预算数为1.</w:t>
      </w:r>
      <w:r>
        <w:rPr>
          <w:rFonts w:hint="eastAsia" w:ascii="Times New Roman" w:hAnsi="Times New Roman"/>
          <w:lang w:val="en-US" w:eastAsia="zh-CN"/>
        </w:rPr>
        <w:t>53</w:t>
      </w:r>
      <w:r>
        <w:rPr>
          <w:rFonts w:ascii="Times New Roman" w:hAnsi="Times New Roman"/>
        </w:rPr>
        <w:t>万元，主要用于：退休人员生活补助。</w:t>
      </w:r>
    </w:p>
    <w:p>
      <w:pPr>
        <w:spacing w:line="600" w:lineRule="exact"/>
        <w:ind w:firstLine="640" w:firstLineChars="200"/>
        <w:rPr>
          <w:rFonts w:ascii="Times New Roman" w:hAnsi="Times New Roman"/>
        </w:rPr>
      </w:pPr>
      <w:r>
        <w:rPr>
          <w:rFonts w:ascii="Times New Roman" w:hAnsi="Times New Roman"/>
        </w:rPr>
        <w:t>2.社会保障和就业支出（类）行政事业单位养老支出（款）机关事业单位基本养老保险缴费支出（项）202</w:t>
      </w:r>
      <w:r>
        <w:rPr>
          <w:rFonts w:hint="eastAsia" w:ascii="Times New Roman" w:hAnsi="Times New Roman"/>
          <w:lang w:val="en-US" w:eastAsia="zh-CN"/>
        </w:rPr>
        <w:t>5</w:t>
      </w:r>
      <w:r>
        <w:rPr>
          <w:rFonts w:ascii="Times New Roman" w:hAnsi="Times New Roman"/>
        </w:rPr>
        <w:t>年预算数为</w:t>
      </w:r>
      <w:r>
        <w:rPr>
          <w:rFonts w:hint="eastAsia" w:ascii="Times New Roman" w:hAnsi="Times New Roman"/>
          <w:lang w:val="en-US" w:eastAsia="zh-CN"/>
        </w:rPr>
        <w:t>28.94</w:t>
      </w:r>
      <w:r>
        <w:rPr>
          <w:rFonts w:ascii="Times New Roman" w:hAnsi="Times New Roman"/>
        </w:rPr>
        <w:t>万元，主要用于：缴纳职工基本养老保险。</w:t>
      </w:r>
    </w:p>
    <w:p>
      <w:pPr>
        <w:spacing w:line="600" w:lineRule="exact"/>
        <w:ind w:firstLine="640" w:firstLineChars="200"/>
        <w:rPr>
          <w:rFonts w:ascii="Times New Roman" w:hAnsi="Times New Roman"/>
        </w:rPr>
      </w:pPr>
      <w:r>
        <w:rPr>
          <w:rFonts w:ascii="Times New Roman" w:hAnsi="Times New Roman"/>
        </w:rPr>
        <w:t>3.卫生健康支出（类）行政事业单位医疗（款）事业单位医疗（项）202</w:t>
      </w:r>
      <w:r>
        <w:rPr>
          <w:rFonts w:hint="eastAsia" w:ascii="Times New Roman" w:hAnsi="Times New Roman"/>
          <w:lang w:val="en-US" w:eastAsia="zh-CN"/>
        </w:rPr>
        <w:t>5</w:t>
      </w:r>
      <w:r>
        <w:rPr>
          <w:rFonts w:ascii="Times New Roman" w:hAnsi="Times New Roman"/>
        </w:rPr>
        <w:t>年预算数为</w:t>
      </w:r>
      <w:r>
        <w:rPr>
          <w:rFonts w:hint="eastAsia" w:ascii="Times New Roman" w:hAnsi="Times New Roman"/>
          <w:lang w:val="en-US" w:eastAsia="zh-CN"/>
        </w:rPr>
        <w:t>13.93</w:t>
      </w:r>
      <w:r>
        <w:rPr>
          <w:rFonts w:ascii="Times New Roman" w:hAnsi="Times New Roman"/>
        </w:rPr>
        <w:t>万元，主要用于：缴纳职工基本医疗保险。</w:t>
      </w:r>
    </w:p>
    <w:p>
      <w:pPr>
        <w:spacing w:line="600" w:lineRule="exact"/>
        <w:ind w:firstLine="640" w:firstLineChars="200"/>
        <w:rPr>
          <w:rFonts w:ascii="Times New Roman" w:hAnsi="Times New Roman"/>
        </w:rPr>
      </w:pPr>
      <w:r>
        <w:rPr>
          <w:rFonts w:ascii="Times New Roman" w:hAnsi="Times New Roman"/>
        </w:rPr>
        <w:t>4.卫生健康支出（类）行政事业单位医疗（款）公务员医疗补助（项）202</w:t>
      </w:r>
      <w:r>
        <w:rPr>
          <w:rFonts w:hint="eastAsia" w:ascii="Times New Roman" w:hAnsi="Times New Roman"/>
          <w:lang w:val="en-US" w:eastAsia="zh-CN"/>
        </w:rPr>
        <w:t>5</w:t>
      </w:r>
      <w:r>
        <w:rPr>
          <w:rFonts w:ascii="Times New Roman" w:hAnsi="Times New Roman"/>
        </w:rPr>
        <w:t>年预算数为1.8万元，主要用于：缴纳公务员医疗补助。</w:t>
      </w:r>
    </w:p>
    <w:p>
      <w:pPr>
        <w:spacing w:line="600" w:lineRule="exact"/>
        <w:ind w:firstLine="640" w:firstLineChars="200"/>
        <w:rPr>
          <w:rFonts w:hint="eastAsia" w:ascii="Times New Roman" w:hAnsi="Times New Roman"/>
          <w:lang w:val="en-US" w:eastAsia="zh-CN"/>
        </w:rPr>
      </w:pPr>
      <w:r>
        <w:rPr>
          <w:rFonts w:hint="eastAsia" w:ascii="Times New Roman" w:hAnsi="Times New Roman"/>
          <w:lang w:val="en-US" w:eastAsia="zh-CN"/>
        </w:rPr>
        <w:t>5</w:t>
      </w:r>
      <w:r>
        <w:rPr>
          <w:rFonts w:ascii="Times New Roman" w:hAnsi="Times New Roman"/>
        </w:rPr>
        <w:t>.节能环保支出（类）环境保护管理事务（款）其他环境保护管理事务支出（项）202</w:t>
      </w:r>
      <w:r>
        <w:rPr>
          <w:rFonts w:hint="eastAsia" w:ascii="Times New Roman" w:hAnsi="Times New Roman"/>
          <w:lang w:val="en-US" w:eastAsia="zh-CN"/>
        </w:rPr>
        <w:t>5</w:t>
      </w:r>
      <w:r>
        <w:rPr>
          <w:rFonts w:ascii="Times New Roman" w:hAnsi="Times New Roman"/>
        </w:rPr>
        <w:t>年预算数为</w:t>
      </w:r>
      <w:r>
        <w:rPr>
          <w:rFonts w:hint="eastAsia" w:ascii="Times New Roman" w:hAnsi="Times New Roman"/>
          <w:lang w:val="en-US" w:eastAsia="zh-CN"/>
        </w:rPr>
        <w:t>210.18</w:t>
      </w:r>
      <w:r>
        <w:rPr>
          <w:rFonts w:ascii="Times New Roman" w:hAnsi="Times New Roman"/>
        </w:rPr>
        <w:t>万元，主要用于：发放职工工资及保障单位正常运转。</w:t>
      </w:r>
    </w:p>
    <w:p>
      <w:pPr>
        <w:spacing w:line="600" w:lineRule="exact"/>
        <w:ind w:firstLine="640" w:firstLineChars="200"/>
        <w:rPr>
          <w:rFonts w:hint="eastAsia" w:ascii="Times New Roman" w:hAnsi="Times New Roman"/>
          <w:lang w:val="en-US" w:eastAsia="zh-CN"/>
        </w:rPr>
      </w:pPr>
      <w:r>
        <w:rPr>
          <w:rFonts w:hint="eastAsia" w:ascii="Times New Roman" w:hAnsi="Times New Roman"/>
          <w:lang w:val="en-US" w:eastAsia="zh-CN"/>
        </w:rPr>
        <w:t>6.</w:t>
      </w:r>
      <w:r>
        <w:rPr>
          <w:rFonts w:ascii="Times New Roman" w:hAnsi="Times New Roman"/>
        </w:rPr>
        <w:t>住房保障支出（类）住房改革支出（款）住房公积金（项）202</w:t>
      </w:r>
      <w:r>
        <w:rPr>
          <w:rFonts w:hint="eastAsia" w:ascii="Times New Roman" w:hAnsi="Times New Roman"/>
          <w:lang w:val="en-US" w:eastAsia="zh-CN"/>
        </w:rPr>
        <w:t>5</w:t>
      </w:r>
      <w:r>
        <w:rPr>
          <w:rFonts w:ascii="Times New Roman" w:hAnsi="Times New Roman"/>
        </w:rPr>
        <w:t>年预算数为2</w:t>
      </w:r>
      <w:r>
        <w:rPr>
          <w:rFonts w:hint="eastAsia" w:ascii="Times New Roman" w:hAnsi="Times New Roman"/>
          <w:lang w:val="en-US" w:eastAsia="zh-CN"/>
        </w:rPr>
        <w:t>1.71</w:t>
      </w:r>
      <w:r>
        <w:rPr>
          <w:rFonts w:ascii="Times New Roman" w:hAnsi="Times New Roman"/>
        </w:rPr>
        <w:t>万元，主要用于：缴纳职工住房公积金。</w:t>
      </w:r>
    </w:p>
    <w:p>
      <w:pPr>
        <w:spacing w:line="600" w:lineRule="exact"/>
        <w:ind w:firstLine="640" w:firstLineChars="200"/>
        <w:rPr>
          <w:rFonts w:ascii="Times New Roman" w:hAnsi="Times New Roman" w:eastAsia="黑体"/>
        </w:rPr>
      </w:pPr>
      <w:r>
        <w:rPr>
          <w:rFonts w:ascii="Times New Roman" w:hAnsi="Times New Roman" w:eastAsia="黑体"/>
        </w:rPr>
        <w:t>六、一般公共预算基本支出情况说明</w:t>
      </w:r>
    </w:p>
    <w:p>
      <w:pPr>
        <w:spacing w:line="600" w:lineRule="exact"/>
        <w:ind w:firstLine="640" w:firstLineChars="200"/>
        <w:rPr>
          <w:rFonts w:ascii="Times New Roman" w:hAnsi="Times New Roman"/>
        </w:rPr>
      </w:pPr>
      <w:r>
        <w:rPr>
          <w:rFonts w:ascii="Times New Roman" w:hAnsi="Times New Roman"/>
        </w:rPr>
        <w:t>盐边生态环境监测站</w:t>
      </w:r>
      <w:r>
        <w:rPr>
          <w:rFonts w:hint="eastAsia" w:ascii="Times New Roman" w:hAnsi="Times New Roman"/>
          <w:lang w:eastAsia="zh-CN"/>
        </w:rPr>
        <w:t>2025</w:t>
      </w:r>
      <w:r>
        <w:rPr>
          <w:rFonts w:ascii="Times New Roman" w:hAnsi="Times New Roman"/>
        </w:rPr>
        <w:t>年一般公共预算基本支出</w:t>
      </w:r>
      <w:r>
        <w:rPr>
          <w:rFonts w:hint="eastAsia" w:ascii="Times New Roman" w:hAnsi="Times New Roman"/>
          <w:lang w:val="en-US" w:eastAsia="zh-CN"/>
        </w:rPr>
        <w:t>278.09</w:t>
      </w:r>
      <w:r>
        <w:rPr>
          <w:rFonts w:ascii="Times New Roman" w:hAnsi="Times New Roman"/>
        </w:rPr>
        <w:t>万元，其中：</w:t>
      </w:r>
    </w:p>
    <w:p>
      <w:pPr>
        <w:spacing w:line="600" w:lineRule="exact"/>
        <w:ind w:firstLine="640" w:firstLineChars="200"/>
        <w:rPr>
          <w:rFonts w:ascii="Times New Roman" w:hAnsi="Times New Roman"/>
        </w:rPr>
      </w:pPr>
      <w:r>
        <w:rPr>
          <w:rFonts w:ascii="Times New Roman" w:hAnsi="Times New Roman"/>
        </w:rPr>
        <w:t>人员经费</w:t>
      </w:r>
      <w:r>
        <w:rPr>
          <w:rFonts w:hint="eastAsia" w:ascii="Times New Roman" w:hAnsi="Times New Roman"/>
          <w:lang w:val="en-US" w:eastAsia="zh-CN"/>
        </w:rPr>
        <w:t>253.08</w:t>
      </w:r>
      <w:r>
        <w:rPr>
          <w:rFonts w:ascii="Times New Roman" w:hAnsi="Times New Roman"/>
        </w:rPr>
        <w:t>万元，主要包括：工资奖金津补贴、社会保险缴费</w:t>
      </w:r>
      <w:r>
        <w:rPr>
          <w:rFonts w:hint="eastAsia" w:ascii="Times New Roman" w:hAnsi="Times New Roman"/>
          <w:lang w:eastAsia="zh-CN"/>
        </w:rPr>
        <w:t>、住房公积金、社会福利和救助</w:t>
      </w:r>
      <w:r>
        <w:rPr>
          <w:rFonts w:ascii="Times New Roman" w:hAnsi="Times New Roman"/>
        </w:rPr>
        <w:t>。</w:t>
      </w:r>
    </w:p>
    <w:p>
      <w:pPr>
        <w:spacing w:line="600" w:lineRule="exact"/>
        <w:ind w:firstLine="640" w:firstLineChars="200"/>
        <w:rPr>
          <w:rFonts w:ascii="Times New Roman" w:hAnsi="Times New Roman"/>
        </w:rPr>
      </w:pPr>
      <w:r>
        <w:rPr>
          <w:rFonts w:ascii="Times New Roman" w:hAnsi="Times New Roman"/>
        </w:rPr>
        <w:t>公用经费</w:t>
      </w:r>
      <w:r>
        <w:rPr>
          <w:rFonts w:hint="eastAsia" w:ascii="Times New Roman" w:hAnsi="Times New Roman"/>
          <w:lang w:val="en-US" w:eastAsia="zh-CN"/>
        </w:rPr>
        <w:t>25.01</w:t>
      </w:r>
      <w:r>
        <w:rPr>
          <w:rFonts w:ascii="Times New Roman" w:hAnsi="Times New Roman"/>
        </w:rPr>
        <w:t>万元，主要包括：办公经费、培训费、公务接待费</w:t>
      </w:r>
      <w:r>
        <w:rPr>
          <w:rFonts w:hint="eastAsia" w:ascii="Times New Roman" w:hAnsi="Times New Roman"/>
          <w:lang w:eastAsia="zh-CN"/>
        </w:rPr>
        <w:t>、委托业务费、</w:t>
      </w:r>
      <w:r>
        <w:rPr>
          <w:rFonts w:ascii="Times New Roman" w:hAnsi="Times New Roman"/>
        </w:rPr>
        <w:t>公务用车运行维护费、维修（护）费、其他商品和服务支出</w:t>
      </w:r>
      <w:r>
        <w:rPr>
          <w:rFonts w:hint="eastAsia" w:ascii="Times New Roman" w:hAnsi="Times New Roman"/>
          <w:lang w:eastAsia="zh-CN"/>
        </w:rPr>
        <w:t>、</w:t>
      </w:r>
      <w:r>
        <w:rPr>
          <w:rFonts w:ascii="Times New Roman" w:hAnsi="Times New Roman"/>
        </w:rPr>
        <w:t>资本性支出。</w:t>
      </w:r>
    </w:p>
    <w:p>
      <w:pPr>
        <w:spacing w:line="600" w:lineRule="exact"/>
        <w:ind w:firstLine="640" w:firstLineChars="200"/>
        <w:rPr>
          <w:rFonts w:ascii="Times New Roman" w:hAnsi="Times New Roman" w:eastAsia="黑体"/>
        </w:rPr>
      </w:pPr>
      <w:r>
        <w:rPr>
          <w:rFonts w:ascii="Times New Roman" w:hAnsi="Times New Roman" w:eastAsia="黑体"/>
        </w:rPr>
        <w:t>七、“三公”经费财政拨款预算安排情况说明</w:t>
      </w:r>
    </w:p>
    <w:p>
      <w:pPr>
        <w:spacing w:line="600" w:lineRule="exact"/>
        <w:ind w:firstLine="640" w:firstLineChars="200"/>
        <w:rPr>
          <w:rFonts w:ascii="Times New Roman" w:hAnsi="Times New Roman"/>
        </w:rPr>
      </w:pPr>
      <w:r>
        <w:rPr>
          <w:rFonts w:ascii="Times New Roman" w:hAnsi="Times New Roman"/>
        </w:rPr>
        <w:t>盐边生态环境监测站</w:t>
      </w:r>
      <w:r>
        <w:rPr>
          <w:rFonts w:hint="eastAsia" w:ascii="Times New Roman" w:hAnsi="Times New Roman"/>
          <w:lang w:eastAsia="zh-CN"/>
        </w:rPr>
        <w:t>2025</w:t>
      </w:r>
      <w:r>
        <w:rPr>
          <w:rFonts w:ascii="Times New Roman" w:hAnsi="Times New Roman"/>
        </w:rPr>
        <w:t>年“三公”经费财政拨款预算数</w:t>
      </w:r>
      <w:r>
        <w:rPr>
          <w:rFonts w:hint="eastAsia" w:ascii="Times New Roman" w:hAnsi="Times New Roman"/>
          <w:lang w:val="en-US" w:eastAsia="zh-CN"/>
        </w:rPr>
        <w:t>3.19</w:t>
      </w:r>
      <w:r>
        <w:rPr>
          <w:rFonts w:ascii="Times New Roman" w:hAnsi="Times New Roman"/>
        </w:rPr>
        <w:t>万元，其中：因公出国（境）经费</w:t>
      </w:r>
      <w:r>
        <w:rPr>
          <w:rFonts w:hint="eastAsia" w:ascii="Times New Roman" w:hAnsi="Times New Roman"/>
          <w:lang w:val="en-US" w:eastAsia="zh-CN"/>
        </w:rPr>
        <w:t>0</w:t>
      </w:r>
      <w:r>
        <w:rPr>
          <w:rFonts w:ascii="Times New Roman" w:hAnsi="Times New Roman"/>
        </w:rPr>
        <w:t>万元，公务接待费</w:t>
      </w:r>
      <w:r>
        <w:rPr>
          <w:rFonts w:hint="eastAsia" w:ascii="Times New Roman" w:hAnsi="Times New Roman"/>
          <w:lang w:val="en-US" w:eastAsia="zh-CN"/>
        </w:rPr>
        <w:t>0.36</w:t>
      </w:r>
      <w:r>
        <w:rPr>
          <w:rFonts w:ascii="Times New Roman" w:hAnsi="Times New Roman"/>
        </w:rPr>
        <w:t>万元，公务用车购置及运行维护费</w:t>
      </w:r>
      <w:r>
        <w:rPr>
          <w:rFonts w:hint="eastAsia" w:ascii="Times New Roman" w:hAnsi="Times New Roman"/>
          <w:lang w:val="en-US" w:eastAsia="zh-CN"/>
        </w:rPr>
        <w:t>2.83</w:t>
      </w:r>
      <w:r>
        <w:rPr>
          <w:rFonts w:ascii="Times New Roman" w:hAnsi="Times New Roman"/>
        </w:rPr>
        <w:t>万元。</w:t>
      </w:r>
    </w:p>
    <w:p>
      <w:pPr>
        <w:spacing w:line="600" w:lineRule="exact"/>
        <w:ind w:firstLine="643" w:firstLineChars="200"/>
        <w:rPr>
          <w:rFonts w:hint="eastAsia" w:ascii="Times New Roman" w:hAnsi="Times New Roman" w:eastAsia="楷体_GB2312"/>
          <w:b/>
          <w:lang w:eastAsia="zh-CN"/>
        </w:rPr>
      </w:pPr>
      <w:r>
        <w:rPr>
          <w:rFonts w:hint="eastAsia" w:ascii="Times New Roman" w:hAnsi="Times New Roman" w:eastAsia="楷体_GB2312"/>
          <w:b/>
          <w:lang w:eastAsia="zh-CN"/>
        </w:rPr>
        <w:t>（一）</w:t>
      </w:r>
      <w:r>
        <w:rPr>
          <w:rFonts w:ascii="Times New Roman" w:hAnsi="Times New Roman" w:eastAsia="楷体_GB2312"/>
          <w:b/>
        </w:rPr>
        <w:t>因公出国（境）经费</w:t>
      </w:r>
      <w:r>
        <w:rPr>
          <w:rFonts w:hint="eastAsia" w:ascii="Times New Roman" w:hAnsi="Times New Roman" w:eastAsia="楷体_GB2312"/>
          <w:b/>
          <w:lang w:eastAsia="zh-CN"/>
        </w:rPr>
        <w:t>与</w:t>
      </w:r>
      <w:r>
        <w:rPr>
          <w:rFonts w:hint="eastAsia" w:ascii="Times New Roman" w:hAnsi="Times New Roman" w:eastAsia="楷体_GB2312"/>
          <w:b/>
          <w:u w:val="none"/>
          <w:lang w:eastAsia="zh-CN"/>
        </w:rPr>
        <w:t>2024</w:t>
      </w:r>
      <w:r>
        <w:rPr>
          <w:rFonts w:ascii="Times New Roman" w:hAnsi="Times New Roman" w:eastAsia="楷体_GB2312"/>
          <w:b/>
          <w:u w:val="none"/>
        </w:rPr>
        <w:t>年预算持平</w:t>
      </w:r>
      <w:r>
        <w:rPr>
          <w:rFonts w:ascii="Times New Roman" w:hAnsi="Times New Roman" w:eastAsia="楷体_GB2312"/>
          <w:b/>
        </w:rPr>
        <w:t>。</w:t>
      </w:r>
      <w:r>
        <w:rPr>
          <w:rFonts w:ascii="Times New Roman" w:hAnsi="Times New Roman"/>
        </w:rPr>
        <w:t>主要原因是根据工作统一安排，</w:t>
      </w:r>
      <w:r>
        <w:rPr>
          <w:rFonts w:hint="eastAsia" w:ascii="Times New Roman" w:hAnsi="Times New Roman"/>
          <w:lang w:eastAsia="zh-CN"/>
        </w:rPr>
        <w:t>盐边生态环境监测站</w:t>
      </w:r>
      <w:r>
        <w:rPr>
          <w:rFonts w:ascii="Times New Roman" w:hAnsi="Times New Roman"/>
        </w:rPr>
        <w:t>2025年暂未安排因公出国（境），市本级年初</w:t>
      </w:r>
      <w:r>
        <w:rPr>
          <w:rFonts w:hint="eastAsia" w:ascii="Times New Roman" w:hAnsi="Times New Roman"/>
          <w:lang w:eastAsia="zh-CN"/>
        </w:rPr>
        <w:t>单位</w:t>
      </w:r>
      <w:r>
        <w:rPr>
          <w:rFonts w:ascii="Times New Roman" w:hAnsi="Times New Roman"/>
        </w:rPr>
        <w:t>预算暂不编列因公出国（境）经费。</w:t>
      </w:r>
    </w:p>
    <w:p>
      <w:pPr>
        <w:keepNext w:val="0"/>
        <w:keepLines w:val="0"/>
        <w:pageBreakBefore w:val="0"/>
        <w:widowControl w:val="0"/>
        <w:kinsoku/>
        <w:wordWrap/>
        <w:overflowPunct/>
        <w:topLinePunct w:val="0"/>
        <w:autoSpaceDE/>
        <w:autoSpaceDN/>
        <w:bidi w:val="0"/>
        <w:snapToGrid/>
        <w:spacing w:line="600" w:lineRule="exact"/>
        <w:ind w:firstLine="643" w:firstLineChars="200"/>
        <w:rPr>
          <w:rFonts w:ascii="Times New Roman" w:hAnsi="Times New Roman" w:eastAsia="楷体_GB2312"/>
          <w:b/>
        </w:rPr>
      </w:pPr>
      <w:r>
        <w:rPr>
          <w:rFonts w:ascii="Times New Roman" w:hAnsi="Times New Roman" w:eastAsia="楷体_GB2312"/>
          <w:b/>
        </w:rPr>
        <w:t>（二）公务接待费预算</w:t>
      </w:r>
      <w:r>
        <w:rPr>
          <w:rFonts w:ascii="Times New Roman" w:hAnsi="Times New Roman" w:eastAsia="楷体_GB2312"/>
          <w:b/>
          <w:u w:val="none"/>
        </w:rPr>
        <w:t>与</w:t>
      </w:r>
      <w:r>
        <w:rPr>
          <w:rFonts w:hint="eastAsia" w:ascii="Times New Roman" w:hAnsi="Times New Roman" w:eastAsia="楷体_GB2312"/>
          <w:b/>
          <w:u w:val="none"/>
          <w:lang w:eastAsia="zh-CN"/>
        </w:rPr>
        <w:t>2024</w:t>
      </w:r>
      <w:r>
        <w:rPr>
          <w:rFonts w:ascii="Times New Roman" w:hAnsi="Times New Roman" w:eastAsia="楷体_GB2312"/>
          <w:b/>
          <w:u w:val="none"/>
        </w:rPr>
        <w:t>年预算持平</w:t>
      </w:r>
      <w:r>
        <w:rPr>
          <w:rFonts w:ascii="Times New Roman" w:hAnsi="Times New Roman" w:eastAsia="楷体_GB2312"/>
          <w:b/>
        </w:rPr>
        <w:t>。</w:t>
      </w:r>
    </w:p>
    <w:p>
      <w:pPr>
        <w:spacing w:line="600" w:lineRule="exact"/>
        <w:ind w:firstLine="640"/>
        <w:rPr>
          <w:rFonts w:hint="eastAsia" w:ascii="Times New Roman" w:hAnsi="Times New Roman"/>
          <w:lang w:eastAsia="zh-CN"/>
        </w:rPr>
      </w:pPr>
      <w:r>
        <w:rPr>
          <w:rFonts w:hint="eastAsia" w:ascii="Times New Roman" w:hAnsi="Times New Roman"/>
          <w:lang w:eastAsia="zh-CN"/>
        </w:rPr>
        <w:t>2025</w:t>
      </w:r>
      <w:r>
        <w:rPr>
          <w:rFonts w:ascii="Times New Roman" w:hAnsi="Times New Roman"/>
        </w:rPr>
        <w:t>年公务接待费计划用于各类公务接待活动。</w:t>
      </w:r>
    </w:p>
    <w:p>
      <w:pPr>
        <w:spacing w:line="600" w:lineRule="exact"/>
        <w:ind w:firstLine="640"/>
        <w:rPr>
          <w:rFonts w:ascii="Times New Roman" w:hAnsi="Times New Roman" w:eastAsia="楷体_GB2312"/>
          <w:b/>
        </w:rPr>
      </w:pPr>
      <w:r>
        <w:rPr>
          <w:rFonts w:ascii="Times New Roman" w:hAnsi="Times New Roman" w:eastAsia="楷体_GB2312"/>
          <w:b/>
        </w:rPr>
        <w:t>（三）公务用车购置及运行维护费较</w:t>
      </w:r>
      <w:r>
        <w:rPr>
          <w:rFonts w:hint="eastAsia" w:ascii="Times New Roman" w:hAnsi="Times New Roman" w:eastAsia="楷体_GB2312"/>
          <w:b/>
          <w:lang w:eastAsia="zh-CN"/>
        </w:rPr>
        <w:t>2024</w:t>
      </w:r>
      <w:r>
        <w:rPr>
          <w:rFonts w:ascii="Times New Roman" w:hAnsi="Times New Roman" w:eastAsia="楷体_GB2312"/>
          <w:b/>
        </w:rPr>
        <w:t>年预算</w:t>
      </w:r>
      <w:r>
        <w:rPr>
          <w:rFonts w:ascii="Times New Roman" w:hAnsi="Times New Roman" w:eastAsia="楷体_GB2312"/>
          <w:b/>
          <w:u w:val="none"/>
        </w:rPr>
        <w:t>下降</w:t>
      </w:r>
      <w:r>
        <w:rPr>
          <w:rFonts w:hint="eastAsia" w:ascii="Times New Roman" w:hAnsi="Times New Roman" w:eastAsia="楷体_GB2312"/>
          <w:b/>
          <w:lang w:val="en-US" w:eastAsia="zh-CN"/>
        </w:rPr>
        <w:t>58.78</w:t>
      </w:r>
      <w:r>
        <w:rPr>
          <w:rFonts w:ascii="Times New Roman" w:hAnsi="Times New Roman" w:eastAsia="楷体_GB2312"/>
          <w:b/>
        </w:rPr>
        <w:t>%。</w:t>
      </w:r>
      <w:r>
        <w:rPr>
          <w:rFonts w:ascii="Times New Roman" w:hAnsi="Times New Roman"/>
        </w:rPr>
        <w:t>主要原因是</w:t>
      </w:r>
      <w:r>
        <w:rPr>
          <w:rFonts w:hint="eastAsia" w:ascii="Times New Roman" w:hAnsi="Times New Roman"/>
          <w:lang w:val="en-US" w:eastAsia="zh-CN"/>
        </w:rPr>
        <w:t>2024年</w:t>
      </w:r>
      <w:r>
        <w:rPr>
          <w:rFonts w:hint="eastAsia" w:ascii="Times New Roman" w:hAnsi="Times New Roman"/>
          <w:color w:val="000000"/>
          <w:lang w:eastAsia="zh-CN"/>
        </w:rPr>
        <w:t>预算系统重复计算公务用车运行维护费</w:t>
      </w:r>
      <w:r>
        <w:rPr>
          <w:rFonts w:ascii="Times New Roman" w:hAnsi="Times New Roman"/>
        </w:rPr>
        <w:t>。</w:t>
      </w:r>
    </w:p>
    <w:p>
      <w:pPr>
        <w:spacing w:line="600" w:lineRule="exact"/>
        <w:ind w:firstLine="640"/>
        <w:rPr>
          <w:rFonts w:hint="eastAsia" w:ascii="Times New Roman" w:hAnsi="Times New Roman"/>
          <w:lang w:eastAsia="zh-CN"/>
        </w:rPr>
      </w:pPr>
      <w:r>
        <w:rPr>
          <w:rFonts w:hint="eastAsia" w:ascii="Times New Roman" w:hAnsi="Times New Roman"/>
          <w:lang w:eastAsia="zh-CN"/>
        </w:rPr>
        <w:t>单位现有公务用车1辆，其中：轿车1辆。</w:t>
      </w:r>
    </w:p>
    <w:p>
      <w:pPr>
        <w:spacing w:line="600" w:lineRule="exact"/>
        <w:ind w:firstLine="640"/>
        <w:rPr>
          <w:rFonts w:hint="eastAsia" w:ascii="Times New Roman" w:hAnsi="Times New Roman"/>
          <w:lang w:eastAsia="zh-CN"/>
        </w:rPr>
      </w:pPr>
      <w:r>
        <w:rPr>
          <w:rFonts w:hint="eastAsia" w:ascii="Times New Roman" w:hAnsi="Times New Roman"/>
          <w:lang w:eastAsia="zh-CN"/>
        </w:rPr>
        <w:t>202</w:t>
      </w:r>
      <w:r>
        <w:rPr>
          <w:rFonts w:hint="eastAsia" w:ascii="Times New Roman" w:hAnsi="Times New Roman"/>
          <w:lang w:val="en-US" w:eastAsia="zh-CN"/>
        </w:rPr>
        <w:t>5</w:t>
      </w:r>
      <w:r>
        <w:rPr>
          <w:rFonts w:hint="eastAsia" w:ascii="Times New Roman" w:hAnsi="Times New Roman"/>
          <w:lang w:eastAsia="zh-CN"/>
        </w:rPr>
        <w:t>年安排公务用车购置费0万元，购置公务用车0辆。</w:t>
      </w:r>
    </w:p>
    <w:p>
      <w:pPr>
        <w:spacing w:line="600" w:lineRule="exact"/>
        <w:ind w:firstLine="640"/>
        <w:rPr>
          <w:rFonts w:hint="eastAsia" w:ascii="Times New Roman" w:hAnsi="Times New Roman"/>
          <w:lang w:eastAsia="zh-CN"/>
        </w:rPr>
      </w:pPr>
      <w:r>
        <w:rPr>
          <w:rFonts w:hint="eastAsia" w:ascii="Times New Roman" w:hAnsi="Times New Roman"/>
          <w:lang w:eastAsia="zh-CN"/>
        </w:rPr>
        <w:t>202</w:t>
      </w:r>
      <w:r>
        <w:rPr>
          <w:rFonts w:hint="eastAsia" w:ascii="Times New Roman" w:hAnsi="Times New Roman"/>
          <w:lang w:val="en-US" w:eastAsia="zh-CN"/>
        </w:rPr>
        <w:t>5</w:t>
      </w:r>
      <w:r>
        <w:rPr>
          <w:rFonts w:hint="eastAsia" w:ascii="Times New Roman" w:hAnsi="Times New Roman"/>
          <w:lang w:eastAsia="zh-CN"/>
        </w:rPr>
        <w:t>年安排公务用车运行维护费</w:t>
      </w:r>
      <w:r>
        <w:rPr>
          <w:rFonts w:hint="eastAsia" w:ascii="Times New Roman" w:hAnsi="Times New Roman"/>
          <w:lang w:val="en-US" w:eastAsia="zh-CN"/>
        </w:rPr>
        <w:t>2.84</w:t>
      </w:r>
      <w:r>
        <w:rPr>
          <w:rFonts w:hint="eastAsia" w:ascii="Times New Roman" w:hAnsi="Times New Roman"/>
          <w:lang w:eastAsia="zh-CN"/>
        </w:rPr>
        <w:t>万元，用于1辆公务用车燃油、新能源汽车充电费、维修、保险等方面支出，主要保障环境质量监测、污染源监测、执法监测、应急监测等工作开展。</w:t>
      </w:r>
    </w:p>
    <w:p>
      <w:pPr>
        <w:suppressAutoHyphens/>
        <w:bidi w:val="0"/>
        <w:spacing w:line="58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八、</w:t>
      </w:r>
      <w:r>
        <w:rPr>
          <w:rFonts w:hint="eastAsia" w:ascii="Times New Roman" w:hAnsi="Times New Roman" w:eastAsia="黑体"/>
          <w:sz w:val="32"/>
          <w:szCs w:val="32"/>
        </w:rPr>
        <w:t>“三公”经费</w:t>
      </w:r>
      <w:r>
        <w:rPr>
          <w:rFonts w:hint="eastAsia" w:ascii="Times New Roman" w:hAnsi="Times New Roman" w:eastAsia="黑体"/>
          <w:sz w:val="32"/>
          <w:szCs w:val="32"/>
          <w:lang w:eastAsia="zh-CN"/>
        </w:rPr>
        <w:t>非</w:t>
      </w:r>
      <w:r>
        <w:rPr>
          <w:rFonts w:hint="eastAsia" w:ascii="Times New Roman" w:hAnsi="Times New Roman" w:eastAsia="黑体"/>
          <w:sz w:val="32"/>
          <w:szCs w:val="32"/>
        </w:rPr>
        <w:t>财政拨款预算安排情况说明</w:t>
      </w:r>
    </w:p>
    <w:p>
      <w:pPr>
        <w:suppressAutoHyphens/>
        <w:bidi w:val="0"/>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盐边生态环境监测站202</w:t>
      </w:r>
      <w:r>
        <w:rPr>
          <w:rFonts w:hint="eastAsia" w:ascii="Times New Roman" w:hAnsi="Times New Roman"/>
          <w:sz w:val="32"/>
          <w:szCs w:val="32"/>
          <w:lang w:val="en-US" w:eastAsia="zh-CN"/>
        </w:rPr>
        <w:t>5</w:t>
      </w:r>
      <w:r>
        <w:rPr>
          <w:rFonts w:hint="eastAsia" w:ascii="Times New Roman" w:hAnsi="Times New Roman" w:eastAsia="仿宋_GB2312"/>
          <w:sz w:val="32"/>
          <w:szCs w:val="32"/>
        </w:rPr>
        <w:t>年没有使用非财政拨款安排“三公”经费预算。</w:t>
      </w:r>
    </w:p>
    <w:p>
      <w:pPr>
        <w:spacing w:line="600" w:lineRule="exact"/>
        <w:ind w:firstLine="640" w:firstLineChars="200"/>
        <w:rPr>
          <w:rFonts w:hint="eastAsia" w:ascii="Times New Roman" w:hAnsi="Times New Roman" w:eastAsia="黑体"/>
          <w:lang w:eastAsia="zh-CN"/>
        </w:rPr>
      </w:pPr>
      <w:r>
        <w:rPr>
          <w:rFonts w:hint="eastAsia" w:ascii="Times New Roman" w:hAnsi="Times New Roman" w:eastAsia="黑体"/>
          <w:lang w:eastAsia="zh-CN"/>
        </w:rPr>
        <w:t>九</w:t>
      </w:r>
      <w:r>
        <w:rPr>
          <w:rFonts w:ascii="Times New Roman" w:hAnsi="Times New Roman" w:eastAsia="黑体"/>
        </w:rPr>
        <w:t>、政府性基金预算支出情况说明</w:t>
      </w:r>
    </w:p>
    <w:p>
      <w:pPr>
        <w:spacing w:line="600" w:lineRule="exact"/>
        <w:ind w:firstLine="640" w:firstLineChars="200"/>
        <w:rPr>
          <w:rFonts w:ascii="Times New Roman" w:hAnsi="Times New Roman"/>
        </w:rPr>
      </w:pPr>
      <w:r>
        <w:rPr>
          <w:rFonts w:ascii="Times New Roman" w:hAnsi="Times New Roman"/>
        </w:rPr>
        <w:t>盐边生态环境监测站202</w:t>
      </w:r>
      <w:r>
        <w:rPr>
          <w:rFonts w:hint="eastAsia" w:ascii="Times New Roman" w:hAnsi="Times New Roman"/>
          <w:lang w:val="en-US" w:eastAsia="zh-CN"/>
        </w:rPr>
        <w:t>5</w:t>
      </w:r>
      <w:r>
        <w:rPr>
          <w:rFonts w:ascii="Times New Roman" w:hAnsi="Times New Roman"/>
        </w:rPr>
        <w:t>年没有使用政府性基金预算拨款安排的支出。</w:t>
      </w:r>
    </w:p>
    <w:p>
      <w:pPr>
        <w:suppressAutoHyphens/>
        <w:bidi w:val="0"/>
        <w:spacing w:line="58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十</w:t>
      </w:r>
      <w:r>
        <w:rPr>
          <w:rFonts w:hint="eastAsia" w:ascii="Times New Roman" w:hAnsi="Times New Roman" w:eastAsia="黑体"/>
          <w:sz w:val="32"/>
          <w:szCs w:val="32"/>
        </w:rPr>
        <w:t>、国有资本经营预算</w:t>
      </w:r>
      <w:r>
        <w:rPr>
          <w:rFonts w:hint="eastAsia" w:ascii="Times New Roman" w:hAnsi="Times New Roman" w:eastAsia="黑体"/>
          <w:sz w:val="32"/>
          <w:szCs w:val="32"/>
          <w:lang w:eastAsia="zh-CN"/>
        </w:rPr>
        <w:t>情况说明</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盐边生态环境监测站202</w:t>
      </w:r>
      <w:r>
        <w:rPr>
          <w:rFonts w:hint="eastAsia" w:ascii="Times New Roman" w:hAnsi="Times New Roman"/>
          <w:sz w:val="32"/>
          <w:szCs w:val="32"/>
          <w:lang w:val="en-US" w:eastAsia="zh-CN"/>
        </w:rPr>
        <w:t>5</w:t>
      </w:r>
      <w:r>
        <w:rPr>
          <w:rFonts w:hint="eastAsia" w:ascii="Times New Roman" w:hAnsi="Times New Roman" w:eastAsia="仿宋_GB2312"/>
          <w:sz w:val="32"/>
          <w:szCs w:val="32"/>
        </w:rPr>
        <w:t>年没有使用国有资本经营预算拨款安排的支出。</w:t>
      </w:r>
    </w:p>
    <w:p>
      <w:pPr>
        <w:spacing w:line="600" w:lineRule="exact"/>
        <w:ind w:firstLine="640" w:firstLineChars="200"/>
        <w:rPr>
          <w:rFonts w:hint="eastAsia" w:ascii="Times New Roman" w:hAnsi="Times New Roman" w:eastAsia="黑体"/>
          <w:lang w:eastAsia="zh-CN"/>
        </w:rPr>
      </w:pPr>
      <w:r>
        <w:rPr>
          <w:rFonts w:hint="eastAsia" w:ascii="Times New Roman" w:hAnsi="Times New Roman" w:eastAsia="黑体"/>
          <w:lang w:eastAsia="zh-CN"/>
        </w:rPr>
        <w:t>十一</w:t>
      </w:r>
      <w:r>
        <w:rPr>
          <w:rFonts w:ascii="Times New Roman" w:hAnsi="Times New Roman" w:eastAsia="黑体"/>
        </w:rPr>
        <w:t>、其他重要事项的情况说明</w:t>
      </w:r>
    </w:p>
    <w:p>
      <w:pPr>
        <w:spacing w:line="600" w:lineRule="exact"/>
        <w:ind w:firstLine="643" w:firstLineChars="200"/>
        <w:rPr>
          <w:rFonts w:ascii="Times New Roman" w:hAnsi="Times New Roman" w:eastAsia="楷体_GB2312"/>
          <w:b/>
        </w:rPr>
      </w:pPr>
      <w:r>
        <w:rPr>
          <w:rFonts w:ascii="Times New Roman" w:hAnsi="Times New Roman" w:eastAsia="楷体_GB2312"/>
          <w:b/>
        </w:rPr>
        <w:t>（一）</w:t>
      </w:r>
      <w:r>
        <w:rPr>
          <w:rFonts w:ascii="Times New Roman" w:hAnsi="Times New Roman" w:eastAsia="楷体_GB2312"/>
          <w:b/>
          <w:lang w:eastAsia="zh-CN"/>
        </w:rPr>
        <w:t>机关</w:t>
      </w:r>
      <w:r>
        <w:rPr>
          <w:rFonts w:ascii="Times New Roman" w:hAnsi="Times New Roman" w:eastAsia="楷体_GB2312"/>
          <w:b/>
        </w:rPr>
        <w:t>运行经费</w:t>
      </w:r>
      <w:r>
        <w:rPr>
          <w:rFonts w:ascii="Times New Roman" w:hAnsi="Times New Roman" w:eastAsia="楷体_GB2312"/>
          <w:b/>
          <w:lang w:eastAsia="zh-CN"/>
        </w:rPr>
        <w:t>。</w:t>
      </w:r>
    </w:p>
    <w:p>
      <w:pPr>
        <w:spacing w:line="600" w:lineRule="exact"/>
        <w:ind w:firstLine="640" w:firstLineChars="200"/>
        <w:rPr>
          <w:rFonts w:hint="eastAsia" w:ascii="Times New Roman" w:hAnsi="Times New Roman"/>
          <w:lang w:eastAsia="zh-CN"/>
        </w:rPr>
      </w:pPr>
      <w:r>
        <w:rPr>
          <w:rFonts w:hint="eastAsia" w:ascii="Times New Roman" w:hAnsi="Times New Roman"/>
          <w:lang w:eastAsia="zh-CN"/>
        </w:rPr>
        <w:t>盐边生态环境监测站为事业单位，按规定未使用机关运行的相关科目。</w:t>
      </w:r>
    </w:p>
    <w:p>
      <w:pPr>
        <w:spacing w:line="600" w:lineRule="exact"/>
        <w:ind w:firstLine="643" w:firstLineChars="200"/>
        <w:rPr>
          <w:rFonts w:ascii="Times New Roman" w:hAnsi="Times New Roman" w:eastAsia="楷体_GB2312"/>
          <w:b/>
        </w:rPr>
      </w:pPr>
      <w:r>
        <w:rPr>
          <w:rFonts w:ascii="Times New Roman" w:hAnsi="Times New Roman" w:eastAsia="楷体_GB2312"/>
          <w:b/>
        </w:rPr>
        <w:t>（</w:t>
      </w:r>
      <w:r>
        <w:rPr>
          <w:rFonts w:hint="eastAsia" w:ascii="Times New Roman" w:hAnsi="Times New Roman" w:eastAsia="楷体_GB2312"/>
          <w:b/>
          <w:lang w:eastAsia="zh-CN"/>
        </w:rPr>
        <w:t>二</w:t>
      </w:r>
      <w:r>
        <w:rPr>
          <w:rFonts w:ascii="Times New Roman" w:hAnsi="Times New Roman" w:eastAsia="楷体_GB2312"/>
          <w:b/>
        </w:rPr>
        <w:t>）</w:t>
      </w:r>
      <w:r>
        <w:rPr>
          <w:rFonts w:hint="eastAsia" w:ascii="Times New Roman" w:hAnsi="Times New Roman" w:eastAsia="楷体_GB2312"/>
          <w:b/>
          <w:lang w:eastAsia="zh-CN"/>
        </w:rPr>
        <w:t>政府采购情况</w:t>
      </w:r>
      <w:r>
        <w:rPr>
          <w:rFonts w:ascii="Times New Roman" w:hAnsi="Times New Roman" w:eastAsia="楷体_GB2312"/>
          <w:b/>
          <w:lang w:eastAsia="zh-CN"/>
        </w:rPr>
        <w:t>。</w:t>
      </w:r>
    </w:p>
    <w:p>
      <w:pPr>
        <w:suppressAutoHyphens/>
        <w:bidi w:val="0"/>
        <w:spacing w:line="580" w:lineRule="exact"/>
        <w:ind w:firstLine="640" w:firstLineChars="200"/>
        <w:rPr>
          <w:rFonts w:hint="eastAsia" w:ascii="Times New Roman" w:hAnsi="Times New Roman"/>
          <w:sz w:val="32"/>
          <w:szCs w:val="32"/>
          <w:lang w:eastAsia="zh-CN"/>
        </w:rPr>
      </w:pPr>
      <w:r>
        <w:rPr>
          <w:rFonts w:hint="eastAsia" w:ascii="Times New Roman" w:hAnsi="Times New Roman"/>
          <w:sz w:val="32"/>
          <w:szCs w:val="32"/>
          <w:lang w:eastAsia="zh-CN"/>
        </w:rPr>
        <w:t>2025</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rPr>
        <w:t>，</w:t>
      </w:r>
      <w:r>
        <w:rPr>
          <w:rFonts w:hint="eastAsia" w:ascii="Times New Roman" w:hAnsi="Times New Roman"/>
          <w:lang w:eastAsia="zh-CN"/>
        </w:rPr>
        <w:t>盐边生态环境监测站</w:t>
      </w:r>
      <w:r>
        <w:rPr>
          <w:rFonts w:hint="eastAsia" w:ascii="Times New Roman" w:hAnsi="Times New Roman" w:eastAsia="仿宋_GB2312"/>
          <w:sz w:val="32"/>
          <w:szCs w:val="32"/>
        </w:rPr>
        <w:t>安排政府采购预算</w:t>
      </w:r>
      <w:r>
        <w:rPr>
          <w:rFonts w:hint="eastAsia" w:ascii="Times New Roman" w:hAnsi="Times New Roman"/>
          <w:sz w:val="32"/>
          <w:szCs w:val="32"/>
          <w:lang w:val="en-US" w:eastAsia="zh-CN"/>
        </w:rPr>
        <w:t>5.88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其中，政府采购货物</w:t>
      </w:r>
      <w:r>
        <w:rPr>
          <w:rFonts w:hint="eastAsia" w:ascii="Times New Roman" w:hAnsi="Times New Roman" w:eastAsia="仿宋_GB2312"/>
          <w:sz w:val="32"/>
          <w:szCs w:val="32"/>
        </w:rPr>
        <w:t>预算</w:t>
      </w:r>
      <w:r>
        <w:rPr>
          <w:rFonts w:hint="eastAsia" w:ascii="Times New Roman" w:hAnsi="Times New Roman"/>
          <w:sz w:val="32"/>
          <w:szCs w:val="32"/>
          <w:lang w:val="en-US" w:eastAsia="zh-CN"/>
        </w:rPr>
        <w:t>4.04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；政府采购服务</w:t>
      </w:r>
      <w:r>
        <w:rPr>
          <w:rFonts w:hint="eastAsia" w:ascii="Times New Roman" w:hAnsi="Times New Roman" w:eastAsia="仿宋_GB2312"/>
          <w:sz w:val="32"/>
          <w:szCs w:val="32"/>
        </w:rPr>
        <w:t>预算</w:t>
      </w:r>
      <w:r>
        <w:rPr>
          <w:rFonts w:hint="eastAsia" w:ascii="Times New Roman" w:hAnsi="Times New Roman"/>
          <w:sz w:val="32"/>
          <w:szCs w:val="32"/>
          <w:lang w:val="en-US" w:eastAsia="zh-CN"/>
        </w:rPr>
        <w:t>1.84</w:t>
      </w:r>
      <w:r>
        <w:rPr>
          <w:rFonts w:hint="eastAsia" w:ascii="Times New Roman" w:hAnsi="Times New Roman" w:eastAsia="仿宋_GB2312"/>
          <w:sz w:val="32"/>
          <w:szCs w:val="32"/>
        </w:rPr>
        <w:t>万元。</w:t>
      </w:r>
    </w:p>
    <w:p>
      <w:pPr>
        <w:spacing w:line="600" w:lineRule="exact"/>
        <w:ind w:firstLine="643" w:firstLineChars="200"/>
        <w:rPr>
          <w:rFonts w:ascii="Times New Roman" w:hAnsi="Times New Roman" w:eastAsia="楷体_GB2312"/>
          <w:b/>
        </w:rPr>
      </w:pPr>
      <w:r>
        <w:rPr>
          <w:rFonts w:ascii="Times New Roman" w:hAnsi="Times New Roman" w:eastAsia="楷体_GB2312"/>
          <w:b/>
        </w:rPr>
        <w:t>（</w:t>
      </w:r>
      <w:r>
        <w:rPr>
          <w:rFonts w:hint="eastAsia" w:ascii="Times New Roman" w:hAnsi="Times New Roman" w:eastAsia="楷体_GB2312"/>
          <w:b/>
          <w:lang w:eastAsia="zh-CN"/>
        </w:rPr>
        <w:t>三</w:t>
      </w:r>
      <w:r>
        <w:rPr>
          <w:rFonts w:ascii="Times New Roman" w:hAnsi="Times New Roman" w:eastAsia="楷体_GB2312"/>
          <w:b/>
        </w:rPr>
        <w:t>）国有资产占有使用情况</w:t>
      </w:r>
      <w:r>
        <w:rPr>
          <w:rFonts w:ascii="Times New Roman" w:hAnsi="Times New Roman" w:eastAsia="楷体_GB2312"/>
          <w:b/>
          <w:lang w:eastAsia="zh-CN"/>
        </w:rPr>
        <w:t>。</w:t>
      </w:r>
    </w:p>
    <w:p>
      <w:pPr>
        <w:spacing w:line="600" w:lineRule="exact"/>
        <w:ind w:firstLine="640" w:firstLineChars="200"/>
        <w:rPr>
          <w:rFonts w:ascii="Times New Roman" w:hAnsi="Times New Roman"/>
        </w:rPr>
      </w:pPr>
      <w:r>
        <w:rPr>
          <w:rFonts w:ascii="Times New Roman" w:hAnsi="Times New Roman"/>
        </w:rPr>
        <w:t>截至202</w:t>
      </w:r>
      <w:r>
        <w:rPr>
          <w:rFonts w:hint="eastAsia" w:ascii="Times New Roman" w:hAnsi="Times New Roman"/>
          <w:lang w:val="en-US" w:eastAsia="zh-CN"/>
        </w:rPr>
        <w:t>4</w:t>
      </w:r>
      <w:r>
        <w:rPr>
          <w:rFonts w:ascii="Times New Roman" w:hAnsi="Times New Roman"/>
        </w:rPr>
        <w:t>年底，盐边生态环境监测站及所属的非独立核算单位共有车辆1辆。单位价值200万元以上大型设备0台。</w:t>
      </w:r>
    </w:p>
    <w:p>
      <w:pPr>
        <w:spacing w:line="600" w:lineRule="exact"/>
        <w:ind w:firstLine="643" w:firstLineChars="200"/>
        <w:rPr>
          <w:rFonts w:ascii="Times New Roman" w:hAnsi="Times New Roman" w:eastAsia="楷体_GB2312"/>
          <w:b/>
        </w:rPr>
      </w:pPr>
      <w:r>
        <w:rPr>
          <w:rFonts w:ascii="Times New Roman" w:hAnsi="Times New Roman" w:eastAsia="楷体_GB2312"/>
          <w:b/>
        </w:rPr>
        <w:t>（</w:t>
      </w:r>
      <w:r>
        <w:rPr>
          <w:rFonts w:hint="eastAsia" w:ascii="Times New Roman" w:hAnsi="Times New Roman" w:eastAsia="楷体_GB2312"/>
          <w:b/>
          <w:lang w:eastAsia="zh-CN"/>
        </w:rPr>
        <w:t>四</w:t>
      </w:r>
      <w:r>
        <w:rPr>
          <w:rFonts w:ascii="Times New Roman" w:hAnsi="Times New Roman" w:eastAsia="楷体_GB2312"/>
          <w:b/>
        </w:rPr>
        <w:t>）预算绩效情况</w:t>
      </w:r>
      <w:r>
        <w:rPr>
          <w:rFonts w:ascii="Times New Roman" w:hAnsi="Times New Roman" w:eastAsia="楷体_GB2312"/>
          <w:b/>
          <w:lang w:eastAsia="zh-CN"/>
        </w:rPr>
        <w:t>。</w:t>
      </w:r>
    </w:p>
    <w:p>
      <w:pPr>
        <w:keepNext w:val="0"/>
        <w:keepLines w:val="0"/>
        <w:pageBreakBefore w:val="0"/>
        <w:widowControl w:val="0"/>
        <w:kinsoku/>
        <w:wordWrap/>
        <w:overflowPunct/>
        <w:topLinePunct w:val="0"/>
        <w:autoSpaceDE/>
        <w:autoSpaceDN/>
        <w:bidi w:val="0"/>
        <w:snapToGrid/>
        <w:spacing w:line="578" w:lineRule="exact"/>
        <w:ind w:firstLine="640" w:firstLineChars="200"/>
        <w:rPr>
          <w:rFonts w:ascii="Times New Roman" w:hAnsi="Times New Roman"/>
          <w:u w:val="none"/>
        </w:rPr>
      </w:pPr>
      <w:r>
        <w:rPr>
          <w:rFonts w:ascii="Times New Roman" w:hAnsi="Times New Roman"/>
          <w:u w:val="none"/>
        </w:rPr>
        <w:t>202</w:t>
      </w:r>
      <w:r>
        <w:rPr>
          <w:rFonts w:hint="eastAsia" w:ascii="Times New Roman" w:hAnsi="Times New Roman"/>
          <w:u w:val="none"/>
          <w:lang w:val="en-US" w:eastAsia="zh-CN"/>
        </w:rPr>
        <w:t>5</w:t>
      </w:r>
      <w:r>
        <w:rPr>
          <w:rFonts w:ascii="Times New Roman" w:hAnsi="Times New Roman"/>
          <w:u w:val="none"/>
        </w:rPr>
        <w:t>年盐边生态环境监测站</w:t>
      </w:r>
      <w:r>
        <w:rPr>
          <w:rFonts w:ascii="Times New Roman" w:hAnsi="Times New Roman" w:eastAsia="仿宋_GB2312"/>
          <w:color w:val="000000"/>
          <w:sz w:val="32"/>
          <w:szCs w:val="32"/>
          <w:lang w:val="en-US" w:eastAsia="zh-CN"/>
        </w:rPr>
        <w:t>开展绩效目标管理的项目</w:t>
      </w:r>
      <w:r>
        <w:rPr>
          <w:rFonts w:ascii="Times New Roman" w:hAnsi="Times New Roman"/>
          <w:color w:val="000000"/>
          <w:sz w:val="32"/>
          <w:szCs w:val="32"/>
          <w:lang w:val="en-US" w:eastAsia="zh-CN"/>
        </w:rPr>
        <w:t>0</w:t>
      </w:r>
      <w:r>
        <w:rPr>
          <w:rFonts w:ascii="Times New Roman" w:hAnsi="Times New Roman" w:eastAsia="仿宋_GB2312"/>
          <w:color w:val="000000"/>
          <w:sz w:val="32"/>
          <w:szCs w:val="32"/>
          <w:lang w:eastAsia="zh-CN"/>
        </w:rPr>
        <w:t>个，涉及预算</w:t>
      </w:r>
      <w:r>
        <w:rPr>
          <w:rFonts w:ascii="Times New Roman" w:hAnsi="Times New Roman"/>
          <w:color w:val="000000"/>
          <w:sz w:val="32"/>
          <w:szCs w:val="32"/>
          <w:lang w:val="en-US" w:eastAsia="zh-CN"/>
        </w:rPr>
        <w:t>0</w:t>
      </w:r>
      <w:r>
        <w:rPr>
          <w:rFonts w:ascii="Times New Roman" w:hAnsi="Times New Roman" w:eastAsia="仿宋_GB2312"/>
          <w:color w:val="000000"/>
          <w:sz w:val="32"/>
          <w:szCs w:val="32"/>
          <w:lang w:eastAsia="zh-CN"/>
        </w:rPr>
        <w:t>万元。其中：人员类项目</w:t>
      </w:r>
      <w:r>
        <w:rPr>
          <w:rFonts w:ascii="Times New Roman" w:hAnsi="Times New Roman"/>
          <w:color w:val="000000"/>
          <w:sz w:val="32"/>
          <w:szCs w:val="32"/>
          <w:lang w:val="en-US" w:eastAsia="zh-CN"/>
        </w:rPr>
        <w:t>0</w:t>
      </w:r>
      <w:r>
        <w:rPr>
          <w:rFonts w:ascii="Times New Roman" w:hAnsi="Times New Roman" w:eastAsia="仿宋_GB2312"/>
          <w:color w:val="000000"/>
          <w:sz w:val="32"/>
          <w:szCs w:val="32"/>
          <w:lang w:eastAsia="zh-CN"/>
        </w:rPr>
        <w:t>个，涉及预算</w:t>
      </w:r>
      <w:r>
        <w:rPr>
          <w:rFonts w:ascii="Times New Roman" w:hAnsi="Times New Roman"/>
          <w:color w:val="000000"/>
          <w:sz w:val="32"/>
          <w:szCs w:val="32"/>
          <w:lang w:val="en-US" w:eastAsia="zh-CN"/>
        </w:rPr>
        <w:t>0</w:t>
      </w:r>
      <w:r>
        <w:rPr>
          <w:rFonts w:ascii="Times New Roman" w:hAnsi="Times New Roman" w:eastAsia="仿宋_GB2312"/>
          <w:color w:val="000000"/>
          <w:sz w:val="32"/>
          <w:szCs w:val="32"/>
          <w:lang w:eastAsia="zh-CN"/>
        </w:rPr>
        <w:t>万元；运转类项目</w:t>
      </w:r>
      <w:r>
        <w:rPr>
          <w:rFonts w:ascii="Times New Roman" w:hAnsi="Times New Roman"/>
          <w:color w:val="000000"/>
          <w:sz w:val="32"/>
          <w:szCs w:val="32"/>
          <w:lang w:val="en-US" w:eastAsia="zh-CN"/>
        </w:rPr>
        <w:t>0</w:t>
      </w:r>
      <w:r>
        <w:rPr>
          <w:rFonts w:ascii="Times New Roman" w:hAnsi="Times New Roman" w:eastAsia="仿宋_GB2312"/>
          <w:color w:val="000000"/>
          <w:sz w:val="32"/>
          <w:szCs w:val="32"/>
          <w:lang w:eastAsia="zh-CN"/>
        </w:rPr>
        <w:t>个，涉及预算</w:t>
      </w:r>
      <w:r>
        <w:rPr>
          <w:rFonts w:ascii="Times New Roman" w:hAnsi="Times New Roman"/>
          <w:color w:val="000000"/>
          <w:sz w:val="32"/>
          <w:szCs w:val="32"/>
          <w:lang w:val="en-US" w:eastAsia="zh-CN"/>
        </w:rPr>
        <w:t>0</w:t>
      </w:r>
      <w:r>
        <w:rPr>
          <w:rFonts w:ascii="Times New Roman" w:hAnsi="Times New Roman" w:eastAsia="仿宋_GB2312"/>
          <w:color w:val="000000"/>
          <w:sz w:val="32"/>
          <w:szCs w:val="32"/>
          <w:lang w:eastAsia="zh-CN"/>
        </w:rPr>
        <w:t>万元；特定目标类项目</w:t>
      </w:r>
      <w:r>
        <w:rPr>
          <w:rFonts w:ascii="Times New Roman" w:hAnsi="Times New Roman"/>
          <w:color w:val="000000"/>
          <w:sz w:val="32"/>
          <w:szCs w:val="32"/>
          <w:lang w:val="en-US" w:eastAsia="zh-CN"/>
        </w:rPr>
        <w:t>0</w:t>
      </w:r>
      <w:r>
        <w:rPr>
          <w:rFonts w:ascii="Times New Roman" w:hAnsi="Times New Roman" w:eastAsia="仿宋_GB2312"/>
          <w:color w:val="000000"/>
          <w:sz w:val="32"/>
          <w:szCs w:val="32"/>
          <w:lang w:eastAsia="zh-CN"/>
        </w:rPr>
        <w:t>个，涉及预算</w:t>
      </w:r>
      <w:r>
        <w:rPr>
          <w:rFonts w:ascii="Times New Roman" w:hAnsi="Times New Roman"/>
          <w:color w:val="000000"/>
          <w:sz w:val="32"/>
          <w:szCs w:val="32"/>
          <w:lang w:val="en-US" w:eastAsia="zh-CN"/>
        </w:rPr>
        <w:t>0</w:t>
      </w:r>
      <w:r>
        <w:rPr>
          <w:rFonts w:ascii="Times New Roman" w:hAnsi="Times New Roman" w:eastAsia="仿宋_GB2312"/>
          <w:color w:val="000000"/>
          <w:sz w:val="32"/>
          <w:szCs w:val="32"/>
          <w:lang w:eastAsia="zh-CN"/>
        </w:rPr>
        <w:t>万元。</w:t>
      </w:r>
    </w:p>
    <w:p>
      <w:pPr>
        <w:spacing w:line="600" w:lineRule="exact"/>
        <w:ind w:firstLine="640" w:firstLineChars="200"/>
        <w:rPr>
          <w:rFonts w:ascii="Times New Roman" w:hAnsi="Times New Roman" w:eastAsia="黑体"/>
        </w:rPr>
      </w:pPr>
      <w:r>
        <w:rPr>
          <w:rFonts w:ascii="Times New Roman" w:hAnsi="Times New Roman" w:eastAsia="黑体"/>
        </w:rPr>
        <w:t>十</w:t>
      </w:r>
      <w:r>
        <w:rPr>
          <w:rFonts w:hint="eastAsia" w:ascii="Times New Roman" w:hAnsi="Times New Roman" w:eastAsia="黑体"/>
          <w:lang w:eastAsia="zh-CN"/>
        </w:rPr>
        <w:t>二</w:t>
      </w:r>
      <w:r>
        <w:rPr>
          <w:rFonts w:ascii="Times New Roman" w:hAnsi="Times New Roman" w:eastAsia="黑体"/>
        </w:rPr>
        <w:t>、名词解释</w:t>
      </w:r>
    </w:p>
    <w:p>
      <w:pPr>
        <w:spacing w:line="600" w:lineRule="exact"/>
        <w:ind w:firstLine="640" w:firstLineChars="200"/>
        <w:rPr>
          <w:rFonts w:ascii="Times New Roman" w:hAnsi="Times New Roman"/>
          <w:u w:val="none"/>
          <w:lang w:val="en-US" w:eastAsia="zh-CN"/>
        </w:rPr>
      </w:pPr>
      <w:r>
        <w:rPr>
          <w:rFonts w:ascii="Times New Roman" w:hAnsi="Times New Roman"/>
          <w:u w:val="none"/>
          <w:lang w:val="en-US" w:eastAsia="zh-CN"/>
        </w:rPr>
        <w:t>1.一般公共预算拨款收入：指市级财政当年拨付的资金。</w:t>
      </w:r>
    </w:p>
    <w:p>
      <w:pPr>
        <w:spacing w:line="600" w:lineRule="exact"/>
        <w:ind w:firstLine="640" w:firstLineChars="200"/>
        <w:rPr>
          <w:rFonts w:ascii="Times New Roman" w:hAnsi="Times New Roman"/>
          <w:u w:val="none"/>
          <w:lang w:val="en-US" w:eastAsia="zh-CN"/>
        </w:rPr>
      </w:pPr>
      <w:r>
        <w:rPr>
          <w:rFonts w:ascii="Times New Roman" w:hAnsi="Times New Roman"/>
          <w:u w:val="none"/>
          <w:lang w:val="en-US" w:eastAsia="zh-CN"/>
        </w:rPr>
        <w:t>2.卫生健康支出（类）行政事业单位医疗（款）事业单位医疗（项）：指市事业单位用于缴纳单位基本医疗保险支出经费。</w:t>
      </w:r>
    </w:p>
    <w:p>
      <w:pPr>
        <w:spacing w:line="600" w:lineRule="exact"/>
        <w:ind w:firstLine="640" w:firstLineChars="200"/>
        <w:rPr>
          <w:rFonts w:ascii="Times New Roman" w:hAnsi="Times New Roman"/>
          <w:u w:val="none"/>
          <w:lang w:val="en-US" w:eastAsia="zh-CN"/>
        </w:rPr>
      </w:pPr>
      <w:r>
        <w:rPr>
          <w:rFonts w:ascii="Times New Roman" w:hAnsi="Times New Roman"/>
          <w:u w:val="none"/>
          <w:lang w:val="en-US" w:eastAsia="zh-CN"/>
        </w:rPr>
        <w:t>3.卫生健康支出（类）行政事业单位医疗（款）公务员医疗补助（项）：指公务员医疗补助经费。</w:t>
      </w:r>
    </w:p>
    <w:p>
      <w:pPr>
        <w:spacing w:line="600" w:lineRule="exact"/>
        <w:ind w:firstLine="640" w:firstLineChars="200"/>
        <w:rPr>
          <w:rFonts w:hint="eastAsia" w:ascii="Times New Roman" w:hAnsi="Times New Roman"/>
          <w:u w:val="none"/>
          <w:lang w:val="en-US" w:eastAsia="zh-CN"/>
        </w:rPr>
      </w:pPr>
      <w:r>
        <w:rPr>
          <w:rFonts w:hint="eastAsia" w:ascii="Times New Roman" w:hAnsi="Times New Roman"/>
          <w:u w:val="none"/>
          <w:lang w:val="en-US" w:eastAsia="zh-CN"/>
        </w:rPr>
        <w:t>4</w:t>
      </w:r>
      <w:r>
        <w:rPr>
          <w:rFonts w:ascii="Times New Roman" w:hAnsi="Times New Roman"/>
          <w:u w:val="none"/>
          <w:lang w:val="en-US" w:eastAsia="zh-CN"/>
        </w:rPr>
        <w:t>.基本支出：指为保证机构正常运转，完成日常工作任务而发生的人员支出和公用支出。</w:t>
      </w:r>
    </w:p>
    <w:p>
      <w:pPr>
        <w:spacing w:line="600" w:lineRule="exact"/>
        <w:ind w:firstLine="640" w:firstLineChars="200"/>
        <w:rPr>
          <w:rFonts w:hint="eastAsia" w:ascii="Times New Roman" w:hAnsi="Times New Roman"/>
          <w:u w:val="none"/>
          <w:lang w:val="en-US" w:eastAsia="zh-CN"/>
        </w:rPr>
      </w:pPr>
      <w:r>
        <w:rPr>
          <w:rFonts w:hint="eastAsia" w:ascii="Times New Roman" w:hAnsi="Times New Roman"/>
          <w:u w:val="none"/>
          <w:lang w:val="en-US" w:eastAsia="zh-CN"/>
        </w:rPr>
        <w:t>5</w:t>
      </w:r>
      <w:r>
        <w:rPr>
          <w:rFonts w:ascii="Times New Roman" w:hAnsi="Times New Roman"/>
          <w:u w:val="none"/>
          <w:lang w:val="en-US" w:eastAsia="zh-CN"/>
        </w:rPr>
        <w:t>.项目支出：指在基本支出之外为完成特定的工作任务和事业发展目标所发生的支出。</w:t>
      </w:r>
    </w:p>
    <w:p>
      <w:pPr>
        <w:spacing w:line="600" w:lineRule="exact"/>
        <w:ind w:firstLine="640" w:firstLineChars="200"/>
        <w:rPr>
          <w:rFonts w:hint="eastAsia" w:ascii="Times New Roman" w:hAnsi="Times New Roman"/>
          <w:u w:val="none"/>
          <w:lang w:val="en-US" w:eastAsia="zh-CN"/>
        </w:rPr>
      </w:pPr>
      <w:r>
        <w:rPr>
          <w:rFonts w:hint="eastAsia" w:ascii="Times New Roman" w:hAnsi="Times New Roman"/>
          <w:u w:val="none"/>
          <w:lang w:val="en-US" w:eastAsia="zh-CN"/>
        </w:rPr>
        <w:t>6</w:t>
      </w:r>
      <w:r>
        <w:rPr>
          <w:rFonts w:ascii="Times New Roman" w:hAnsi="Times New Roman"/>
          <w:u w:val="none"/>
          <w:lang w:val="en-US" w:eastAsia="zh-CN"/>
        </w:rPr>
        <w:t>.“三公”经费：纳入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w:t>
      </w:r>
      <w:r>
        <w:rPr>
          <w:rFonts w:hint="eastAsia" w:ascii="Times New Roman" w:hAnsi="Times New Roman"/>
          <w:u w:val="none"/>
          <w:lang w:val="en-US" w:eastAsia="zh-CN"/>
        </w:rPr>
        <w:t>新能源汽车充电费、</w:t>
      </w:r>
      <w:r>
        <w:rPr>
          <w:rFonts w:ascii="Times New Roman" w:hAnsi="Times New Roman"/>
          <w:u w:val="none"/>
          <w:lang w:val="en-US" w:eastAsia="zh-CN"/>
        </w:rPr>
        <w:t>维修费、过路过桥费、保险费、安全奖励费用等支出；公务接待费反映单位按规定开支的各类公务接待（含外宾接待）费用。</w:t>
      </w:r>
    </w:p>
    <w:p>
      <w:pPr>
        <w:spacing w:line="600" w:lineRule="exact"/>
        <w:ind w:firstLine="640" w:firstLineChars="200"/>
        <w:rPr>
          <w:rFonts w:hint="eastAsia" w:ascii="Times New Roman" w:hAnsi="Times New Roman"/>
          <w:u w:val="none"/>
          <w:lang w:val="en-US" w:eastAsia="zh-CN"/>
        </w:rPr>
      </w:pPr>
      <w:r>
        <w:rPr>
          <w:rFonts w:hint="eastAsia" w:ascii="Times New Roman" w:hAnsi="Times New Roman"/>
          <w:u w:val="none"/>
          <w:lang w:val="en-US" w:eastAsia="zh-CN"/>
        </w:rPr>
        <w:t>7</w:t>
      </w:r>
      <w:r>
        <w:rPr>
          <w:rFonts w:ascii="Times New Roman" w:hAnsi="Times New Roman"/>
          <w:u w:val="none"/>
          <w:lang w:val="en-US" w:eastAsia="zh-CN"/>
        </w:rPr>
        <w:t>.社会保障和就业支出（类）行政事业单位养老支出（款）机关事业单位基本养老保险缴费支出（项）：指机关事业单位实施养老保险制度由单位缴纳的基本养老保险费支出。</w:t>
      </w:r>
    </w:p>
    <w:p>
      <w:pPr>
        <w:spacing w:line="600" w:lineRule="exact"/>
        <w:ind w:firstLine="640" w:firstLineChars="200"/>
        <w:rPr>
          <w:rFonts w:hint="eastAsia" w:ascii="Times New Roman" w:hAnsi="Times New Roman"/>
          <w:u w:val="none"/>
          <w:lang w:val="en-US" w:eastAsia="zh-CN"/>
        </w:rPr>
      </w:pPr>
      <w:r>
        <w:rPr>
          <w:rFonts w:hint="eastAsia" w:ascii="Times New Roman" w:hAnsi="Times New Roman"/>
          <w:u w:val="none"/>
          <w:lang w:val="en-US" w:eastAsia="zh-CN"/>
        </w:rPr>
        <w:t>8</w:t>
      </w:r>
      <w:r>
        <w:rPr>
          <w:rFonts w:ascii="Times New Roman" w:hAnsi="Times New Roman"/>
          <w:u w:val="none"/>
          <w:lang w:val="en-US" w:eastAsia="zh-CN"/>
        </w:rPr>
        <w:t>.社会保障和就业支出（类）行政事业单位养老支出（款）事业单位离退休（项）：反映事业单位开支的离退休经费。</w:t>
      </w:r>
    </w:p>
    <w:p>
      <w:pPr>
        <w:spacing w:line="600" w:lineRule="exact"/>
        <w:ind w:firstLine="640" w:firstLineChars="200"/>
        <w:rPr>
          <w:rFonts w:hint="eastAsia" w:ascii="Times New Roman" w:hAnsi="Times New Roman"/>
          <w:u w:val="none"/>
          <w:lang w:val="en-US" w:eastAsia="zh-CN"/>
        </w:rPr>
      </w:pPr>
      <w:r>
        <w:rPr>
          <w:rFonts w:hint="eastAsia" w:ascii="Times New Roman" w:hAnsi="Times New Roman"/>
          <w:u w:val="none"/>
          <w:lang w:val="en-US" w:eastAsia="zh-CN"/>
        </w:rPr>
        <w:t>9</w:t>
      </w:r>
      <w:r>
        <w:rPr>
          <w:rFonts w:ascii="Times New Roman" w:hAnsi="Times New Roman"/>
          <w:u w:val="none"/>
          <w:lang w:val="en-US" w:eastAsia="zh-CN"/>
        </w:rPr>
        <w:t>.节能环保支出（类）环境保护管理事务（款）其他环境保护管理事务（项）：指单位用于其他环境保护管理事务方面的支出。</w:t>
      </w:r>
    </w:p>
    <w:p>
      <w:pPr>
        <w:spacing w:line="600" w:lineRule="exact"/>
        <w:ind w:firstLine="640" w:firstLineChars="200"/>
        <w:rPr>
          <w:rFonts w:ascii="Times New Roman" w:hAnsi="Times New Roman"/>
          <w:u w:val="none"/>
          <w:lang w:val="en-US" w:eastAsia="zh-CN"/>
        </w:rPr>
      </w:pPr>
      <w:r>
        <w:rPr>
          <w:rFonts w:ascii="Times New Roman" w:hAnsi="Times New Roman"/>
          <w:u w:val="none"/>
          <w:lang w:val="en-US" w:eastAsia="zh-CN"/>
        </w:rPr>
        <w:t>1</w:t>
      </w:r>
      <w:r>
        <w:rPr>
          <w:rFonts w:hint="eastAsia" w:ascii="Times New Roman" w:hAnsi="Times New Roman"/>
          <w:u w:val="none"/>
          <w:lang w:val="en-US" w:eastAsia="zh-CN"/>
        </w:rPr>
        <w:t>0</w:t>
      </w:r>
      <w:r>
        <w:rPr>
          <w:rFonts w:ascii="Times New Roman" w:hAnsi="Times New Roman"/>
          <w:u w:val="none"/>
          <w:lang w:val="en-US" w:eastAsia="zh-CN"/>
        </w:rPr>
        <w:t>.住房保障支出（类）住房改革支出（款）住房公积金（项）：指行政事业单位按人力资源和社会保障部、财政部规定的基本工资和津贴补贴以及规定比例为职工缴纳的住房公积金。</w:t>
      </w:r>
    </w:p>
    <w:p>
      <w:pPr>
        <w:spacing w:line="600" w:lineRule="exact"/>
        <w:ind w:firstLine="640" w:firstLineChars="200"/>
        <w:rPr>
          <w:rFonts w:ascii="Times New Roman" w:hAnsi="Times New Roman"/>
        </w:rPr>
      </w:pPr>
      <w:r>
        <w:rPr>
          <w:rFonts w:ascii="Times New Roman" w:hAnsi="Times New Roman"/>
        </w:rPr>
        <w:t>附件：表1.</w:t>
      </w:r>
      <w:r>
        <w:rPr>
          <w:rFonts w:hint="eastAsia" w:ascii="Times New Roman" w:hAnsi="Times New Roman"/>
          <w:lang w:eastAsia="zh-CN"/>
        </w:rPr>
        <w:t>单位</w:t>
      </w:r>
      <w:r>
        <w:rPr>
          <w:rFonts w:ascii="Times New Roman" w:hAnsi="Times New Roman"/>
        </w:rPr>
        <w:t>收支总表</w:t>
      </w:r>
    </w:p>
    <w:p>
      <w:pPr>
        <w:spacing w:line="600" w:lineRule="exact"/>
        <w:rPr>
          <w:rFonts w:ascii="Times New Roman" w:hAnsi="Times New Roman"/>
        </w:rPr>
      </w:pPr>
      <w:r>
        <w:rPr>
          <w:rFonts w:ascii="Times New Roman" w:hAnsi="Times New Roman"/>
        </w:rPr>
        <w:t xml:space="preserve">      </w:t>
      </w:r>
      <w:r>
        <w:rPr>
          <w:rFonts w:ascii="Times New Roman" w:hAnsi="Times New Roman"/>
          <w:lang w:val="en-US" w:eastAsia="zh-CN"/>
        </w:rPr>
        <w:t xml:space="preserve">    </w:t>
      </w:r>
      <w:r>
        <w:rPr>
          <w:rFonts w:ascii="Times New Roman" w:hAnsi="Times New Roman"/>
        </w:rPr>
        <w:t>表1-1.</w:t>
      </w:r>
      <w:r>
        <w:rPr>
          <w:rFonts w:hint="eastAsia" w:ascii="Times New Roman" w:hAnsi="Times New Roman"/>
          <w:lang w:eastAsia="zh-CN"/>
        </w:rPr>
        <w:t>单位</w:t>
      </w:r>
      <w:r>
        <w:rPr>
          <w:rFonts w:ascii="Times New Roman" w:hAnsi="Times New Roman"/>
        </w:rPr>
        <w:t>收入总表</w:t>
      </w:r>
    </w:p>
    <w:p>
      <w:pPr>
        <w:spacing w:line="600" w:lineRule="exact"/>
        <w:rPr>
          <w:rFonts w:ascii="Times New Roman" w:hAnsi="Times New Roman"/>
        </w:rPr>
      </w:pPr>
      <w:r>
        <w:rPr>
          <w:rFonts w:ascii="Times New Roman" w:hAnsi="Times New Roman"/>
        </w:rPr>
        <w:t xml:space="preserve">      </w:t>
      </w:r>
      <w:r>
        <w:rPr>
          <w:rFonts w:ascii="Times New Roman" w:hAnsi="Times New Roman"/>
          <w:lang w:val="en-US" w:eastAsia="zh-CN"/>
        </w:rPr>
        <w:t xml:space="preserve">    </w:t>
      </w:r>
      <w:r>
        <w:rPr>
          <w:rFonts w:ascii="Times New Roman" w:hAnsi="Times New Roman"/>
        </w:rPr>
        <w:t>表1-2.</w:t>
      </w:r>
      <w:r>
        <w:rPr>
          <w:rFonts w:hint="eastAsia" w:ascii="Times New Roman" w:hAnsi="Times New Roman"/>
          <w:lang w:eastAsia="zh-CN"/>
        </w:rPr>
        <w:t>单位</w:t>
      </w:r>
      <w:r>
        <w:rPr>
          <w:rFonts w:ascii="Times New Roman" w:hAnsi="Times New Roman"/>
        </w:rPr>
        <w:t>支出总表</w:t>
      </w:r>
    </w:p>
    <w:p>
      <w:pPr>
        <w:spacing w:line="600" w:lineRule="exact"/>
        <w:ind w:firstLine="1600" w:firstLineChars="500"/>
        <w:rPr>
          <w:rFonts w:ascii="Times New Roman" w:hAnsi="Times New Roman"/>
        </w:rPr>
      </w:pPr>
      <w:r>
        <w:rPr>
          <w:rFonts w:ascii="Times New Roman" w:hAnsi="Times New Roman"/>
        </w:rPr>
        <w:t>表2.财政拨款收支预算总表</w:t>
      </w:r>
    </w:p>
    <w:p>
      <w:pPr>
        <w:spacing w:line="600" w:lineRule="exact"/>
        <w:ind w:firstLine="1600" w:firstLineChars="500"/>
        <w:rPr>
          <w:rFonts w:ascii="Times New Roman" w:hAnsi="Times New Roman"/>
          <w:lang w:eastAsia="zh-CN"/>
        </w:rPr>
      </w:pPr>
      <w:r>
        <w:rPr>
          <w:rFonts w:ascii="Times New Roman" w:hAnsi="Times New Roman"/>
          <w:lang w:eastAsia="zh-CN"/>
        </w:rPr>
        <w:t>表</w:t>
      </w:r>
      <w:r>
        <w:rPr>
          <w:rFonts w:ascii="Times New Roman" w:hAnsi="Times New Roman"/>
          <w:lang w:val="en-US" w:eastAsia="zh-CN"/>
        </w:rPr>
        <w:t>2-1.财政拨款支出预算表</w:t>
      </w:r>
    </w:p>
    <w:p>
      <w:pPr>
        <w:spacing w:line="600" w:lineRule="exact"/>
        <w:ind w:firstLine="1600" w:firstLineChars="500"/>
        <w:rPr>
          <w:rFonts w:ascii="Times New Roman" w:hAnsi="Times New Roman"/>
        </w:rPr>
      </w:pPr>
      <w:r>
        <w:rPr>
          <w:rFonts w:ascii="Times New Roman" w:hAnsi="Times New Roman"/>
        </w:rPr>
        <w:t>表3.一般公共预算支出预算表</w:t>
      </w:r>
    </w:p>
    <w:p>
      <w:pPr>
        <w:spacing w:line="600" w:lineRule="exact"/>
        <w:ind w:firstLine="1600" w:firstLineChars="500"/>
        <w:rPr>
          <w:rFonts w:ascii="Times New Roman" w:hAnsi="Times New Roman"/>
        </w:rPr>
      </w:pPr>
      <w:r>
        <w:rPr>
          <w:rFonts w:ascii="Times New Roman" w:hAnsi="Times New Roman"/>
        </w:rPr>
        <w:t>表3-1.一般公共预算基本支出预算表</w:t>
      </w:r>
    </w:p>
    <w:p>
      <w:pPr>
        <w:spacing w:line="600" w:lineRule="exact"/>
        <w:ind w:firstLine="1600" w:firstLineChars="500"/>
        <w:rPr>
          <w:rFonts w:ascii="Times New Roman" w:hAnsi="Times New Roman"/>
        </w:rPr>
      </w:pPr>
      <w:r>
        <w:rPr>
          <w:rFonts w:ascii="Times New Roman" w:hAnsi="Times New Roman"/>
        </w:rPr>
        <w:t>表3-2.一般公共预算项目支出预算表</w:t>
      </w:r>
    </w:p>
    <w:p>
      <w:pPr>
        <w:spacing w:line="600" w:lineRule="exact"/>
        <w:ind w:firstLine="1600" w:firstLineChars="500"/>
        <w:rPr>
          <w:rFonts w:ascii="Times New Roman" w:hAnsi="Times New Roman"/>
        </w:rPr>
      </w:pPr>
      <w:r>
        <w:rPr>
          <w:rFonts w:ascii="Times New Roman" w:hAnsi="Times New Roman"/>
        </w:rPr>
        <w:t>表3-3.一般公共预算“三公”经费支出预算表</w:t>
      </w:r>
    </w:p>
    <w:p>
      <w:pPr>
        <w:spacing w:line="600" w:lineRule="exact"/>
        <w:ind w:firstLine="1600" w:firstLineChars="500"/>
        <w:rPr>
          <w:rFonts w:ascii="Times New Roman" w:hAnsi="Times New Roman"/>
        </w:rPr>
      </w:pPr>
      <w:r>
        <w:rPr>
          <w:rFonts w:ascii="Times New Roman" w:hAnsi="Times New Roman"/>
        </w:rPr>
        <w:t>表4.政府性基金支出预算表</w:t>
      </w:r>
    </w:p>
    <w:p>
      <w:pPr>
        <w:spacing w:line="600" w:lineRule="exact"/>
        <w:ind w:firstLine="1600" w:firstLineChars="500"/>
        <w:rPr>
          <w:rFonts w:ascii="Times New Roman" w:hAnsi="Times New Roman"/>
        </w:rPr>
      </w:pPr>
      <w:r>
        <w:rPr>
          <w:rFonts w:ascii="Times New Roman" w:hAnsi="Times New Roman"/>
        </w:rPr>
        <w:t>表4-1.政府性基金预算“三公”经费支出预算表</w:t>
      </w:r>
    </w:p>
    <w:p>
      <w:pPr>
        <w:spacing w:line="600" w:lineRule="exact"/>
        <w:ind w:firstLine="1600" w:firstLineChars="500"/>
        <w:rPr>
          <w:rFonts w:ascii="Times New Roman" w:hAnsi="Times New Roman"/>
        </w:rPr>
      </w:pPr>
      <w:r>
        <w:rPr>
          <w:rFonts w:ascii="Times New Roman" w:hAnsi="Times New Roman"/>
        </w:rPr>
        <w:t>表5.国有资本经营预算支出预算表</w:t>
      </w:r>
    </w:p>
    <w:p>
      <w:pPr>
        <w:spacing w:line="600" w:lineRule="exact"/>
        <w:ind w:firstLine="1600" w:firstLineChars="500"/>
        <w:rPr>
          <w:rFonts w:ascii="Times New Roman" w:hAnsi="Times New Roman"/>
          <w:lang w:eastAsia="zh-CN"/>
        </w:rPr>
      </w:pPr>
      <w:r>
        <w:rPr>
          <w:rFonts w:ascii="Times New Roman" w:hAnsi="Times New Roman"/>
          <w:lang w:eastAsia="zh-CN"/>
        </w:rPr>
        <w:t>表</w:t>
      </w:r>
      <w:r>
        <w:rPr>
          <w:rFonts w:ascii="Times New Roman" w:hAnsi="Times New Roman"/>
          <w:lang w:val="en-US" w:eastAsia="zh-CN"/>
        </w:rPr>
        <w:t>6.</w:t>
      </w:r>
      <w:r>
        <w:rPr>
          <w:rFonts w:hint="eastAsia" w:ascii="Times New Roman" w:hAnsi="Times New Roman"/>
          <w:lang w:val="en-US" w:eastAsia="zh-CN"/>
        </w:rPr>
        <w:t>单位</w:t>
      </w:r>
      <w:r>
        <w:rPr>
          <w:rFonts w:ascii="Times New Roman" w:hAnsi="Times New Roman"/>
          <w:lang w:val="en-US" w:eastAsia="zh-CN"/>
        </w:rPr>
        <w:t>预算项目绩效目标表</w:t>
      </w:r>
    </w:p>
    <w:p>
      <w:pPr>
        <w:spacing w:line="600" w:lineRule="exact"/>
        <w:ind w:firstLine="1600" w:firstLineChars="500"/>
        <w:rPr>
          <w:rFonts w:ascii="Times New Roman" w:hAnsi="Times New Roman"/>
          <w:lang w:val="en-US" w:eastAsia="zh-CN"/>
        </w:rPr>
      </w:pPr>
      <w:r>
        <w:rPr>
          <w:rFonts w:ascii="Times New Roman" w:hAnsi="Times New Roman"/>
          <w:lang w:val="en-US" w:eastAsia="zh-CN"/>
        </w:rPr>
        <w:t>表7.</w:t>
      </w:r>
      <w:r>
        <w:rPr>
          <w:rFonts w:hint="eastAsia" w:ascii="Times New Roman" w:hAnsi="Times New Roman"/>
          <w:lang w:val="en-US" w:eastAsia="zh-CN"/>
        </w:rPr>
        <w:t>单位</w:t>
      </w:r>
      <w:r>
        <w:rPr>
          <w:rFonts w:ascii="Times New Roman" w:hAnsi="Times New Roman"/>
          <w:lang w:val="en-US" w:eastAsia="zh-CN"/>
        </w:rPr>
        <w:t>整体支出绩效目标表</w:t>
      </w:r>
    </w:p>
    <w:sectPr>
      <w:footerReference r:id="rId5" w:type="default"/>
      <w:pgSz w:w="11906" w:h="16838"/>
      <w:pgMar w:top="1247" w:right="1542" w:bottom="1247" w:left="2098" w:header="851" w:footer="992" w:gutter="0"/>
      <w:pgNumType w:fmt="decimal" w:start="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clear" w:pos="4153"/>
        <w:tab w:val="clear" w:pos="8306"/>
      </w:tabs>
    </w:pPr>
    <w:r>
      <w:fldChar w:fldCharType="begin"/>
    </w:r>
    <w:r>
      <w:rPr>
        <w:rStyle w:val="6"/>
      </w:rPr>
      <w:instrText xml:space="preserve">PAGE  </w:instrText>
    </w:r>
    <w:r>
      <w:fldChar w:fldCharType="separate"/>
    </w:r>
    <w:r>
      <w:fldChar w:fldCharType="end"/>
    </w:r>
  </w:p>
  <w:p>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clear" w:pos="4153"/>
        <w:tab w:val="clear" w:pos="8306"/>
      </w:tabs>
      <w:rPr>
        <w:rFonts w:ascii="宋体" w:hAnsi="宋体"/>
        <w:sz w:val="30"/>
        <w:szCs w:val="30"/>
      </w:rPr>
    </w:pPr>
    <w:r>
      <w:rPr>
        <w:rFonts w:ascii="宋体" w:hAnsi="宋体"/>
        <w:sz w:val="30"/>
        <w:szCs w:val="30"/>
      </w:rPr>
      <w:fldChar w:fldCharType="begin"/>
    </w:r>
    <w:r>
      <w:rPr>
        <w:rStyle w:val="6"/>
        <w:rFonts w:ascii="宋体" w:hAnsi="宋体"/>
        <w:sz w:val="30"/>
        <w:szCs w:val="30"/>
      </w:rPr>
      <w:instrText xml:space="preserve">PAGE  </w:instrText>
    </w:r>
    <w:r>
      <w:rPr>
        <w:rFonts w:ascii="宋体" w:hAnsi="宋体"/>
        <w:sz w:val="30"/>
        <w:szCs w:val="30"/>
      </w:rPr>
      <w:fldChar w:fldCharType="separate"/>
    </w:r>
    <w:r>
      <w:rPr>
        <w:rStyle w:val="6"/>
        <w:rFonts w:ascii="宋体" w:hAnsi="宋体"/>
        <w:sz w:val="30"/>
        <w:szCs w:val="30"/>
      </w:rPr>
      <w:t>- 4 -</w:t>
    </w:r>
    <w:r>
      <w:rPr>
        <w:rFonts w:ascii="宋体" w:hAnsi="宋体"/>
        <w:sz w:val="30"/>
        <w:szCs w:val="30"/>
      </w:rPr>
      <w:fldChar w:fldCharType="end"/>
    </w:r>
  </w:p>
  <w:p>
    <w:pPr>
      <w:pStyle w:val="9"/>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isplayHorizontalDrawingGridEvery w:val="1"/>
  <w:displayVerticalDrawingGridEvery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97F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qFormat/>
    <w:uiPriority w:val="0"/>
  </w:style>
  <w:style w:type="table" w:customStyle="1" w:styleId="5">
    <w:name w:val="普通表格1"/>
    <w:semiHidden/>
    <w:qFormat/>
    <w:uiPriority w:val="0"/>
  </w:style>
  <w:style w:type="character" w:customStyle="1" w:styleId="6">
    <w:name w:val="页码1"/>
    <w:basedOn w:val="4"/>
    <w:link w:val="1"/>
    <w:uiPriority w:val="0"/>
  </w:style>
  <w:style w:type="paragraph" w:customStyle="1" w:styleId="7">
    <w:name w:val=" Char Char1 Char Char Char Char Char Char Char Char"/>
    <w:basedOn w:val="1"/>
    <w:qFormat/>
    <w:uiPriority w:val="0"/>
    <w:pPr>
      <w:spacing w:line="240" w:lineRule="atLeast"/>
      <w:ind w:left="420" w:firstLine="420"/>
      <w:jc w:val="left"/>
    </w:pPr>
    <w:rPr>
      <w:rFonts w:eastAsia="宋体"/>
      <w:kern w:val="0"/>
      <w:sz w:val="21"/>
      <w:szCs w:val="21"/>
    </w:rPr>
  </w:style>
  <w:style w:type="paragraph" w:customStyle="1" w:styleId="8">
    <w:name w:val="Char Char Char Char Char Char Char Char Char Char Char Char"/>
    <w:basedOn w:val="1"/>
    <w:qFormat/>
    <w:uiPriority w:val="0"/>
    <w:rPr>
      <w:szCs w:val="21"/>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页眉1"/>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12">
    <w:name w:val="正文文本1"/>
    <w:basedOn w:val="1"/>
    <w:uiPriority w:val="0"/>
    <w:pPr>
      <w:spacing w:before="93"/>
    </w:pPr>
    <w:rPr>
      <w:rFonts w:ascii="仿宋_GB2312" w:eastAsia="仿宋_GB2312"/>
      <w:sz w:val="30"/>
    </w:rPr>
  </w:style>
  <w:style w:type="paragraph" w:customStyle="1" w:styleId="13">
    <w:name w:val="批注框文本1"/>
    <w:basedOn w:val="1"/>
    <w:uiPriority w:val="0"/>
    <w:rPr>
      <w:sz w:val="18"/>
      <w:szCs w:val="18"/>
    </w:rPr>
  </w:style>
  <w:style w:type="table" w:customStyle="1" w:styleId="14">
    <w:name w:val="网格型1"/>
    <w:basedOn w:val="5"/>
    <w:uiPriority w:val="0"/>
    <w:pPr>
      <w:widowControl w:val="0"/>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2025-02-14T03:34:28Z</dcterms:created>
  <dc:creator>王顺莉</dc:creator>
  <cp:lastModifiedBy>王顺莉</cp:lastModifiedBy>
  <dcterms:modified xsi:type="dcterms:W3CDTF">2025-02-14T03:34:48Z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