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Times New Roman" w:hAnsi="Times New Roman" w:eastAsia="方正小标宋简体" w:cs="Times New Roman"/>
          <w:color w:val="auto"/>
          <w:kern w:val="2"/>
          <w:sz w:val="72"/>
          <w:szCs w:val="72"/>
          <w:highlight w:val="none"/>
          <w:lang w:val="en-US" w:eastAsia="zh-CN" w:bidi="ar-SA"/>
        </w:rPr>
      </w:pPr>
      <w:bookmarkStart w:id="0" w:name="_Toc15377425"/>
      <w:bookmarkStart w:id="1" w:name="_Toc15377193"/>
      <w:bookmarkStart w:id="2" w:name="_Toc15396597"/>
      <w:bookmarkStart w:id="3" w:name="_Toc15396475"/>
      <w:bookmarkStart w:id="4" w:name="_Toc15306267"/>
      <w:bookmarkStart w:id="5" w:name="_Toc15378441"/>
    </w:p>
    <w:p>
      <w:pPr>
        <w:pStyle w:val="2"/>
        <w:rPr>
          <w:rFonts w:hint="default" w:ascii="Times New Roman" w:hAnsi="Times New Roman" w:eastAsia="方正小标宋简体" w:cs="Times New Roman"/>
          <w:color w:val="auto"/>
          <w:kern w:val="2"/>
          <w:sz w:val="72"/>
          <w:szCs w:val="72"/>
          <w:highlight w:val="none"/>
          <w:lang w:val="en-US" w:eastAsia="zh-CN" w:bidi="ar-SA"/>
        </w:rPr>
      </w:pPr>
    </w:p>
    <w:p>
      <w:pPr>
        <w:pStyle w:val="2"/>
        <w:rPr>
          <w:rFonts w:hint="default" w:ascii="Times New Roman" w:hAnsi="Times New Roman" w:eastAsia="方正小标宋简体" w:cs="Times New Roman"/>
          <w:color w:val="auto"/>
          <w:kern w:val="2"/>
          <w:sz w:val="72"/>
          <w:szCs w:val="72"/>
          <w:highlight w:val="none"/>
          <w:lang w:val="en-US" w:eastAsia="zh-CN" w:bidi="ar-SA"/>
        </w:rPr>
      </w:pPr>
    </w:p>
    <w:p>
      <w:pPr>
        <w:pStyle w:val="2"/>
        <w:rPr>
          <w:rFonts w:hint="default" w:ascii="Times New Roman" w:hAnsi="Times New Roman" w:eastAsia="方正小标宋简体" w:cs="Times New Roman"/>
          <w:color w:val="auto"/>
          <w:kern w:val="2"/>
          <w:sz w:val="72"/>
          <w:szCs w:val="72"/>
          <w:highlight w:val="none"/>
          <w:lang w:val="en-US" w:eastAsia="zh-CN" w:bidi="ar-SA"/>
        </w:rPr>
      </w:pPr>
    </w:p>
    <w:p>
      <w:pPr>
        <w:pStyle w:val="2"/>
        <w:jc w:val="center"/>
        <w:rPr>
          <w:rFonts w:hint="eastAsia" w:ascii="方正小标宋_GBK" w:hAnsi="方正小标宋_GBK" w:eastAsia="方正小标宋_GBK" w:cs="方正小标宋_GBK"/>
          <w:color w:val="auto"/>
          <w:kern w:val="2"/>
          <w:sz w:val="44"/>
          <w:szCs w:val="44"/>
          <w:highlight w:val="none"/>
          <w:lang w:val="en-US" w:eastAsia="zh-CN" w:bidi="ar-SA"/>
        </w:rPr>
      </w:pPr>
      <w:r>
        <w:rPr>
          <w:rFonts w:hint="eastAsia" w:ascii="方正小标宋_GBK" w:hAnsi="方正小标宋_GBK" w:eastAsia="方正小标宋_GBK" w:cs="方正小标宋_GBK"/>
          <w:color w:val="auto"/>
          <w:kern w:val="2"/>
          <w:sz w:val="44"/>
          <w:szCs w:val="44"/>
          <w:highlight w:val="none"/>
          <w:lang w:val="en-US" w:eastAsia="zh-CN" w:bidi="ar-SA"/>
        </w:rPr>
        <w:t>2024年度攀枝花市仁和生态环境局</w:t>
      </w:r>
    </w:p>
    <w:p>
      <w:pPr>
        <w:pStyle w:val="2"/>
        <w:jc w:val="center"/>
        <w:rPr>
          <w:rFonts w:hint="eastAsia" w:ascii="方正小标宋_GBK" w:hAnsi="方正小标宋_GBK" w:eastAsia="方正小标宋_GBK" w:cs="方正小标宋_GBK"/>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r>
        <w:rPr>
          <w:rFonts w:hint="eastAsia" w:ascii="方正小标宋_GBK" w:hAnsi="方正小标宋_GBK" w:eastAsia="方正小标宋_GBK" w:cs="方正小标宋_GBK"/>
          <w:color w:val="auto"/>
          <w:kern w:val="2"/>
          <w:sz w:val="44"/>
          <w:szCs w:val="44"/>
          <w:highlight w:val="none"/>
          <w:lang w:val="en-US" w:eastAsia="zh-CN" w:bidi="ar-SA"/>
        </w:rPr>
        <w:t>单位决算公开文字说明</w:t>
      </w:r>
    </w:p>
    <w:bookmarkEnd w:id="0"/>
    <w:bookmarkEnd w:id="1"/>
    <w:bookmarkEnd w:id="2"/>
    <w:bookmarkEnd w:id="3"/>
    <w:bookmarkEnd w:id="4"/>
    <w:bookmarkEnd w:id="5"/>
    <w:p>
      <w:pPr>
        <w:widowControl/>
        <w:jc w:val="center"/>
        <w:rPr>
          <w:rFonts w:hint="default" w:ascii="Times New Roman" w:hAnsi="Times New Roman" w:eastAsia="黑体" w:cs="Times New Roman"/>
          <w:color w:val="auto"/>
          <w:sz w:val="48"/>
          <w:szCs w:val="48"/>
          <w:highlight w:val="none"/>
        </w:rPr>
      </w:pPr>
      <w:r>
        <w:rPr>
          <w:rFonts w:hint="default" w:ascii="Times New Roman" w:hAnsi="Times New Roman" w:eastAsia="黑体" w:cs="Times New Roman"/>
          <w:color w:val="auto"/>
          <w:sz w:val="48"/>
          <w:szCs w:val="48"/>
          <w:highlight w:val="none"/>
        </w:rPr>
        <w:t>目录</w:t>
      </w:r>
    </w:p>
    <w:p>
      <w:pPr>
        <w:widowControl/>
        <w:jc w:val="center"/>
        <w:rPr>
          <w:rFonts w:hint="default" w:ascii="Times New Roman" w:hAnsi="Times New Roman" w:eastAsia="黑体" w:cs="Times New Roman"/>
          <w:color w:val="auto"/>
          <w:sz w:val="28"/>
          <w:szCs w:val="28"/>
          <w:highlight w:val="none"/>
        </w:rPr>
      </w:pPr>
    </w:p>
    <w:p>
      <w:pPr>
        <w:pStyle w:val="12"/>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公开时间：20</w:t>
      </w:r>
      <w:r>
        <w:rPr>
          <w:rFonts w:hint="default" w:ascii="Times New Roman" w:hAnsi="Times New Roman"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 xml:space="preserve"> 9 </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 xml:space="preserve"> 1</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日</w:t>
      </w:r>
    </w:p>
    <w:p>
      <w:pPr>
        <w:rPr>
          <w:rFonts w:hint="default" w:ascii="Times New Roman" w:hAnsi="Times New Roman" w:cs="Times New Roman"/>
          <w:color w:val="auto"/>
          <w:highlight w:val="none"/>
        </w:rPr>
      </w:pP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 xml:space="preserve">第一部分 </w:t>
      </w:r>
      <w:r>
        <w:rPr>
          <w:rFonts w:hint="default" w:ascii="Times New Roman" w:hAnsi="Times New Roman" w:eastAsia="黑体" w:cs="Times New Roman"/>
          <w:color w:val="auto"/>
          <w:sz w:val="32"/>
          <w:szCs w:val="32"/>
          <w:highlight w:val="none"/>
          <w:lang w:eastAsia="zh-CN"/>
        </w:rPr>
        <w:t>单位</w:t>
      </w:r>
      <w:r>
        <w:rPr>
          <w:rFonts w:hint="default" w:ascii="Times New Roman" w:hAnsi="Times New Roman" w:eastAsia="黑体" w:cs="Times New Roman"/>
          <w:color w:val="auto"/>
          <w:sz w:val="32"/>
          <w:szCs w:val="32"/>
          <w:highlight w:val="none"/>
        </w:rPr>
        <w:t>概况</w:t>
      </w:r>
      <w:r>
        <w:rPr>
          <w:rFonts w:hint="default" w:ascii="Times New Roman" w:hAnsi="Times New Roman" w:eastAsia="黑体" w:cs="Times New Roman"/>
          <w:color w:val="auto"/>
          <w:sz w:val="32"/>
          <w:szCs w:val="32"/>
          <w:highlight w:val="none"/>
          <w:lang w:val="en-US" w:eastAsia="zh-CN"/>
        </w:rPr>
        <w:tab/>
      </w:r>
      <w:r>
        <w:rPr>
          <w:rFonts w:hint="default" w:ascii="Times New Roman" w:hAnsi="Times New Roman" w:eastAsia="黑体" w:cs="Times New Roman"/>
          <w:color w:val="auto"/>
          <w:sz w:val="32"/>
          <w:szCs w:val="32"/>
          <w:highlight w:val="none"/>
          <w:lang w:val="en-US" w:eastAsia="zh-CN"/>
        </w:rPr>
        <w:t>1</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rPr>
        <w:t>一、</w:t>
      </w:r>
      <w:r>
        <w:rPr>
          <w:rFonts w:hint="eastAsia" w:eastAsia="仿宋_GB2312" w:cs="Times New Roman"/>
          <w:color w:val="auto"/>
          <w:sz w:val="32"/>
          <w:szCs w:val="32"/>
          <w:highlight w:val="none"/>
          <w:lang w:eastAsia="zh-CN"/>
        </w:rPr>
        <w:t>单位</w:t>
      </w:r>
      <w:r>
        <w:rPr>
          <w:rFonts w:hint="default" w:ascii="Times New Roman" w:hAnsi="Times New Roman" w:eastAsia="仿宋_GB2312" w:cs="Times New Roman"/>
          <w:color w:val="auto"/>
          <w:sz w:val="32"/>
          <w:szCs w:val="32"/>
          <w:highlight w:val="none"/>
          <w:lang w:eastAsia="zh-CN"/>
        </w:rPr>
        <w:t>职责</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1</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二、机构设置</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5</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第二部分</w:t>
      </w:r>
      <w:r>
        <w:rPr>
          <w:rFonts w:hint="default" w:ascii="Times New Roman" w:hAnsi="Times New Roman" w:eastAsia="黑体" w:cs="Times New Roman"/>
          <w:color w:val="auto"/>
          <w:sz w:val="32"/>
          <w:szCs w:val="32"/>
          <w:highlight w:val="none"/>
          <w:lang w:val="en-US" w:eastAsia="zh-CN"/>
        </w:rPr>
        <w:t xml:space="preserve"> 2024年度单位</w:t>
      </w:r>
      <w:r>
        <w:rPr>
          <w:rFonts w:hint="default" w:ascii="Times New Roman" w:hAnsi="Times New Roman" w:eastAsia="黑体" w:cs="Times New Roman"/>
          <w:color w:val="auto"/>
          <w:sz w:val="32"/>
          <w:szCs w:val="32"/>
          <w:highlight w:val="none"/>
        </w:rPr>
        <w:t>决算情况说明</w:t>
      </w:r>
      <w:r>
        <w:rPr>
          <w:rFonts w:hint="default" w:ascii="Times New Roman" w:hAnsi="Times New Roman" w:eastAsia="黑体" w:cs="Times New Roman"/>
          <w:color w:val="auto"/>
          <w:sz w:val="32"/>
          <w:szCs w:val="32"/>
          <w:highlight w:val="none"/>
          <w:lang w:val="en-US" w:eastAsia="zh-CN"/>
        </w:rPr>
        <w:tab/>
      </w:r>
      <w:r>
        <w:rPr>
          <w:rFonts w:hint="default" w:ascii="Times New Roman" w:hAnsi="Times New Roman" w:eastAsia="黑体" w:cs="Times New Roman"/>
          <w:color w:val="auto"/>
          <w:sz w:val="32"/>
          <w:szCs w:val="32"/>
          <w:highlight w:val="none"/>
          <w:lang w:val="en-US" w:eastAsia="zh-CN"/>
        </w:rPr>
        <w:t>6</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一、收入支出决算总体情况说明</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6</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二、收入决算情况说明</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6</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三、支出决算情况说明</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7</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四、财政拨款收入支出决算总体情况说明</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8</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五、一般公共预算财政拨款支出决算情况说明</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8</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六、一般公共预算财政拨款基本支出决算情况说明</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11</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七、财政拨款</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三公”经费支出决算情况说明</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11</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八、政府性基金预算支出决算情况说明</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14</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九、</w:t>
      </w:r>
      <w:r>
        <w:rPr>
          <w:rFonts w:hint="default" w:ascii="Times New Roman" w:hAnsi="Times New Roman" w:eastAsia="仿宋_GB2312" w:cs="Times New Roman"/>
          <w:color w:val="auto"/>
          <w:sz w:val="32"/>
          <w:szCs w:val="32"/>
          <w:highlight w:val="none"/>
          <w:lang w:eastAsia="zh-CN"/>
        </w:rPr>
        <w:t>国</w:t>
      </w:r>
      <w:r>
        <w:rPr>
          <w:rFonts w:hint="default" w:ascii="Times New Roman" w:hAnsi="Times New Roman" w:eastAsia="仿宋_GB2312" w:cs="Times New Roman"/>
          <w:color w:val="auto"/>
          <w:sz w:val="32"/>
          <w:szCs w:val="32"/>
          <w:highlight w:val="none"/>
        </w:rPr>
        <w:t>有资本经营预算支出决算情况说明</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14</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十</w:t>
      </w:r>
      <w:r>
        <w:rPr>
          <w:rFonts w:hint="default" w:ascii="Times New Roman" w:hAnsi="Times New Roman" w:eastAsia="仿宋_GB2312" w:cs="Times New Roman"/>
          <w:color w:val="auto"/>
          <w:sz w:val="32"/>
          <w:szCs w:val="32"/>
          <w:highlight w:val="none"/>
        </w:rPr>
        <w:t>、其他重要事项的情况说明</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14</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第三部分 名词解释</w:t>
      </w:r>
      <w:r>
        <w:rPr>
          <w:rFonts w:hint="default" w:ascii="Times New Roman" w:hAnsi="Times New Roman" w:eastAsia="黑体" w:cs="Times New Roman"/>
          <w:color w:val="auto"/>
          <w:sz w:val="32"/>
          <w:szCs w:val="32"/>
          <w:highlight w:val="none"/>
          <w:lang w:val="en-US" w:eastAsia="zh-CN"/>
        </w:rPr>
        <w:tab/>
      </w:r>
      <w:r>
        <w:rPr>
          <w:rFonts w:hint="default" w:ascii="Times New Roman" w:hAnsi="Times New Roman" w:eastAsia="黑体" w:cs="Times New Roman"/>
          <w:color w:val="auto"/>
          <w:sz w:val="32"/>
          <w:szCs w:val="32"/>
          <w:highlight w:val="none"/>
          <w:lang w:val="en-US" w:eastAsia="zh-CN"/>
        </w:rPr>
        <w:t>16</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第四部分 附件</w:t>
      </w:r>
      <w:r>
        <w:rPr>
          <w:rFonts w:hint="default" w:ascii="Times New Roman" w:hAnsi="Times New Roman" w:eastAsia="黑体" w:cs="Times New Roman"/>
          <w:color w:val="auto"/>
          <w:sz w:val="32"/>
          <w:szCs w:val="32"/>
          <w:highlight w:val="none"/>
          <w:lang w:val="en-US" w:eastAsia="zh-CN"/>
        </w:rPr>
        <w:tab/>
      </w:r>
      <w:r>
        <w:rPr>
          <w:rFonts w:hint="default" w:ascii="Times New Roman" w:hAnsi="Times New Roman" w:eastAsia="黑体" w:cs="Times New Roman"/>
          <w:color w:val="auto"/>
          <w:sz w:val="32"/>
          <w:szCs w:val="32"/>
          <w:highlight w:val="none"/>
          <w:lang w:val="en-US" w:eastAsia="zh-CN"/>
        </w:rPr>
        <w:t>19</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第五部分 附表</w:t>
      </w:r>
      <w:r>
        <w:rPr>
          <w:rFonts w:hint="default" w:ascii="Times New Roman" w:hAnsi="Times New Roman" w:eastAsia="黑体" w:cs="Times New Roman"/>
          <w:color w:val="auto"/>
          <w:sz w:val="32"/>
          <w:szCs w:val="32"/>
          <w:highlight w:val="none"/>
          <w:lang w:val="en-US" w:eastAsia="zh-CN"/>
        </w:rPr>
        <w:tab/>
      </w:r>
      <w:r>
        <w:rPr>
          <w:rFonts w:hint="default" w:ascii="Times New Roman" w:hAnsi="Times New Roman" w:eastAsia="黑体" w:cs="Times New Roman"/>
          <w:color w:val="auto"/>
          <w:sz w:val="32"/>
          <w:szCs w:val="32"/>
          <w:highlight w:val="none"/>
          <w:lang w:val="en-US" w:eastAsia="zh-CN"/>
        </w:rPr>
        <w:t>20</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一、收入支出决算总表</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20</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二、收入决算表</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20</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三、支出决算表</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20</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四、财政拨款收入支出决算总表</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20</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五、财政拨款支出决算明细表</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20</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六、一般公共预算财政拨款支出决算表</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20</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七、一般公共预算财政拨款支出决算明细表</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20</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八、一般公共预算财政拨款基本支出决算</w:t>
      </w:r>
      <w:r>
        <w:rPr>
          <w:rFonts w:hint="default" w:ascii="Times New Roman" w:hAnsi="Times New Roman" w:eastAsia="仿宋_GB2312" w:cs="Times New Roman"/>
          <w:color w:val="auto"/>
          <w:sz w:val="32"/>
          <w:szCs w:val="32"/>
          <w:highlight w:val="none"/>
          <w:lang w:eastAsia="zh-CN"/>
        </w:rPr>
        <w:t>明细</w:t>
      </w:r>
      <w:r>
        <w:rPr>
          <w:rFonts w:hint="default" w:ascii="Times New Roman" w:hAnsi="Times New Roman" w:eastAsia="仿宋_GB2312" w:cs="Times New Roman"/>
          <w:color w:val="auto"/>
          <w:sz w:val="32"/>
          <w:szCs w:val="32"/>
          <w:highlight w:val="none"/>
        </w:rPr>
        <w:t>表</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20</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九、一般公共预算财政拨款项目支出决算表</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20</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十、政府性基金预算财政拨款收入支出决算表</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20</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十一、国有资本经营预算财政拨款收入支出决算表</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20</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rPr>
        <w:t>十二、</w:t>
      </w:r>
      <w:r>
        <w:rPr>
          <w:rFonts w:hint="default" w:ascii="Times New Roman" w:hAnsi="Times New Roman" w:eastAsia="仿宋_GB2312" w:cs="Times New Roman"/>
          <w:color w:val="auto"/>
          <w:sz w:val="32"/>
          <w:szCs w:val="32"/>
          <w:highlight w:val="none"/>
          <w:lang w:val="en-US" w:eastAsia="zh-CN"/>
        </w:rPr>
        <w:t>国有资本经营预算财政拨款支出决算表</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20</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十三、财政拨款“三公”经费支出决算表</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20</w:t>
      </w: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default" w:ascii="Times New Roman" w:hAnsi="Times New Roman" w:eastAsia="仿宋_GB2312" w:cs="Times New Roman"/>
          <w:b/>
          <w:bCs/>
          <w:color w:val="auto"/>
          <w:sz w:val="32"/>
          <w:szCs w:val="32"/>
          <w:highlight w:val="none"/>
          <w:lang w:eastAsia="zh-CN"/>
        </w:rPr>
      </w:pPr>
    </w:p>
    <w:p>
      <w:pPr>
        <w:pStyle w:val="3"/>
        <w:jc w:val="center"/>
        <w:rPr>
          <w:rFonts w:hint="default" w:ascii="Times New Roman" w:hAnsi="Times New Roman" w:eastAsia="方正小标宋简体" w:cs="Times New Roman"/>
          <w:b w:val="0"/>
          <w:color w:val="auto"/>
          <w:highlight w:val="none"/>
        </w:rPr>
        <w:sectPr>
          <w:footerReference r:id="rId5" w:type="default"/>
          <w:pgSz w:w="11906" w:h="16838"/>
          <w:pgMar w:top="1440" w:right="1800" w:bottom="1440" w:left="1800" w:header="851" w:footer="992" w:gutter="0"/>
          <w:pgNumType w:fmt="decimal"/>
          <w:cols w:space="425" w:num="1"/>
          <w:docGrid w:type="lines" w:linePitch="312" w:charSpace="0"/>
        </w:sectPr>
      </w:pPr>
      <w:bookmarkStart w:id="6" w:name="_Toc15396599"/>
      <w:bookmarkStart w:id="7" w:name="_Toc15377196"/>
    </w:p>
    <w:p>
      <w:pPr>
        <w:pStyle w:val="3"/>
        <w:jc w:val="center"/>
        <w:rPr>
          <w:rFonts w:hint="default" w:ascii="Times New Roman" w:hAnsi="Times New Roman" w:eastAsia="黑体" w:cs="Times New Roman"/>
          <w:color w:val="auto"/>
          <w:sz w:val="32"/>
          <w:szCs w:val="32"/>
          <w:highlight w:val="none"/>
        </w:rPr>
      </w:pPr>
      <w:r>
        <w:rPr>
          <w:rFonts w:hint="default" w:ascii="Times New Roman" w:hAnsi="Times New Roman" w:eastAsia="方正小标宋简体" w:cs="Times New Roman"/>
          <w:b w:val="0"/>
          <w:color w:val="auto"/>
          <w:highlight w:val="none"/>
        </w:rPr>
        <w:t>第一部分</w:t>
      </w:r>
      <w:r>
        <w:rPr>
          <w:rFonts w:hint="default" w:ascii="Times New Roman" w:hAnsi="Times New Roman" w:eastAsia="方正小标宋简体" w:cs="Times New Roman"/>
          <w:b w:val="0"/>
          <w:color w:val="auto"/>
          <w:highlight w:val="none"/>
          <w:lang w:val="en-US" w:eastAsia="zh-CN"/>
        </w:rPr>
        <w:t xml:space="preserve"> </w:t>
      </w:r>
      <w:r>
        <w:rPr>
          <w:rFonts w:hint="default" w:ascii="Times New Roman" w:hAnsi="Times New Roman" w:eastAsia="方正小标宋简体" w:cs="Times New Roman"/>
          <w:b w:val="0"/>
          <w:color w:val="auto"/>
          <w:highlight w:val="none"/>
        </w:rPr>
        <w:t xml:space="preserve"> </w:t>
      </w:r>
      <w:r>
        <w:rPr>
          <w:rFonts w:hint="default" w:ascii="Times New Roman" w:hAnsi="Times New Roman" w:eastAsia="方正小标宋简体" w:cs="Times New Roman"/>
          <w:b w:val="0"/>
          <w:color w:val="auto"/>
          <w:highlight w:val="none"/>
          <w:lang w:eastAsia="zh-CN"/>
        </w:rPr>
        <w:t>单位</w:t>
      </w:r>
      <w:r>
        <w:rPr>
          <w:rStyle w:val="28"/>
          <w:rFonts w:hint="default" w:ascii="Times New Roman" w:hAnsi="Times New Roman" w:eastAsia="方正小标宋简体" w:cs="Times New Roman"/>
          <w:b w:val="0"/>
          <w:bCs w:val="0"/>
          <w:color w:val="auto"/>
          <w:highlight w:val="none"/>
        </w:rPr>
        <w:t>概况</w:t>
      </w:r>
      <w:bookmarkEnd w:id="6"/>
      <w:bookmarkEnd w:id="7"/>
    </w:p>
    <w:p>
      <w:pPr>
        <w:pStyle w:val="4"/>
        <w:numPr>
          <w:ilvl w:val="0"/>
          <w:numId w:val="0"/>
        </w:numPr>
        <w:ind w:firstLine="640" w:firstLineChars="200"/>
        <w:rPr>
          <w:rFonts w:hint="default" w:ascii="Times New Roman" w:hAnsi="Times New Roman" w:eastAsia="黑体" w:cs="Times New Roman"/>
          <w:b w:val="0"/>
          <w:color w:val="auto"/>
          <w:highlight w:val="none"/>
          <w:lang w:eastAsia="zh-CN"/>
        </w:rPr>
      </w:pPr>
      <w:r>
        <w:rPr>
          <w:rFonts w:hint="default" w:ascii="Times New Roman" w:hAnsi="Times New Roman" w:eastAsia="黑体" w:cs="Times New Roman"/>
          <w:b w:val="0"/>
          <w:color w:val="auto"/>
          <w:highlight w:val="none"/>
          <w:lang w:eastAsia="zh-CN"/>
        </w:rPr>
        <w:t>一、</w:t>
      </w:r>
      <w:r>
        <w:rPr>
          <w:rFonts w:hint="eastAsia" w:ascii="Times New Roman" w:hAnsi="Times New Roman" w:eastAsia="黑体" w:cs="Times New Roman"/>
          <w:b w:val="0"/>
          <w:color w:val="auto"/>
          <w:highlight w:val="none"/>
          <w:lang w:eastAsia="zh-CN"/>
        </w:rPr>
        <w:t>单位</w:t>
      </w:r>
      <w:r>
        <w:rPr>
          <w:rFonts w:hint="default" w:ascii="Times New Roman" w:hAnsi="Times New Roman" w:eastAsia="黑体" w:cs="Times New Roman"/>
          <w:b w:val="0"/>
          <w:color w:val="auto"/>
          <w:highlight w:val="none"/>
          <w:lang w:eastAsia="zh-CN"/>
        </w:rPr>
        <w:t>职责</w:t>
      </w:r>
    </w:p>
    <w:p>
      <w:pPr>
        <w:ind w:firstLine="800" w:firstLineChars="25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一）负责建立健全并执行各项生态环境基本制度。贯彻执行国家、省、市有关法律、法规、规章和政策，会同有关部门拟订并组织实施区域内生态环境政策、规划。组织编制环境功能区划，会同有关部门编制并监督实施重点区域、流域、饮用水水源地生态环境规划和水功能区划，参与制定与区域内生态环境相关的经济、技术、资源配置和产业政策。参与拟订并贯彻执行区域内主体功能区划。 </w:t>
      </w:r>
    </w:p>
    <w:p>
      <w:pPr>
        <w:ind w:firstLine="800" w:firstLineChars="25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二）负责区域内较大及以下生态环境问题的统筹协调和监督管理。牵头协调区域内较大及以下突发生态环境事件和生态破坏事件的调查处理，指导协调区域内生态环境事件的应急、预警工作，参与实施生态环境损害赔偿制度，协调解决有关跨区域环境污染纠纷。统筹协调区域内生态环境保护工作。 </w:t>
      </w:r>
    </w:p>
    <w:p>
      <w:pPr>
        <w:ind w:firstLine="800" w:firstLineChars="25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三）负责监督管理区域内减排目标的落实。组织实施区域内各类污染物排放总量控制和排污许可证制度，提出实施总量控制的污染物控制指标，督查、督办、核查污染物减排任务完成情况。实施生态环境目标责任制。 </w:t>
      </w:r>
    </w:p>
    <w:p>
      <w:pPr>
        <w:ind w:firstLine="800" w:firstLineChars="25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（四）负责提出区域内生态环境领域财政专项资金安排的建议。参与指导推动区域内循环经济和生态环保产业发展。 </w:t>
      </w:r>
    </w:p>
    <w:p>
      <w:pPr>
        <w:ind w:firstLine="800" w:firstLineChars="25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五）负责区域内生态环境污染防治的监督管理。组织制定并监督实施区域内大气、水、土壤、噪声、光、恶臭、固体废物、化学品、机动车等的污染防治管理制度。参与排污口设置管理工作，负责流域水环境保护工作，组织指导流域水环境治理。会同有关部门监督管理饮用水水源地生态环境保护工作，组织指导城乡生态环境综合整治工作，组织指导农业面源污染治理工作。监督指导区域大气环境保护工作，牵头建立区域大气污染联防联控协作机制并监督实施。按职责分工组织开展区域内强制性清洁生产审核工作。 </w:t>
      </w:r>
    </w:p>
    <w:p>
      <w:pPr>
        <w:ind w:firstLine="800" w:firstLineChars="25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六）指导协调和监督区域内生态保护修复工作。监督实施区域内生态保护规划，监督对生态环境有影响的自然资源开发利用活动、重要生态环境建设和生态破坏恢复工作。组织、指导绿色生态示范创建工作。监督实施区域内各类自然保护地生态环境监督制度，承担自然保护地、生态保护红线相关监管工作。监督野生动植物保护、湿地生态环境保护、荒漠化防治等工作。指导协调和监督农村生态环境保护，监督生物技术环境安全，牵头生物物种（含遗传资源）工作，组织协调生物多样性保护工作，参与生态保护补偿工作。 </w:t>
      </w:r>
    </w:p>
    <w:p>
      <w:pPr>
        <w:ind w:firstLine="800" w:firstLineChars="25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七）负责区域内核与辐射安全的监督管理。贯彻执行国家、省核与辐射安全法律、法规、规章、政策、规划和技术标准。负责辐射环境事故应急处理工作，参与核事故应急处理。监督管理放射源与射线装置安全，监督管理区域内核技术应用、电磁辐射、伴有放射性矿产资源开发利用中的污染防治。负责核与辐射建设项目“三同时”（同时设计、同时施工、同时投产使用）管理工作，参与对核材料的管制和民用核安全设备的设计、制造、安装和无损检验活动的监督管理。负责核与辐射环境监测和执法工作。参与反生化、核与辐射恐怖事件的防范和处理。 </w:t>
      </w:r>
    </w:p>
    <w:p>
      <w:pPr>
        <w:ind w:firstLine="800" w:firstLineChars="25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（八）负责区域内生态环境准入的监督管理。根据授权对建设项目环境影响评价文件进行审批，按规定审查开发建设区域、规划、项目环境影响评价文件。组织实施区域内生态环境准入清单。 </w:t>
      </w:r>
    </w:p>
    <w:p>
      <w:pPr>
        <w:ind w:firstLine="800" w:firstLineChars="25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九）负责区域内生态环境监测、统计和信息发布工作。监督执行国家、省颁布的各类环境标准，组织实施环境监测制度和规范相关工作。会同有关部门统一规划区域内生态环境质量监测站点设置，组织实施污染源监督性监测、执法监测、温室气体减排监测和应急监测，按要求做好生态环境质量监测相关工作。对区域生态环境质量状况进行调查评价、预警预测，参与建设和管理生态环境监测网和生态环境信息网。负责区域内生态环境质量考核和生态环境统计工作。实行生态环境质量公告制度，统一发布区域内生态环境综合性报告和重大环境信息。 </w:t>
      </w:r>
    </w:p>
    <w:p>
      <w:pPr>
        <w:ind w:firstLine="800" w:firstLineChars="25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（十）负责应对气候变化工作。组织实施国家、省应对气候变化及温室气体减排重大战略、规划和政策，组织实施区域内应对气候变化的规划和政策措施。 </w:t>
      </w:r>
    </w:p>
    <w:p>
      <w:pPr>
        <w:ind w:firstLine="800" w:firstLineChars="25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（十一）组织开展中央、省环保督察反馈问题的整改。贯彻执行中央、省生态环境保护督察制度。督促协调产业园区、乡镇（街道）和区域内有关部门整改突出环境问题。 </w:t>
      </w:r>
    </w:p>
    <w:p>
      <w:pPr>
        <w:ind w:firstLine="800" w:firstLineChars="25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（十二）负责区域内生态环境监督执法。组织开展区域内生态环境保护执法检查，根据授权查处生态环境违法问题。监督实施建设项目生态环境保护设施“三同时”制度。 </w:t>
      </w:r>
    </w:p>
    <w:p>
      <w:pPr>
        <w:ind w:firstLine="800" w:firstLineChars="25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十三）组织指导和协调区域内生态环境宣传教育工作。制定并组织实施区域内生态环境保护宣传教育有关规划和计划。推动社会组织和公众参与生态环境保护。会同有关部门依法对区域内保护和改善生态环境有显著成绩的单位和个人给予表扬和奖励。</w:t>
      </w:r>
    </w:p>
    <w:p>
      <w:pPr>
        <w:ind w:firstLine="800" w:firstLineChars="25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（十四）开展生态环境科技工作。管理区域内生态环境保护科技成果并推广应用。组织开展生态环境重大科学研究和技术工程示范，推动生态环境技术管理体系建设。 </w:t>
      </w:r>
    </w:p>
    <w:p>
      <w:pPr>
        <w:ind w:firstLine="800" w:firstLineChars="25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（十五）负责职责范围内安全生产和职业健康等工作。 </w:t>
      </w:r>
    </w:p>
    <w:p>
      <w:pPr>
        <w:ind w:firstLine="800" w:firstLineChars="25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十六）职能转变。统一行使区域内生态和城乡各类污染排放监管职责，按照国家、省确定的综合行政执法改革要求承担与此对应的行政执法职责，负责区域内生态环境质量监测、调查评价和考核，切实履行监管责任，加强事中事后监管，全面落实大气、水、土壤污染防治行动计划，强化固体废物、化学品、重金属污染防治监督管理。构建政府为主导、企业为主体、社会组织和公众共同参与的生态环境治理体系，实施最严格的生态环境保护制度，严守生态保护红线和环境质量底线，坚决打好污染防治攻坚战，筑牢长江上游生态屏障，保障生态安全。 </w:t>
      </w:r>
    </w:p>
    <w:p>
      <w:pPr>
        <w:pStyle w:val="4"/>
        <w:ind w:firstLine="640" w:firstLineChars="200"/>
        <w:rPr>
          <w:rStyle w:val="29"/>
          <w:rFonts w:hint="default" w:ascii="Times New Roman" w:hAnsi="Times New Roman" w:cs="Times New Roman"/>
          <w:b w:val="0"/>
          <w:bCs w:val="0"/>
          <w:color w:val="auto"/>
          <w:highlight w:val="none"/>
        </w:rPr>
      </w:pPr>
      <w:bookmarkStart w:id="8" w:name="_Toc15396601"/>
      <w:bookmarkStart w:id="9" w:name="_Toc15377200"/>
      <w:r>
        <w:rPr>
          <w:rFonts w:hint="default" w:ascii="Times New Roman" w:hAnsi="Times New Roman" w:eastAsia="黑体" w:cs="Times New Roman"/>
          <w:b w:val="0"/>
          <w:color w:val="auto"/>
          <w:highlight w:val="none"/>
          <w:lang w:eastAsia="zh-CN"/>
        </w:rPr>
        <w:t>二、</w:t>
      </w:r>
      <w:r>
        <w:rPr>
          <w:rFonts w:hint="default" w:ascii="Times New Roman" w:hAnsi="Times New Roman" w:eastAsia="黑体" w:cs="Times New Roman"/>
          <w:b w:val="0"/>
          <w:color w:val="auto"/>
          <w:highlight w:val="none"/>
        </w:rPr>
        <w:t>机</w:t>
      </w:r>
      <w:r>
        <w:rPr>
          <w:rStyle w:val="29"/>
          <w:rFonts w:hint="default" w:ascii="Times New Roman" w:hAnsi="Times New Roman" w:eastAsia="黑体" w:cs="Times New Roman"/>
          <w:b w:val="0"/>
          <w:bCs w:val="0"/>
          <w:color w:val="auto"/>
          <w:highlight w:val="none"/>
        </w:rPr>
        <w:t>构设置</w:t>
      </w:r>
      <w:bookmarkEnd w:id="8"/>
      <w:bookmarkEnd w:id="9"/>
    </w:p>
    <w:p>
      <w:pPr>
        <w:ind w:firstLine="800" w:firstLineChars="250"/>
        <w:rPr>
          <w:rFonts w:hint="default" w:ascii="Times New Roman" w:hAnsi="Times New Roman" w:eastAsia="仿宋_GB2312" w:cs="Times New Roman"/>
          <w:color w:val="auto"/>
          <w:kern w:val="2"/>
          <w:sz w:val="32"/>
          <w:szCs w:val="32"/>
          <w:highlight w:val="none"/>
          <w:lang w:val="en-US" w:eastAsia="zh-CN" w:bidi="ar-SA"/>
        </w:rPr>
      </w:pPr>
      <w:bookmarkStart w:id="10" w:name="_Toc15378448"/>
      <w:bookmarkStart w:id="11" w:name="_Toc15306275"/>
      <w:bookmarkStart w:id="12" w:name="_Toc15377201"/>
      <w:bookmarkStart w:id="13" w:name="_Toc15377432"/>
      <w:r>
        <w:rPr>
          <w:rFonts w:hint="default" w:ascii="Times New Roman" w:hAnsi="Times New Roman" w:eastAsia="仿宋_GB2312" w:cs="Times New Roman"/>
          <w:color w:val="auto"/>
          <w:kern w:val="2"/>
          <w:sz w:val="32"/>
          <w:szCs w:val="32"/>
          <w:highlight w:val="none"/>
          <w:lang w:val="en-US" w:eastAsia="zh-CN" w:bidi="ar-SA"/>
        </w:rPr>
        <w:t>仁和生态环境局属二级预算单位，内设机构为办公室、综合业务股、污染防治股。共核定行政编制7名，科级领导职数4名。</w:t>
      </w:r>
    </w:p>
    <w:p>
      <w:pPr>
        <w:pStyle w:val="2"/>
        <w:adjustRightInd w:val="0"/>
        <w:snapToGrid w:val="0"/>
        <w:spacing w:before="93" w:line="600" w:lineRule="exact"/>
        <w:ind w:firstLine="640" w:firstLineChars="200"/>
        <w:jc w:val="lef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纳入仁和生态环境局2024年度部门决算编制范围的独立编制机构包括：1、攀枝花市仁和生态环境局；2、攀枝花市生态环境保护综合行政执法支队仁和大队。</w:t>
      </w:r>
    </w:p>
    <w:bookmarkEnd w:id="10"/>
    <w:bookmarkEnd w:id="11"/>
    <w:bookmarkEnd w:id="12"/>
    <w:bookmarkEnd w:id="13"/>
    <w:p>
      <w:pPr>
        <w:widowControl/>
        <w:jc w:val="left"/>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sz w:val="32"/>
          <w:szCs w:val="32"/>
          <w:highlight w:val="none"/>
        </w:rPr>
        <w:br w:type="page"/>
      </w:r>
    </w:p>
    <w:p>
      <w:pPr>
        <w:pStyle w:val="3"/>
        <w:jc w:val="center"/>
        <w:rPr>
          <w:rFonts w:hint="default" w:ascii="Times New Roman" w:hAnsi="Times New Roman" w:cs="Times New Roman"/>
          <w:color w:val="auto"/>
          <w:highlight w:val="none"/>
        </w:rPr>
      </w:pPr>
      <w:bookmarkStart w:id="14" w:name="_Toc15377204"/>
      <w:bookmarkStart w:id="15" w:name="_Toc15396602"/>
      <w:r>
        <w:rPr>
          <w:rFonts w:hint="default" w:ascii="Times New Roman" w:hAnsi="Times New Roman" w:eastAsia="方正小标宋简体" w:cs="Times New Roman"/>
          <w:b w:val="0"/>
          <w:color w:val="auto"/>
          <w:highlight w:val="none"/>
        </w:rPr>
        <w:t>第二部分</w:t>
      </w:r>
      <w:r>
        <w:rPr>
          <w:rFonts w:hint="default" w:ascii="Times New Roman" w:hAnsi="Times New Roman" w:eastAsia="方正小标宋简体" w:cs="Times New Roman"/>
          <w:b w:val="0"/>
          <w:color w:val="auto"/>
          <w:highlight w:val="none"/>
          <w:lang w:val="en-US" w:eastAsia="zh-CN"/>
        </w:rPr>
        <w:t xml:space="preserve"> </w:t>
      </w:r>
      <w:r>
        <w:rPr>
          <w:rFonts w:hint="default" w:ascii="Times New Roman" w:hAnsi="Times New Roman" w:eastAsia="方正小标宋简体" w:cs="Times New Roman"/>
          <w:b w:val="0"/>
          <w:color w:val="auto"/>
          <w:highlight w:val="none"/>
        </w:rPr>
        <w:t xml:space="preserve"> </w:t>
      </w:r>
      <w:r>
        <w:rPr>
          <w:rFonts w:hint="default" w:ascii="Times New Roman" w:hAnsi="Times New Roman" w:eastAsia="方正小标宋简体" w:cs="Times New Roman"/>
          <w:b w:val="0"/>
          <w:color w:val="auto"/>
          <w:highlight w:val="none"/>
          <w:lang w:val="en-US" w:eastAsia="zh-CN"/>
        </w:rPr>
        <w:t>2024年度单位</w:t>
      </w:r>
      <w:r>
        <w:rPr>
          <w:rFonts w:hint="default" w:ascii="Times New Roman" w:hAnsi="Times New Roman" w:eastAsia="方正小标宋简体" w:cs="Times New Roman"/>
          <w:b w:val="0"/>
          <w:color w:val="auto"/>
          <w:highlight w:val="none"/>
        </w:rPr>
        <w:t>决算情况说明</w:t>
      </w:r>
      <w:bookmarkEnd w:id="14"/>
      <w:bookmarkEnd w:id="15"/>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default" w:ascii="Times New Roman" w:hAnsi="Times New Roman" w:eastAsia="黑体" w:cs="Times New Roman"/>
          <w:b w:val="0"/>
          <w:color w:val="auto"/>
          <w:highlight w:val="none"/>
        </w:rPr>
      </w:pPr>
      <w:bookmarkStart w:id="16" w:name="_Toc15377205"/>
      <w:bookmarkStart w:id="17" w:name="_Toc15396603"/>
      <w:r>
        <w:rPr>
          <w:rFonts w:hint="default" w:ascii="Times New Roman" w:hAnsi="Times New Roman" w:eastAsia="黑体" w:cs="Times New Roman"/>
          <w:color w:val="auto"/>
          <w:sz w:val="32"/>
          <w:szCs w:val="32"/>
          <w:highlight w:val="none"/>
          <w:lang w:eastAsia="zh-CN"/>
        </w:rPr>
        <w:t>一、</w:t>
      </w:r>
      <w:r>
        <w:rPr>
          <w:rFonts w:hint="default" w:ascii="Times New Roman" w:hAnsi="Times New Roman" w:eastAsia="黑体" w:cs="Times New Roman"/>
          <w:color w:val="auto"/>
          <w:sz w:val="32"/>
          <w:szCs w:val="32"/>
          <w:highlight w:val="none"/>
        </w:rPr>
        <w:t>收</w:t>
      </w:r>
      <w:r>
        <w:rPr>
          <w:rStyle w:val="29"/>
          <w:rFonts w:hint="default" w:ascii="Times New Roman" w:hAnsi="Times New Roman" w:eastAsia="黑体" w:cs="Times New Roman"/>
          <w:b w:val="0"/>
          <w:color w:val="auto"/>
          <w:highlight w:val="none"/>
        </w:rPr>
        <w:t>入支出决算总体情况说明</w:t>
      </w:r>
      <w:bookmarkEnd w:id="16"/>
      <w:bookmarkEnd w:id="17"/>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2024年度收入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总计</w:t>
      </w:r>
      <w:r>
        <w:rPr>
          <w:rFonts w:hint="default" w:ascii="Times New Roman" w:hAnsi="Times New Roman" w:eastAsia="仿宋_GB2312" w:cs="Times New Roman"/>
          <w:color w:val="auto"/>
          <w:sz w:val="32"/>
          <w:szCs w:val="32"/>
          <w:highlight w:val="none"/>
          <w:lang w:eastAsia="zh-CN"/>
        </w:rPr>
        <w:t>均为</w:t>
      </w:r>
      <w:r>
        <w:rPr>
          <w:rFonts w:hint="default" w:ascii="Times New Roman" w:hAnsi="Times New Roman" w:eastAsia="仿宋_GB2312" w:cs="Times New Roman"/>
          <w:sz w:val="32"/>
          <w:szCs w:val="32"/>
        </w:rPr>
        <w:t>1053.29</w:t>
      </w:r>
      <w:r>
        <w:rPr>
          <w:rFonts w:hint="default" w:ascii="Times New Roman" w:hAnsi="Times New Roman" w:eastAsia="仿宋_GB2312" w:cs="Times New Roman"/>
          <w:color w:val="auto"/>
          <w:sz w:val="32"/>
          <w:szCs w:val="32"/>
          <w:highlight w:val="none"/>
        </w:rPr>
        <w:t>万元。与</w:t>
      </w: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相比，</w:t>
      </w:r>
      <w:r>
        <w:rPr>
          <w:rFonts w:hint="default" w:ascii="Times New Roman" w:hAnsi="Times New Roman" w:eastAsia="仿宋_GB2312" w:cs="Times New Roman"/>
          <w:color w:val="auto"/>
          <w:sz w:val="32"/>
          <w:szCs w:val="32"/>
          <w:highlight w:val="none"/>
          <w:lang w:eastAsia="zh-CN"/>
        </w:rPr>
        <w:t>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总计各增加</w:t>
      </w:r>
      <w:r>
        <w:rPr>
          <w:rFonts w:hint="default" w:ascii="Times New Roman" w:hAnsi="Times New Roman" w:eastAsia="仿宋_GB2312" w:cs="Times New Roman"/>
          <w:color w:val="auto"/>
          <w:sz w:val="32"/>
          <w:szCs w:val="32"/>
          <w:highlight w:val="none"/>
          <w:lang w:val="en-US" w:eastAsia="zh-CN"/>
        </w:rPr>
        <w:t>478.47</w:t>
      </w:r>
      <w:r>
        <w:rPr>
          <w:rFonts w:hint="default" w:ascii="Times New Roman" w:hAnsi="Times New Roman" w:eastAsia="仿宋_GB2312" w:cs="Times New Roman"/>
          <w:color w:val="auto"/>
          <w:sz w:val="32"/>
          <w:szCs w:val="32"/>
          <w:highlight w:val="none"/>
        </w:rPr>
        <w:t>万元，增长/下降</w:t>
      </w:r>
      <w:r>
        <w:rPr>
          <w:rFonts w:hint="default" w:ascii="Times New Roman" w:hAnsi="Times New Roman" w:eastAsia="仿宋_GB2312" w:cs="Times New Roman"/>
          <w:color w:val="auto"/>
          <w:sz w:val="32"/>
          <w:szCs w:val="32"/>
          <w:highlight w:val="none"/>
          <w:lang w:val="en-US" w:eastAsia="zh-CN"/>
        </w:rPr>
        <w:t>83.24</w:t>
      </w:r>
      <w:r>
        <w:rPr>
          <w:rFonts w:hint="default" w:ascii="Times New Roman" w:hAnsi="Times New Roman" w:eastAsia="仿宋_GB2312" w:cs="Times New Roman"/>
          <w:color w:val="auto"/>
          <w:sz w:val="32"/>
          <w:szCs w:val="32"/>
          <w:highlight w:val="none"/>
        </w:rPr>
        <w:t>%。主要变动原因是</w:t>
      </w:r>
      <w:r>
        <w:rPr>
          <w:rFonts w:hint="default" w:ascii="Times New Roman" w:hAnsi="Times New Roman" w:eastAsia="仿宋_GB2312" w:cs="Times New Roman"/>
          <w:color w:val="auto"/>
          <w:sz w:val="32"/>
          <w:szCs w:val="32"/>
          <w:highlight w:val="none"/>
          <w:lang w:eastAsia="zh-CN"/>
        </w:rPr>
        <w:t>市区财政安排专项资金增加。</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 w:cs="Times New Roman"/>
          <w:lang w:eastAsia="zh-CN"/>
        </w:rPr>
        <w:drawing>
          <wp:inline distT="0" distB="0" distL="114300" distR="114300">
            <wp:extent cx="5080000" cy="381000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val="0"/>
        <w:kinsoku/>
        <w:wordWrap/>
        <w:overflowPunct/>
        <w:topLinePunct w:val="0"/>
        <w:autoSpaceDE/>
        <w:autoSpaceDN/>
        <w:bidi w:val="0"/>
        <w:adjustRightInd/>
        <w:snapToGrid/>
        <w:ind w:firstLine="1280" w:firstLineChars="400"/>
        <w:textAlignment w:val="auto"/>
        <w:rPr>
          <w:rFonts w:hint="default" w:ascii="Times New Roman" w:hAnsi="Times New Roman" w:eastAsia="仿宋_GB2312" w:cs="Times New Roman"/>
          <w:color w:val="auto"/>
          <w:sz w:val="32"/>
          <w:szCs w:val="32"/>
          <w:highlight w:val="none"/>
          <w:lang w:eastAsia="zh-CN"/>
        </w:rPr>
      </w:pPr>
      <w:bookmarkStart w:id="18" w:name="_Toc15377206"/>
      <w:bookmarkStart w:id="19" w:name="_Toc15396604"/>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图1：</w:t>
      </w:r>
      <w:r>
        <w:rPr>
          <w:rFonts w:hint="default" w:ascii="Times New Roman" w:hAnsi="Times New Roman" w:eastAsia="仿宋_GB2312" w:cs="Times New Roman"/>
          <w:color w:val="auto"/>
          <w:sz w:val="32"/>
          <w:szCs w:val="32"/>
          <w:highlight w:val="none"/>
          <w:lang w:eastAsia="zh-CN"/>
        </w:rPr>
        <w:t>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决算总计变动情况图</w:t>
      </w:r>
      <w:r>
        <w:rPr>
          <w:rFonts w:hint="default" w:ascii="Times New Roman" w:hAnsi="Times New Roman" w:eastAsia="仿宋_GB2312" w:cs="Times New Roman"/>
          <w:color w:val="auto"/>
          <w:sz w:val="32"/>
          <w:szCs w:val="32"/>
          <w:highlight w:val="none"/>
          <w:lang w:val="en-US" w:eastAsia="zh-CN"/>
        </w:rPr>
        <w:t xml:space="preserve"> </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二、收入决算情况说明</w:t>
      </w:r>
      <w:bookmarkEnd w:id="18"/>
      <w:bookmarkEnd w:id="19"/>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2024年度本年收入合计</w:t>
      </w:r>
      <w:r>
        <w:rPr>
          <w:rFonts w:hint="default" w:ascii="Times New Roman" w:hAnsi="Times New Roman" w:eastAsia="仿宋_GB2312" w:cs="Times New Roman"/>
          <w:sz w:val="32"/>
          <w:szCs w:val="32"/>
        </w:rPr>
        <w:t>1033.59万元，其中：一般公共预算财政拨款收入303.19</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29.33</w:t>
      </w:r>
      <w:r>
        <w:rPr>
          <w:rFonts w:hint="default" w:ascii="Times New Roman" w:hAnsi="Times New Roman" w:eastAsia="仿宋_GB2312" w:cs="Times New Roman"/>
          <w:color w:val="auto"/>
          <w:sz w:val="32"/>
          <w:szCs w:val="32"/>
          <w:highlight w:val="none"/>
          <w:lang w:eastAsia="zh-CN"/>
        </w:rPr>
        <w:t>%；其他收入</w:t>
      </w:r>
      <w:r>
        <w:rPr>
          <w:rFonts w:hint="default" w:ascii="Times New Roman" w:hAnsi="Times New Roman" w:eastAsia="仿宋_GB2312" w:cs="Times New Roman"/>
          <w:sz w:val="32"/>
          <w:szCs w:val="32"/>
        </w:rPr>
        <w:t>730.4</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70.6</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color w:val="auto"/>
          <w:sz w:val="32"/>
          <w:szCs w:val="32"/>
          <w:highlight w:val="none"/>
          <w:lang w:eastAsia="zh-CN"/>
        </w:rPr>
        <w:t>%。</w:t>
      </w:r>
    </w:p>
    <w:p>
      <w:pPr>
        <w:pStyle w:val="2"/>
        <w:rPr>
          <w:rFonts w:hint="default" w:ascii="Times New Roman" w:hAnsi="Times New Roman" w:cs="Times New Roman"/>
          <w:lang w:val="en-US" w:eastAsia="zh-CN"/>
        </w:rPr>
      </w:pPr>
      <w:r>
        <w:rPr>
          <w:rFonts w:hint="default" w:ascii="Times New Roman" w:hAnsi="Times New Roman" w:cs="Times New Roman"/>
          <w:color w:val="auto"/>
          <w:sz w:val="32"/>
          <w:szCs w:val="32"/>
          <w:highlight w:val="none"/>
          <w:lang w:val="en-US" w:eastAsia="zh-CN"/>
        </w:rPr>
        <w:t xml:space="preserve">  </w:t>
      </w:r>
      <w:r>
        <w:rPr>
          <w:rFonts w:hint="default" w:ascii="Times New Roman" w:hAnsi="Times New Roman" w:eastAsia="仿宋_GB2312" w:cs="Times New Roman"/>
          <w:lang w:eastAsia="zh-CN"/>
        </w:rPr>
        <w:drawing>
          <wp:inline distT="0" distB="0" distL="114300" distR="114300">
            <wp:extent cx="4565650" cy="2782570"/>
            <wp:effectExtent l="4445" t="4445" r="20955" b="1333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ind w:firstLine="800" w:firstLineChars="250"/>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图2：收入决算结构图</w:t>
      </w:r>
      <w:r>
        <w:rPr>
          <w:rFonts w:hint="eastAsia" w:eastAsia="仿宋_GB2312" w:cs="Times New Roman"/>
          <w:color w:val="auto"/>
          <w:sz w:val="32"/>
          <w:szCs w:val="32"/>
          <w:highlight w:val="none"/>
          <w:lang w:val="en-US" w:eastAsia="zh-CN"/>
        </w:rPr>
        <w:t xml:space="preserve"> </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default" w:ascii="Times New Roman" w:hAnsi="Times New Roman" w:eastAsia="黑体" w:cs="Times New Roman"/>
          <w:b w:val="0"/>
          <w:color w:val="auto"/>
          <w:highlight w:val="none"/>
        </w:rPr>
      </w:pPr>
      <w:bookmarkStart w:id="20" w:name="_Toc15396605"/>
      <w:bookmarkStart w:id="21" w:name="_Toc15377207"/>
      <w:r>
        <w:rPr>
          <w:rFonts w:hint="default"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rPr>
        <w:t>支</w:t>
      </w:r>
      <w:r>
        <w:rPr>
          <w:rStyle w:val="29"/>
          <w:rFonts w:hint="default" w:ascii="Times New Roman" w:hAnsi="Times New Roman" w:eastAsia="黑体" w:cs="Times New Roman"/>
          <w:b w:val="0"/>
          <w:color w:val="auto"/>
          <w:highlight w:val="none"/>
        </w:rPr>
        <w:t>出决算情况说明</w:t>
      </w:r>
      <w:bookmarkEnd w:id="20"/>
      <w:bookmarkEnd w:id="21"/>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2024年度本年支出合计</w:t>
      </w:r>
      <w:r>
        <w:rPr>
          <w:rFonts w:hint="default" w:ascii="Times New Roman" w:hAnsi="Times New Roman" w:eastAsia="仿宋_GB2312" w:cs="Times New Roman"/>
          <w:sz w:val="32"/>
          <w:szCs w:val="32"/>
        </w:rPr>
        <w:t>1033.59</w:t>
      </w:r>
      <w:r>
        <w:rPr>
          <w:rFonts w:hint="default" w:ascii="Times New Roman" w:hAnsi="Times New Roman" w:eastAsia="仿宋_GB2312" w:cs="Times New Roman"/>
          <w:color w:val="auto"/>
          <w:sz w:val="32"/>
          <w:szCs w:val="32"/>
          <w:highlight w:val="none"/>
          <w:lang w:eastAsia="zh-CN"/>
        </w:rPr>
        <w:t>万元，其中：基本支出</w:t>
      </w:r>
      <w:r>
        <w:rPr>
          <w:rFonts w:hint="default" w:ascii="Times New Roman" w:hAnsi="Times New Roman" w:eastAsia="仿宋_GB2312" w:cs="Times New Roman"/>
          <w:sz w:val="32"/>
          <w:szCs w:val="32"/>
        </w:rPr>
        <w:t>337.41</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32.64</w:t>
      </w:r>
      <w:r>
        <w:rPr>
          <w:rFonts w:hint="default" w:ascii="Times New Roman" w:hAnsi="Times New Roman" w:eastAsia="仿宋_GB2312" w:cs="Times New Roman"/>
          <w:color w:val="auto"/>
          <w:sz w:val="32"/>
          <w:szCs w:val="32"/>
          <w:highlight w:val="none"/>
          <w:lang w:eastAsia="zh-CN"/>
        </w:rPr>
        <w:t>%；项目支出</w:t>
      </w:r>
      <w:r>
        <w:rPr>
          <w:rFonts w:hint="default" w:ascii="Times New Roman" w:hAnsi="Times New Roman" w:eastAsia="仿宋_GB2312" w:cs="Times New Roman"/>
          <w:sz w:val="32"/>
          <w:szCs w:val="32"/>
        </w:rPr>
        <w:t>696.18</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67.3</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color w:val="auto"/>
          <w:sz w:val="32"/>
          <w:szCs w:val="32"/>
          <w:highlight w:val="none"/>
          <w:lang w:eastAsia="zh-CN"/>
        </w:rPr>
        <w:t>%。</w:t>
      </w:r>
    </w:p>
    <w:p>
      <w:pPr>
        <w:ind w:firstLine="525" w:firstLineChars="25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 w:cs="Times New Roman"/>
          <w:lang w:eastAsia="zh-CN"/>
        </w:rPr>
        <w:drawing>
          <wp:inline distT="0" distB="0" distL="114300" distR="114300">
            <wp:extent cx="4537075" cy="3286125"/>
            <wp:effectExtent l="4445" t="4445" r="11430" b="508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ind w:firstLine="800" w:firstLineChars="250"/>
        <w:rPr>
          <w:rFonts w:hint="default" w:ascii="Times New Roman" w:hAnsi="Times New Roman" w:eastAsia="仿宋_GB2312" w:cs="Times New Roman"/>
          <w:color w:val="auto"/>
          <w:sz w:val="32"/>
          <w:szCs w:val="32"/>
          <w:highlight w:val="none"/>
          <w:lang w:val="en-US" w:eastAsia="zh-CN"/>
        </w:rPr>
      </w:pPr>
      <w:bookmarkStart w:id="22" w:name="_Toc15377208"/>
      <w:bookmarkStart w:id="23" w:name="_Toc15396606"/>
      <w:r>
        <w:rPr>
          <w:rFonts w:hint="eastAsia"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图3：支出决算结构图</w:t>
      </w:r>
      <w:r>
        <w:rPr>
          <w:rFonts w:hint="eastAsia" w:eastAsia="仿宋_GB2312" w:cs="Times New Roman"/>
          <w:color w:val="auto"/>
          <w:sz w:val="32"/>
          <w:szCs w:val="32"/>
          <w:highlight w:val="none"/>
          <w:lang w:val="en-US" w:eastAsia="zh-CN"/>
        </w:rPr>
        <w:t xml:space="preserve"> </w:t>
      </w:r>
    </w:p>
    <w:p>
      <w:pPr>
        <w:spacing w:line="600" w:lineRule="exact"/>
        <w:ind w:firstLine="640" w:firstLineChars="200"/>
        <w:outlineLvl w:val="1"/>
        <w:rPr>
          <w:rStyle w:val="29"/>
          <w:rFonts w:hint="default" w:ascii="Times New Roman" w:hAnsi="Times New Roman" w:eastAsia="黑体" w:cs="Times New Roman"/>
          <w:b w:val="0"/>
          <w:color w:val="auto"/>
          <w:highlight w:val="none"/>
        </w:rPr>
      </w:pPr>
      <w:r>
        <w:rPr>
          <w:rFonts w:hint="default" w:ascii="Times New Roman" w:hAnsi="Times New Roman" w:eastAsia="黑体" w:cs="Times New Roman"/>
          <w:color w:val="auto"/>
          <w:sz w:val="32"/>
          <w:szCs w:val="32"/>
          <w:highlight w:val="none"/>
        </w:rPr>
        <w:t>四、财</w:t>
      </w:r>
      <w:r>
        <w:rPr>
          <w:rStyle w:val="29"/>
          <w:rFonts w:hint="default" w:ascii="Times New Roman" w:hAnsi="Times New Roman" w:eastAsia="黑体" w:cs="Times New Roman"/>
          <w:b w:val="0"/>
          <w:color w:val="auto"/>
          <w:highlight w:val="none"/>
        </w:rPr>
        <w:t>政拨款收入支出决算总体情况说明</w:t>
      </w:r>
      <w:bookmarkEnd w:id="22"/>
      <w:bookmarkEnd w:id="23"/>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2024年度财政拨款收入、支出总计均为</w:t>
      </w:r>
      <w:r>
        <w:rPr>
          <w:rFonts w:hint="default" w:ascii="Times New Roman" w:hAnsi="Times New Roman" w:eastAsia="仿宋_GB2312" w:cs="Times New Roman"/>
          <w:sz w:val="32"/>
          <w:szCs w:val="32"/>
        </w:rPr>
        <w:t>303.19</w:t>
      </w:r>
      <w:r>
        <w:rPr>
          <w:rFonts w:hint="default" w:ascii="Times New Roman" w:hAnsi="Times New Roman" w:eastAsia="仿宋_GB2312" w:cs="Times New Roman"/>
          <w:color w:val="auto"/>
          <w:kern w:val="2"/>
          <w:sz w:val="32"/>
          <w:szCs w:val="32"/>
          <w:highlight w:val="none"/>
          <w:lang w:val="en-US" w:eastAsia="zh-CN" w:bidi="ar-SA"/>
        </w:rPr>
        <w:t>万元。与2023年度相比，财政拨款收入总计、支出总计各增加36.51万元，增长13.69%。主要变动原因是安排空气质量管控等专项项目资金。</w:t>
      </w:r>
    </w:p>
    <w:p>
      <w:pPr>
        <w:pStyle w:val="2"/>
        <w:rPr>
          <w:rFonts w:hint="default" w:ascii="Times New Roman" w:hAnsi="Times New Roman" w:eastAsia="仿宋" w:cs="Times New Roman"/>
          <w:color w:val="auto"/>
          <w:kern w:val="2"/>
          <w:sz w:val="30"/>
          <w:szCs w:val="30"/>
          <w:highlight w:val="none"/>
          <w:lang w:val="en-US" w:eastAsia="zh-CN" w:bidi="ar-SA"/>
        </w:rPr>
      </w:pPr>
      <w:r>
        <w:rPr>
          <w:rFonts w:hint="default" w:ascii="Times New Roman" w:hAnsi="Times New Roman" w:eastAsia="仿宋" w:cs="Times New Roman"/>
          <w:color w:val="auto"/>
          <w:kern w:val="2"/>
          <w:sz w:val="30"/>
          <w:szCs w:val="30"/>
          <w:highlight w:val="none"/>
          <w:lang w:val="en-US" w:eastAsia="zh-CN" w:bidi="ar-SA"/>
        </w:rPr>
        <w:t xml:space="preserve">     </w:t>
      </w:r>
      <w:r>
        <w:rPr>
          <w:rFonts w:hint="default" w:ascii="Times New Roman" w:hAnsi="Times New Roman" w:eastAsia="仿宋" w:cs="Times New Roman"/>
          <w:sz w:val="30"/>
          <w:szCs w:val="30"/>
          <w:lang w:eastAsia="zh-CN"/>
        </w:rPr>
        <w:object>
          <v:shape id="_x0000_i1025" o:spt="75" type="#_x0000_t75" style="height:226pt;width:372.75pt;" o:ole="t" filled="f" o:preferrelative="t" stroked="f" coordsize="21600,21600">
            <v:path/>
            <v:fill on="f" focussize="0,0"/>
            <v:stroke on="f"/>
            <v:imagedata r:id="rId12" o:title=""/>
            <o:lock v:ext="edit" aspectratio="t"/>
            <w10:wrap type="none"/>
            <w10:anchorlock/>
          </v:shape>
          <o:OLEObject Type="Embed" ProgID="Excel.Chart.8" ShapeID="_x0000_i1025" DrawAspect="Content" ObjectID="_1468075725" r:id="rId11">
            <o:LockedField>false</o:LockedField>
          </o:OLEObject>
        </w:object>
      </w:r>
    </w:p>
    <w:p>
      <w:pPr>
        <w:spacing w:line="60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bookmarkStart w:id="24" w:name="_Toc15396607"/>
      <w:bookmarkStart w:id="25" w:name="_Toc15377209"/>
      <w:r>
        <w:rPr>
          <w:rFonts w:hint="eastAsia" w:eastAsia="仿宋_GB2312" w:cs="Times New Roman"/>
          <w:color w:val="auto"/>
          <w:kern w:val="2"/>
          <w:sz w:val="32"/>
          <w:szCs w:val="32"/>
          <w:highlight w:val="none"/>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图4：财政拨款收、支决算总计变动情况</w:t>
      </w:r>
      <w:r>
        <w:rPr>
          <w:rFonts w:hint="eastAsia" w:eastAsia="仿宋_GB2312" w:cs="Times New Roman"/>
          <w:color w:val="auto"/>
          <w:kern w:val="2"/>
          <w:sz w:val="32"/>
          <w:szCs w:val="32"/>
          <w:highlight w:val="none"/>
          <w:lang w:val="en-US" w:eastAsia="zh-CN" w:bidi="ar-SA"/>
        </w:rPr>
        <w:t xml:space="preserve"> </w:t>
      </w:r>
    </w:p>
    <w:p>
      <w:pPr>
        <w:spacing w:line="600" w:lineRule="exact"/>
        <w:ind w:firstLine="640" w:firstLineChars="200"/>
        <w:outlineLvl w:val="1"/>
        <w:rPr>
          <w:rStyle w:val="29"/>
          <w:rFonts w:hint="default" w:ascii="Times New Roman" w:hAnsi="Times New Roman" w:eastAsia="黑体" w:cs="Times New Roman"/>
          <w:b w:val="0"/>
          <w:color w:val="auto"/>
          <w:highlight w:val="none"/>
        </w:rPr>
      </w:pPr>
      <w:r>
        <w:rPr>
          <w:rFonts w:hint="default" w:ascii="Times New Roman" w:hAnsi="Times New Roman" w:eastAsia="黑体" w:cs="Times New Roman"/>
          <w:color w:val="auto"/>
          <w:sz w:val="32"/>
          <w:szCs w:val="32"/>
          <w:highlight w:val="none"/>
        </w:rPr>
        <w:t>五、</w:t>
      </w:r>
      <w:r>
        <w:rPr>
          <w:rFonts w:hint="default" w:ascii="Times New Roman" w:hAnsi="Times New Roman" w:eastAsia="黑体" w:cs="Times New Roman"/>
          <w:b/>
          <w:color w:val="auto"/>
          <w:sz w:val="32"/>
          <w:szCs w:val="32"/>
          <w:highlight w:val="none"/>
        </w:rPr>
        <w:t>一</w:t>
      </w:r>
      <w:r>
        <w:rPr>
          <w:rStyle w:val="29"/>
          <w:rFonts w:hint="default" w:ascii="Times New Roman" w:hAnsi="Times New Roman" w:eastAsia="黑体" w:cs="Times New Roman"/>
          <w:b w:val="0"/>
          <w:color w:val="auto"/>
          <w:highlight w:val="none"/>
        </w:rPr>
        <w:t>般公共预算财政拨款支出决算情况说明</w:t>
      </w:r>
      <w:bookmarkEnd w:id="24"/>
      <w:bookmarkEnd w:id="25"/>
    </w:p>
    <w:p>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26" w:name="_Toc15377210"/>
      <w:r>
        <w:rPr>
          <w:rFonts w:hint="default" w:ascii="Times New Roman" w:hAnsi="Times New Roman" w:eastAsia="楷体_GB2312" w:cs="Times New Roman"/>
          <w:b/>
          <w:color w:val="auto"/>
          <w:sz w:val="32"/>
          <w:szCs w:val="32"/>
          <w:highlight w:val="none"/>
        </w:rPr>
        <w:t>（一）一般公共预算财政拨款支出决算总体情况</w:t>
      </w:r>
      <w:bookmarkEnd w:id="26"/>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w:t>
      </w:r>
      <w:r>
        <w:rPr>
          <w:rFonts w:hint="default" w:ascii="Times New Roman" w:hAnsi="Times New Roman" w:eastAsia="仿宋_GB2312" w:cs="Times New Roman"/>
          <w:sz w:val="32"/>
          <w:szCs w:val="32"/>
        </w:rPr>
        <w:t>303.19</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29.33</w:t>
      </w:r>
      <w:r>
        <w:rPr>
          <w:rFonts w:hint="default" w:ascii="Times New Roman" w:hAnsi="Times New Roman" w:eastAsia="仿宋_GB2312" w:cs="Times New Roman"/>
          <w:color w:val="auto"/>
          <w:kern w:val="2"/>
          <w:sz w:val="32"/>
          <w:szCs w:val="32"/>
          <w:highlight w:val="none"/>
          <w:lang w:val="en-US" w:eastAsia="zh-CN" w:bidi="ar-SA"/>
        </w:rPr>
        <w:t>%。与2023年度相比，一般公共预算财政拨款支出增加36.51万元，增长13.69%。主要变动原因是安排空气质量管控等专项项目资金。</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pPr>
        <w:pStyle w:val="2"/>
        <w:rPr>
          <w:rFonts w:hint="default" w:ascii="Times New Roman" w:hAnsi="Times New Roman" w:eastAsia="仿宋" w:cs="Times New Roman"/>
          <w:lang w:eastAsia="zh-CN"/>
        </w:rPr>
      </w:pPr>
      <w:bookmarkStart w:id="27" w:name="_Toc15377211"/>
      <w:r>
        <w:rPr>
          <w:rFonts w:hint="default" w:ascii="Times New Roman" w:hAnsi="Times New Roman" w:eastAsia="仿宋" w:cs="Times New Roman"/>
          <w:sz w:val="30"/>
          <w:szCs w:val="30"/>
          <w:lang w:eastAsia="zh-CN"/>
        </w:rPr>
        <w:object>
          <v:shape id="_x0000_i1026" o:spt="75" type="#_x0000_t75" style="height:226pt;width:372.75pt;" o:ole="t" filled="f" o:preferrelative="t" stroked="f" coordsize="21600,21600">
            <v:path/>
            <v:fill on="f" focussize="0,0"/>
            <v:stroke on="f"/>
            <v:imagedata r:id="rId14" o:title=""/>
            <o:lock v:ext="edit" aspectratio="t"/>
            <w10:wrap type="none"/>
            <w10:anchorlock/>
          </v:shape>
          <o:OLEObject Type="Embed" ProgID="Excel.Chart.8" ShapeID="_x0000_i1026" DrawAspect="Content" ObjectID="_1468075726" r:id="rId13">
            <o:LockedField>false</o:LockedField>
          </o:OLEObject>
        </w:objec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图5：一般公共预算财政拨款支出决算变动情况</w:t>
      </w:r>
      <w:r>
        <w:rPr>
          <w:rFonts w:hint="eastAsia" w:eastAsia="仿宋_GB2312" w:cs="Times New Roman"/>
          <w:color w:val="auto"/>
          <w:kern w:val="2"/>
          <w:sz w:val="32"/>
          <w:szCs w:val="32"/>
          <w:highlight w:val="none"/>
          <w:lang w:val="en-US" w:eastAsia="zh-CN" w:bidi="ar-SA"/>
        </w:rPr>
        <w:t xml:space="preserve"> </w:t>
      </w:r>
    </w:p>
    <w:p>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（二）一般公共预算财政拨款支出决算结构情况</w:t>
      </w:r>
      <w:bookmarkEnd w:id="27"/>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w:t>
      </w:r>
      <w:r>
        <w:rPr>
          <w:rFonts w:hint="default" w:ascii="Times New Roman" w:hAnsi="Times New Roman" w:eastAsia="仿宋_GB2312" w:cs="Times New Roman"/>
          <w:sz w:val="32"/>
          <w:szCs w:val="32"/>
        </w:rPr>
        <w:t>303.19</w:t>
      </w:r>
      <w:r>
        <w:rPr>
          <w:rFonts w:hint="default" w:ascii="Times New Roman" w:hAnsi="Times New Roman" w:eastAsia="仿宋_GB2312" w:cs="Times New Roman"/>
          <w:color w:val="auto"/>
          <w:kern w:val="2"/>
          <w:sz w:val="32"/>
          <w:szCs w:val="32"/>
          <w:highlight w:val="none"/>
          <w:lang w:val="en-US" w:eastAsia="zh-CN" w:bidi="ar-SA"/>
        </w:rPr>
        <w:t>万元，主要用于以下方面：社会保障和就业支出35.42万元，占11.68%；卫生健康支出20.17万元，占6.65%；</w:t>
      </w:r>
      <w:r>
        <w:rPr>
          <w:rFonts w:hint="default" w:ascii="Times New Roman" w:hAnsi="Times New Roman" w:eastAsia="仿宋" w:cs="Times New Roman"/>
          <w:b w:val="0"/>
          <w:bCs/>
          <w:sz w:val="32"/>
          <w:szCs w:val="32"/>
          <w:lang w:eastAsia="zh-CN"/>
        </w:rPr>
        <w:t>节能环保</w:t>
      </w:r>
      <w:r>
        <w:rPr>
          <w:rFonts w:hint="default" w:ascii="Times New Roman" w:hAnsi="Times New Roman" w:eastAsia="仿宋" w:cs="Times New Roman"/>
          <w:b w:val="0"/>
          <w:bCs/>
          <w:sz w:val="32"/>
          <w:szCs w:val="32"/>
        </w:rPr>
        <w:t>支出</w:t>
      </w:r>
      <w:r>
        <w:rPr>
          <w:rFonts w:hint="default" w:ascii="Times New Roman" w:hAnsi="Times New Roman" w:eastAsia="仿宋" w:cs="Times New Roman"/>
          <w:b w:val="0"/>
          <w:bCs/>
          <w:sz w:val="32"/>
          <w:szCs w:val="32"/>
          <w:lang w:val="en-US" w:eastAsia="zh-CN"/>
        </w:rPr>
        <w:t>222.42</w:t>
      </w:r>
      <w:r>
        <w:rPr>
          <w:rFonts w:hint="default" w:ascii="Times New Roman" w:hAnsi="Times New Roman" w:eastAsia="仿宋" w:cs="Times New Roman"/>
          <w:b w:val="0"/>
          <w:bCs/>
          <w:sz w:val="32"/>
          <w:szCs w:val="32"/>
        </w:rPr>
        <w:t>万元，占</w:t>
      </w:r>
      <w:r>
        <w:rPr>
          <w:rFonts w:hint="default" w:ascii="Times New Roman" w:hAnsi="Times New Roman" w:eastAsia="仿宋" w:cs="Times New Roman"/>
          <w:b w:val="0"/>
          <w:bCs/>
          <w:sz w:val="32"/>
          <w:szCs w:val="32"/>
          <w:lang w:val="en-US" w:eastAsia="zh-CN"/>
        </w:rPr>
        <w:t>73.36</w:t>
      </w:r>
      <w:r>
        <w:rPr>
          <w:rFonts w:hint="default" w:ascii="Times New Roman" w:hAnsi="Times New Roman" w:eastAsia="仿宋" w:cs="Times New Roman"/>
          <w:b w:val="0"/>
          <w:bCs/>
          <w:sz w:val="32"/>
          <w:szCs w:val="32"/>
        </w:rPr>
        <w:t>%</w:t>
      </w:r>
      <w:r>
        <w:rPr>
          <w:rFonts w:hint="default" w:ascii="Times New Roman" w:hAnsi="Times New Roman" w:eastAsia="仿宋" w:cs="Times New Roman"/>
          <w:b w:val="0"/>
          <w:bCs/>
          <w:sz w:val="32"/>
          <w:szCs w:val="32"/>
          <w:lang w:eastAsia="zh-CN"/>
        </w:rPr>
        <w:t>；</w:t>
      </w:r>
      <w:r>
        <w:rPr>
          <w:rFonts w:hint="default" w:ascii="Times New Roman" w:hAnsi="Times New Roman" w:eastAsia="仿宋_GB2312" w:cs="Times New Roman"/>
          <w:color w:val="auto"/>
          <w:kern w:val="2"/>
          <w:sz w:val="32"/>
          <w:szCs w:val="32"/>
          <w:highlight w:val="none"/>
          <w:lang w:val="en-US" w:eastAsia="zh-CN" w:bidi="ar-SA"/>
        </w:rPr>
        <w:t>住房保障支出25.18万元，占8.31%。</w:t>
      </w:r>
    </w:p>
    <w:p>
      <w:pPr>
        <w:pStyle w:val="2"/>
        <w:rPr>
          <w:rFonts w:hint="default" w:ascii="Times New Roman" w:hAnsi="Times New Roman" w:cs="Times New Roman"/>
          <w:lang w:val="en-US" w:eastAsia="zh-CN"/>
        </w:rPr>
      </w:pPr>
      <w:r>
        <w:rPr>
          <w:rFonts w:hint="default" w:ascii="Times New Roman" w:hAnsi="Times New Roman" w:eastAsia="仿宋" w:cs="Times New Roman"/>
          <w:lang w:eastAsia="zh-CN"/>
        </w:rPr>
        <w:drawing>
          <wp:inline distT="0" distB="0" distL="114300" distR="114300">
            <wp:extent cx="4556760" cy="2514600"/>
            <wp:effectExtent l="4445" t="4445" r="10795"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bookmarkStart w:id="28" w:name="_Toc15377212"/>
      <w:r>
        <w:rPr>
          <w:rFonts w:hint="eastAsia" w:eastAsia="仿宋_GB2312" w:cs="Times New Roman"/>
          <w:color w:val="auto"/>
          <w:kern w:val="2"/>
          <w:sz w:val="32"/>
          <w:szCs w:val="32"/>
          <w:highlight w:val="none"/>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图6：一般公共预算财政拨款支出决算结构</w:t>
      </w:r>
      <w:r>
        <w:rPr>
          <w:rFonts w:hint="eastAsia" w:eastAsia="仿宋_GB2312" w:cs="Times New Roman"/>
          <w:color w:val="auto"/>
          <w:kern w:val="2"/>
          <w:sz w:val="32"/>
          <w:szCs w:val="32"/>
          <w:highlight w:val="none"/>
          <w:lang w:val="en-US" w:eastAsia="zh-CN" w:bidi="ar-SA"/>
        </w:rPr>
        <w:t xml:space="preserve"> </w:t>
      </w:r>
    </w:p>
    <w:p>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（三）一般公共预算财政拨款支出决算具体情况</w:t>
      </w:r>
      <w:bookmarkEnd w:id="28"/>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bookmarkStart w:id="29" w:name="_Toc15377444"/>
      <w:bookmarkStart w:id="30" w:name="_Toc15377213"/>
      <w:bookmarkStart w:id="31" w:name="_Toc15378460"/>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2024年度一般公共预算财政拨款支出决算数为</w:t>
      </w:r>
      <w:r>
        <w:rPr>
          <w:rFonts w:hint="default" w:ascii="Times New Roman" w:hAnsi="Times New Roman" w:eastAsia="仿宋_GB2312" w:cs="Times New Roman"/>
          <w:sz w:val="32"/>
          <w:szCs w:val="32"/>
        </w:rPr>
        <w:t>303.19</w:t>
      </w:r>
      <w:r>
        <w:rPr>
          <w:rFonts w:hint="eastAsia" w:eastAsia="仿宋_GB2312" w:cs="Times New Roman"/>
          <w:sz w:val="32"/>
          <w:szCs w:val="32"/>
          <w:lang w:eastAsia="zh-CN"/>
        </w:rPr>
        <w:t>万元</w:t>
      </w:r>
      <w:r>
        <w:rPr>
          <w:rFonts w:hint="default" w:ascii="Times New Roman" w:hAnsi="Times New Roman" w:eastAsia="仿宋_GB2312" w:cs="Times New Roman"/>
          <w:color w:val="auto"/>
          <w:kern w:val="2"/>
          <w:sz w:val="32"/>
          <w:szCs w:val="32"/>
          <w:highlight w:val="none"/>
          <w:lang w:val="en-US" w:eastAsia="zh-CN" w:bidi="ar-SA"/>
        </w:rPr>
        <w:t>，完成预算100%。其中：</w:t>
      </w:r>
      <w:bookmarkEnd w:id="29"/>
      <w:bookmarkEnd w:id="30"/>
      <w:bookmarkEnd w:id="31"/>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1.社会保障和就业（类）行政事业单位养老支出（款）行政单位离退休（项）: 支出决算为0.39万元，完成预算100%。</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2.社会保障和就业（类）行政事业单位养老支出（款）机关事业单位基本养老保险缴费支出（项）: 支出决算为30.71万元，完成预算100%。</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3.社会保障和就业（类）行政事业单位养老支出（款）机关事业单位职业年金缴费支出（项）: 支出决算为4.32万元，完成预算100%</w:t>
      </w:r>
      <w:r>
        <w:rPr>
          <w:rFonts w:hint="eastAsia" w:eastAsia="仿宋_GB2312" w:cs="Times New Roman"/>
          <w:color w:val="auto"/>
          <w:kern w:val="2"/>
          <w:sz w:val="32"/>
          <w:szCs w:val="32"/>
          <w:highlight w:val="none"/>
          <w:lang w:val="en-US" w:eastAsia="zh-CN" w:bidi="ar-SA"/>
        </w:rPr>
        <w:t>。</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4.卫生健康支出（类）行政事业单位医疗（款）行政单位医疗（项）: 支出决算为16.16万元，完成预算100%。</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5.卫生健康（类）公务员医疗补助（款）公务员医疗补助（项）:支出决算为1.94万元，完成预算100%。</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6.卫生健康（类）公务员医疗补助（款）其他行政事业单位医疗支出（项）:支出决算为2.07万元，完成预算100%。          </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7.节能环保支出（类）环境保护管理事务（款）行政运行（项）:支出决算为180.46万元，完成预算100%。</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8.节能环保支出（类）污染防治（款）其他污染防治支出（项）:支出决算为41.96万元，完成预算100%。</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9.住房保障支出（类）住房改革支出（款）住房公积金（项）:支出决算为25.18万元，完成预算100%。</w:t>
      </w:r>
    </w:p>
    <w:p>
      <w:pPr>
        <w:tabs>
          <w:tab w:val="right" w:pos="8306"/>
        </w:tabs>
        <w:spacing w:line="600" w:lineRule="exact"/>
        <w:ind w:firstLine="640"/>
        <w:outlineLvl w:val="1"/>
        <w:rPr>
          <w:rFonts w:hint="default" w:ascii="Times New Roman" w:hAnsi="Times New Roman" w:eastAsia="黑体" w:cs="Times New Roman"/>
          <w:color w:val="auto"/>
          <w:sz w:val="32"/>
          <w:szCs w:val="32"/>
          <w:highlight w:val="none"/>
        </w:rPr>
      </w:pPr>
      <w:bookmarkStart w:id="32" w:name="_Toc15377214"/>
      <w:bookmarkStart w:id="33" w:name="_Toc15396608"/>
    </w:p>
    <w:p>
      <w:pPr>
        <w:tabs>
          <w:tab w:val="right" w:pos="8306"/>
        </w:tabs>
        <w:spacing w:line="600" w:lineRule="exact"/>
        <w:ind w:firstLine="640"/>
        <w:outlineLvl w:val="1"/>
        <w:rPr>
          <w:rStyle w:val="29"/>
          <w:rFonts w:hint="default" w:ascii="Times New Roman" w:hAnsi="Times New Roman" w:cs="Times New Roman"/>
          <w:color w:val="auto"/>
          <w:highlight w:val="none"/>
        </w:rPr>
      </w:pPr>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b/>
          <w:color w:val="auto"/>
          <w:sz w:val="32"/>
          <w:szCs w:val="32"/>
          <w:highlight w:val="none"/>
        </w:rPr>
        <w:t>、一</w:t>
      </w:r>
      <w:r>
        <w:rPr>
          <w:rStyle w:val="29"/>
          <w:rFonts w:hint="default" w:ascii="Times New Roman" w:hAnsi="Times New Roman" w:eastAsia="黑体" w:cs="Times New Roman"/>
          <w:b w:val="0"/>
          <w:color w:val="auto"/>
          <w:highlight w:val="none"/>
        </w:rPr>
        <w:t>般公共预算财政拨款基本支出决算情况说明</w:t>
      </w:r>
      <w:bookmarkEnd w:id="32"/>
      <w:bookmarkEnd w:id="33"/>
      <w:r>
        <w:rPr>
          <w:rStyle w:val="29"/>
          <w:rFonts w:hint="default" w:ascii="Times New Roman" w:hAnsi="Times New Roman" w:eastAsia="黑体" w:cs="Times New Roman"/>
          <w:b w:val="0"/>
          <w:color w:val="auto"/>
          <w:highlight w:val="none"/>
        </w:rPr>
        <w:tab/>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2024年度一般公共预算财政拨款基本支出</w:t>
      </w:r>
      <w:r>
        <w:rPr>
          <w:rFonts w:hint="default" w:ascii="Times New Roman" w:hAnsi="Times New Roman" w:eastAsia="仿宋_GB2312" w:cs="Times New Roman"/>
          <w:sz w:val="32"/>
          <w:szCs w:val="32"/>
        </w:rPr>
        <w:t>261.2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color w:val="auto"/>
          <w:kern w:val="2"/>
          <w:sz w:val="32"/>
          <w:szCs w:val="32"/>
          <w:highlight w:val="none"/>
          <w:lang w:val="en-US" w:eastAsia="zh-CN" w:bidi="ar-SA"/>
        </w:rPr>
        <w:t>万元，其中：</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人员经费</w:t>
      </w:r>
      <w:r>
        <w:rPr>
          <w:rFonts w:hint="default" w:ascii="Times New Roman" w:hAnsi="Times New Roman" w:eastAsia="仿宋_GB2312" w:cs="Times New Roman"/>
          <w:sz w:val="32"/>
          <w:szCs w:val="32"/>
        </w:rPr>
        <w:t>222.3</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color w:val="auto"/>
          <w:kern w:val="2"/>
          <w:sz w:val="32"/>
          <w:szCs w:val="32"/>
          <w:highlight w:val="none"/>
          <w:lang w:val="en-US" w:eastAsia="zh-CN" w:bidi="ar-SA"/>
        </w:rPr>
        <w:t>万元，主要包括：基本工资、津贴补贴、奖金、机关事业单位基本养老保险缴费、职业年金缴费、职工基本医疗保险缴费、公务员医疗补助缴费、其他社会保障缴费、生活补助、医疗费补助、奖励金、住房公积金等。</w:t>
      </w:r>
      <w:r>
        <w:rPr>
          <w:rFonts w:hint="default" w:ascii="Times New Roman" w:hAnsi="Times New Roman" w:eastAsia="仿宋_GB2312" w:cs="Times New Roman"/>
          <w:color w:val="auto"/>
          <w:kern w:val="2"/>
          <w:sz w:val="32"/>
          <w:szCs w:val="32"/>
          <w:highlight w:val="none"/>
          <w:lang w:val="en-US" w:eastAsia="zh-CN" w:bidi="ar-SA"/>
        </w:rPr>
        <w:br w:type="textWrapping"/>
      </w:r>
      <w:r>
        <w:rPr>
          <w:rFonts w:hint="default" w:ascii="Times New Roman" w:hAnsi="Times New Roman" w:eastAsia="仿宋_GB2312" w:cs="Times New Roman"/>
          <w:color w:val="auto"/>
          <w:kern w:val="2"/>
          <w:sz w:val="32"/>
          <w:szCs w:val="32"/>
          <w:highlight w:val="none"/>
          <w:lang w:val="en-US" w:eastAsia="zh-CN" w:bidi="ar-SA"/>
        </w:rPr>
        <w:t>　　公用经费</w:t>
      </w:r>
      <w:r>
        <w:rPr>
          <w:rFonts w:hint="default" w:ascii="Times New Roman" w:hAnsi="Times New Roman" w:eastAsia="仿宋_GB2312" w:cs="Times New Roman"/>
          <w:sz w:val="32"/>
          <w:szCs w:val="32"/>
        </w:rPr>
        <w:t>38.89</w:t>
      </w:r>
      <w:r>
        <w:rPr>
          <w:rFonts w:hint="default" w:ascii="Times New Roman" w:hAnsi="Times New Roman" w:eastAsia="仿宋_GB2312" w:cs="Times New Roman"/>
          <w:color w:val="auto"/>
          <w:kern w:val="2"/>
          <w:sz w:val="32"/>
          <w:szCs w:val="32"/>
          <w:highlight w:val="none"/>
          <w:lang w:val="en-US" w:eastAsia="zh-CN" w:bidi="ar-SA"/>
        </w:rPr>
        <w:t>万元，主要包括：办公费、咨询费、水费、电费、邮电费、差旅费、维修（护）费、公务接待费、委托业务费、工会经费、福利费、其他交通费、其他商品和服务支出等。</w:t>
      </w:r>
    </w:p>
    <w:p>
      <w:pPr>
        <w:spacing w:line="600" w:lineRule="exact"/>
        <w:ind w:firstLine="640"/>
        <w:outlineLvl w:val="1"/>
        <w:rPr>
          <w:rStyle w:val="29"/>
          <w:rFonts w:hint="default" w:ascii="Times New Roman" w:hAnsi="Times New Roman" w:eastAsia="黑体" w:cs="Times New Roman"/>
          <w:b w:val="0"/>
          <w:color w:val="auto"/>
          <w:highlight w:val="none"/>
        </w:rPr>
      </w:pPr>
      <w:bookmarkStart w:id="34" w:name="_Toc15396609"/>
      <w:bookmarkStart w:id="35" w:name="_Toc15377215"/>
      <w:r>
        <w:rPr>
          <w:rFonts w:hint="default" w:ascii="Times New Roman" w:hAnsi="Times New Roman" w:eastAsia="黑体" w:cs="Times New Roman"/>
          <w:color w:val="auto"/>
          <w:sz w:val="32"/>
          <w:szCs w:val="32"/>
          <w:highlight w:val="none"/>
        </w:rPr>
        <w:t>七、</w:t>
      </w:r>
      <w:r>
        <w:rPr>
          <w:rStyle w:val="29"/>
          <w:rFonts w:hint="default" w:ascii="Times New Roman" w:hAnsi="Times New Roman" w:eastAsia="黑体" w:cs="Times New Roman"/>
          <w:b w:val="0"/>
          <w:color w:val="auto"/>
          <w:highlight w:val="none"/>
        </w:rPr>
        <w:t>财政拨款</w:t>
      </w:r>
      <w:r>
        <w:rPr>
          <w:rStyle w:val="29"/>
          <w:rFonts w:hint="default" w:ascii="Times New Roman" w:hAnsi="Times New Roman" w:eastAsia="黑体" w:cs="Times New Roman"/>
          <w:color w:val="auto"/>
          <w:highlight w:val="none"/>
        </w:rPr>
        <w:t>“</w:t>
      </w:r>
      <w:r>
        <w:rPr>
          <w:rStyle w:val="29"/>
          <w:rFonts w:hint="default" w:ascii="Times New Roman" w:hAnsi="Times New Roman" w:eastAsia="黑体" w:cs="Times New Roman"/>
          <w:b w:val="0"/>
          <w:color w:val="auto"/>
          <w:highlight w:val="none"/>
        </w:rPr>
        <w:t>三公”经费支出决算情况说明</w:t>
      </w:r>
      <w:bookmarkEnd w:id="34"/>
      <w:bookmarkEnd w:id="35"/>
    </w:p>
    <w:p>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36" w:name="_Toc15377216"/>
      <w:r>
        <w:rPr>
          <w:rFonts w:hint="default" w:ascii="Times New Roman" w:hAnsi="Times New Roman" w:eastAsia="楷体_GB2312" w:cs="Times New Roman"/>
          <w:b/>
          <w:color w:val="auto"/>
          <w:sz w:val="32"/>
          <w:szCs w:val="32"/>
          <w:highlight w:val="none"/>
        </w:rPr>
        <w:t>（一）“三公”经费财政拨款支出决算总体情况说明</w:t>
      </w:r>
      <w:bookmarkEnd w:id="36"/>
    </w:p>
    <w:p>
      <w:pPr>
        <w:spacing w:line="600" w:lineRule="exact"/>
        <w:ind w:firstLine="640"/>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2024年度“三公”经费财政拨款支出决算为</w:t>
      </w:r>
      <w:r>
        <w:rPr>
          <w:rFonts w:hint="default" w:ascii="Times New Roman" w:hAnsi="Times New Roman" w:eastAsia="仿宋_GB2312" w:cs="Times New Roman"/>
          <w:sz w:val="32"/>
          <w:szCs w:val="32"/>
        </w:rPr>
        <w:t>0.92</w:t>
      </w:r>
      <w:r>
        <w:rPr>
          <w:rFonts w:hint="default" w:ascii="Times New Roman" w:hAnsi="Times New Roman" w:eastAsia="仿宋_GB2312" w:cs="Times New Roman"/>
          <w:color w:val="auto"/>
          <w:kern w:val="2"/>
          <w:sz w:val="32"/>
          <w:szCs w:val="32"/>
          <w:highlight w:val="none"/>
          <w:lang w:val="en-US" w:eastAsia="zh-CN" w:bidi="ar-SA"/>
        </w:rPr>
        <w:t>万元，完成预算</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kern w:val="2"/>
          <w:sz w:val="32"/>
          <w:szCs w:val="32"/>
          <w:highlight w:val="none"/>
          <w:lang w:val="en-US" w:eastAsia="zh-CN" w:bidi="ar-SA"/>
        </w:rPr>
        <w:t>%，较上年度增加0.73万元，增长384.21%。决算数与预算数持平。</w:t>
      </w:r>
    </w:p>
    <w:p>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37" w:name="_Toc15377217"/>
      <w:r>
        <w:rPr>
          <w:rFonts w:hint="default" w:ascii="Times New Roman" w:hAnsi="Times New Roman" w:eastAsia="楷体_GB2312" w:cs="Times New Roman"/>
          <w:b/>
          <w:color w:val="auto"/>
          <w:sz w:val="32"/>
          <w:szCs w:val="32"/>
          <w:highlight w:val="none"/>
        </w:rPr>
        <w:t>（二）“三公”经费财政拨款支出决算具体情况说明</w:t>
      </w:r>
      <w:bookmarkEnd w:id="37"/>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2024年度“三公”经费财政拨款支出决算中，因公出国（境）费支出决算</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万元，占0%；公务用车购置及运行维护费支出决算</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万元，占0%；公务接待费支出决算</w:t>
      </w:r>
      <w:r>
        <w:rPr>
          <w:rFonts w:hint="default" w:ascii="Times New Roman" w:hAnsi="Times New Roman" w:eastAsia="仿宋_GB2312" w:cs="Times New Roman"/>
          <w:sz w:val="32"/>
          <w:szCs w:val="32"/>
        </w:rPr>
        <w:t>0.92</w:t>
      </w:r>
      <w:r>
        <w:rPr>
          <w:rFonts w:hint="default" w:ascii="Times New Roman" w:hAnsi="Times New Roman" w:eastAsia="仿宋_GB2312" w:cs="Times New Roman"/>
          <w:color w:val="auto"/>
          <w:kern w:val="2"/>
          <w:sz w:val="32"/>
          <w:szCs w:val="32"/>
          <w:highlight w:val="none"/>
          <w:lang w:val="en-US" w:eastAsia="zh-CN" w:bidi="ar-SA"/>
        </w:rPr>
        <w:t>万元，占100%。具体情况如下：</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pPr>
        <w:pStyle w:val="2"/>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r>
        <w:rPr>
          <w:rFonts w:hint="default" w:ascii="Times New Roman" w:hAnsi="Times New Roman" w:eastAsia="仿宋" w:cs="Times New Roman"/>
          <w:lang w:eastAsia="zh-CN"/>
        </w:rPr>
        <w:drawing>
          <wp:inline distT="0" distB="0" distL="114300" distR="114300">
            <wp:extent cx="4660900" cy="2668270"/>
            <wp:effectExtent l="4445" t="4445" r="20955" b="1333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line="600" w:lineRule="exact"/>
        <w:ind w:firstLine="640"/>
        <w:rPr>
          <w:rFonts w:hint="eastAsia"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图7：“三公”经费财政拨款支出结构</w:t>
      </w:r>
      <w:r>
        <w:rPr>
          <w:rFonts w:hint="eastAsia" w:eastAsia="仿宋_GB2312" w:cs="Times New Roman"/>
          <w:color w:val="auto"/>
          <w:kern w:val="2"/>
          <w:sz w:val="32"/>
          <w:szCs w:val="32"/>
          <w:highlight w:val="none"/>
          <w:lang w:val="en-US" w:eastAsia="zh-CN" w:bidi="ar-SA"/>
        </w:rPr>
        <w:t xml:space="preserve"> </w:t>
      </w:r>
    </w:p>
    <w:p>
      <w:pPr>
        <w:spacing w:line="600" w:lineRule="exact"/>
        <w:ind w:firstLine="64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bCs/>
          <w:color w:val="auto"/>
          <w:kern w:val="2"/>
          <w:sz w:val="32"/>
          <w:szCs w:val="32"/>
          <w:highlight w:val="none"/>
          <w:lang w:val="en-US" w:eastAsia="zh-CN" w:bidi="ar-SA"/>
        </w:rPr>
        <w:t>1.因公出国（境）经费支出0万元，完成预算</w:t>
      </w:r>
      <w:r>
        <w:rPr>
          <w:rFonts w:hint="eastAsia" w:eastAsia="仿宋_GB2312" w:cs="Times New Roman"/>
          <w:b/>
          <w:bCs/>
          <w:color w:val="auto"/>
          <w:kern w:val="2"/>
          <w:sz w:val="32"/>
          <w:szCs w:val="32"/>
          <w:highlight w:val="none"/>
          <w:lang w:val="en-US" w:eastAsia="zh-CN" w:bidi="ar-SA"/>
        </w:rPr>
        <w:t>10</w:t>
      </w:r>
      <w:r>
        <w:rPr>
          <w:rFonts w:hint="default" w:ascii="Times New Roman" w:hAnsi="Times New Roman" w:eastAsia="仿宋_GB2312" w:cs="Times New Roman"/>
          <w:b/>
          <w:bCs/>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全年安排因公出国（境）团组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次，出国（境）</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人。</w:t>
      </w:r>
      <w:r>
        <w:rPr>
          <w:rFonts w:hint="default" w:ascii="Times New Roman" w:hAnsi="Times New Roman" w:eastAsia="仿宋_GB2312" w:cs="Times New Roman"/>
          <w:b w:val="0"/>
          <w:bCs/>
          <w:sz w:val="32"/>
          <w:szCs w:val="32"/>
        </w:rPr>
        <w:t>因公出国（境）支出决算</w:t>
      </w:r>
      <w:r>
        <w:rPr>
          <w:rFonts w:hint="default" w:ascii="Times New Roman" w:hAnsi="Times New Roman" w:eastAsia="仿宋_GB2312" w:cs="Times New Roman"/>
          <w:b w:val="0"/>
          <w:bCs/>
          <w:sz w:val="32"/>
          <w:szCs w:val="32"/>
          <w:lang w:eastAsia="zh-CN"/>
        </w:rPr>
        <w:t>与</w:t>
      </w:r>
      <w:r>
        <w:rPr>
          <w:rFonts w:hint="default" w:ascii="Times New Roman" w:hAnsi="Times New Roman" w:eastAsia="仿宋_GB2312" w:cs="Times New Roman"/>
          <w:b w:val="0"/>
          <w:bCs/>
          <w:sz w:val="32"/>
          <w:szCs w:val="32"/>
        </w:rPr>
        <w:t>202</w:t>
      </w:r>
      <w:r>
        <w:rPr>
          <w:rFonts w:hint="default" w:ascii="Times New Roman" w:hAnsi="Times New Roman" w:eastAsia="仿宋_GB2312" w:cs="Times New Roman"/>
          <w:b w:val="0"/>
          <w:bCs/>
          <w:sz w:val="32"/>
          <w:szCs w:val="32"/>
          <w:lang w:val="en-US" w:eastAsia="zh-CN"/>
        </w:rPr>
        <w:t>3</w:t>
      </w:r>
      <w:r>
        <w:rPr>
          <w:rFonts w:hint="default" w:ascii="Times New Roman" w:hAnsi="Times New Roman" w:eastAsia="仿宋_GB2312" w:cs="Times New Roman"/>
          <w:b w:val="0"/>
          <w:bCs/>
          <w:sz w:val="32"/>
          <w:szCs w:val="32"/>
        </w:rPr>
        <w:t>年</w:t>
      </w:r>
      <w:r>
        <w:rPr>
          <w:rFonts w:hint="default" w:ascii="Times New Roman" w:hAnsi="Times New Roman" w:eastAsia="仿宋_GB2312" w:cs="Times New Roman"/>
          <w:b w:val="0"/>
          <w:bCs/>
          <w:sz w:val="32"/>
          <w:szCs w:val="32"/>
          <w:lang w:eastAsia="zh-CN"/>
        </w:rPr>
        <w:t>持平，主要原因是</w:t>
      </w:r>
      <w:r>
        <w:rPr>
          <w:rFonts w:hint="default" w:ascii="Times New Roman" w:hAnsi="Times New Roman" w:eastAsia="仿宋_GB2312" w:cs="Times New Roman"/>
          <w:b w:val="0"/>
          <w:bCs/>
          <w:sz w:val="32"/>
          <w:szCs w:val="32"/>
          <w:lang w:val="en-US" w:eastAsia="zh-CN"/>
        </w:rPr>
        <w:t>2023年、2024年两年无因公出国(境）支出</w:t>
      </w:r>
      <w:r>
        <w:rPr>
          <w:rFonts w:hint="default" w:ascii="Times New Roman" w:hAnsi="Times New Roman" w:eastAsia="仿宋_GB2312" w:cs="Times New Roman"/>
          <w:b w:val="0"/>
          <w:bCs/>
          <w:sz w:val="32"/>
          <w:szCs w:val="32"/>
        </w:rPr>
        <w:t>。</w:t>
      </w:r>
    </w:p>
    <w:p>
      <w:pPr>
        <w:spacing w:line="600" w:lineRule="exact"/>
        <w:ind w:firstLine="640" w:firstLineChars="200"/>
        <w:jc w:val="left"/>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lang w:val="en-US" w:eastAsia="zh-CN"/>
        </w:rPr>
        <w:t>2.公务用车购置及运行维护费支出0万元，完成预算0%。</w:t>
      </w:r>
      <w:r>
        <w:rPr>
          <w:rFonts w:hint="default" w:ascii="Times New Roman" w:hAnsi="Times New Roman" w:eastAsia="仿宋_GB2312" w:cs="Times New Roman"/>
          <w:b w:val="0"/>
          <w:bCs/>
          <w:sz w:val="32"/>
          <w:szCs w:val="32"/>
          <w:lang w:eastAsia="zh-CN"/>
        </w:rPr>
        <w:t>公务用车购置及运行维护费支出决算与202</w:t>
      </w:r>
      <w:r>
        <w:rPr>
          <w:rFonts w:hint="default" w:ascii="Times New Roman" w:hAnsi="Times New Roman" w:eastAsia="仿宋_GB2312" w:cs="Times New Roman"/>
          <w:b w:val="0"/>
          <w:bCs/>
          <w:sz w:val="32"/>
          <w:szCs w:val="32"/>
          <w:lang w:val="en-US" w:eastAsia="zh-CN"/>
        </w:rPr>
        <w:t>3</w:t>
      </w:r>
      <w:r>
        <w:rPr>
          <w:rFonts w:hint="default" w:ascii="Times New Roman" w:hAnsi="Times New Roman" w:eastAsia="仿宋_GB2312" w:cs="Times New Roman"/>
          <w:b w:val="0"/>
          <w:bCs/>
          <w:sz w:val="32"/>
          <w:szCs w:val="32"/>
          <w:lang w:eastAsia="zh-CN"/>
        </w:rPr>
        <w:t>年度持</w:t>
      </w:r>
      <w:r>
        <w:rPr>
          <w:rFonts w:hint="eastAsia" w:eastAsia="仿宋_GB2312" w:cs="Times New Roman"/>
          <w:b w:val="0"/>
          <w:bCs/>
          <w:sz w:val="32"/>
          <w:szCs w:val="32"/>
          <w:lang w:eastAsia="zh-CN"/>
        </w:rPr>
        <w:t>平</w:t>
      </w:r>
      <w:r>
        <w:rPr>
          <w:rFonts w:hint="default" w:ascii="Times New Roman" w:hAnsi="Times New Roman" w:eastAsia="仿宋_GB2312" w:cs="Times New Roman"/>
          <w:b w:val="0"/>
          <w:bCs/>
          <w:sz w:val="32"/>
          <w:szCs w:val="32"/>
          <w:lang w:eastAsia="zh-CN"/>
        </w:rPr>
        <w:t>，主要原因</w:t>
      </w:r>
      <w:r>
        <w:rPr>
          <w:rFonts w:hint="default" w:ascii="Times New Roman" w:hAnsi="Times New Roman" w:eastAsia="仿宋_GB2312" w:cs="Times New Roman"/>
          <w:b w:val="0"/>
          <w:bCs/>
          <w:sz w:val="32"/>
          <w:szCs w:val="32"/>
          <w:lang w:val="en-US" w:eastAsia="zh-CN"/>
        </w:rPr>
        <w:t>2023年、2024年无公务用车购置及运行维护费支出</w:t>
      </w:r>
      <w:r>
        <w:rPr>
          <w:rFonts w:hint="default" w:ascii="Times New Roman" w:hAnsi="Times New Roman" w:eastAsia="仿宋_GB2312" w:cs="Times New Roman"/>
          <w:b w:val="0"/>
          <w:bCs/>
          <w:sz w:val="32"/>
          <w:szCs w:val="32"/>
          <w:lang w:eastAsia="zh-CN"/>
        </w:rPr>
        <w:t>。</w:t>
      </w:r>
    </w:p>
    <w:p>
      <w:pPr>
        <w:spacing w:line="60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其中：公务用车购置支出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万元。全年按规定更新购置公务用车0辆。截至2024年12月31日，单位共有公务用车0辆。</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公务用车运行维护费支出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3.公务接待费支出0.92万元，完成预算100%。</w:t>
      </w:r>
      <w:r>
        <w:rPr>
          <w:rFonts w:hint="default" w:ascii="Times New Roman" w:hAnsi="Times New Roman" w:eastAsia="仿宋_GB2312" w:cs="Times New Roman"/>
          <w:color w:val="auto"/>
          <w:kern w:val="2"/>
          <w:sz w:val="32"/>
          <w:szCs w:val="32"/>
          <w:highlight w:val="none"/>
          <w:lang w:val="en-US" w:eastAsia="zh-CN" w:bidi="ar-SA"/>
        </w:rPr>
        <w:t>公务接待费支出决算比2023年度增加0.73万元，增长384.21%。主要原因是增加第三轮中央、省环保督察检查接待。其中：</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国内公务接待支出</w:t>
      </w:r>
      <w:r>
        <w:rPr>
          <w:rFonts w:hint="default" w:ascii="Times New Roman" w:hAnsi="Times New Roman" w:eastAsia="仿宋_GB2312" w:cs="Times New Roman"/>
          <w:sz w:val="32"/>
          <w:szCs w:val="32"/>
        </w:rPr>
        <w:t>0.92</w:t>
      </w:r>
      <w:r>
        <w:rPr>
          <w:rFonts w:hint="default" w:ascii="Times New Roman" w:hAnsi="Times New Roman" w:eastAsia="仿宋_GB2312" w:cs="Times New Roman"/>
          <w:color w:val="auto"/>
          <w:kern w:val="2"/>
          <w:sz w:val="32"/>
          <w:szCs w:val="32"/>
          <w:highlight w:val="none"/>
          <w:lang w:val="en-US" w:eastAsia="zh-CN" w:bidi="ar-SA"/>
        </w:rPr>
        <w:t>万元，主要用于执行公务、开展业务活动开支的用餐费。国内公务接待</w:t>
      </w:r>
      <w:r>
        <w:rPr>
          <w:rFonts w:hint="default" w:ascii="Times New Roman" w:hAnsi="Times New Roman" w:eastAsia="仿宋_GB2312" w:cs="Times New Roman"/>
          <w:sz w:val="32"/>
          <w:szCs w:val="32"/>
        </w:rPr>
        <w:t>11</w:t>
      </w:r>
      <w:r>
        <w:rPr>
          <w:rFonts w:hint="default" w:ascii="Times New Roman" w:hAnsi="Times New Roman" w:eastAsia="仿宋_GB2312" w:cs="Times New Roman"/>
          <w:color w:val="auto"/>
          <w:kern w:val="2"/>
          <w:sz w:val="32"/>
          <w:szCs w:val="32"/>
          <w:highlight w:val="none"/>
          <w:lang w:val="en-US" w:eastAsia="zh-CN" w:bidi="ar-SA"/>
        </w:rPr>
        <w:t>批次，</w:t>
      </w:r>
      <w:r>
        <w:rPr>
          <w:rFonts w:hint="default" w:ascii="Times New Roman" w:hAnsi="Times New Roman" w:eastAsia="仿宋_GB2312" w:cs="Times New Roman"/>
          <w:sz w:val="32"/>
          <w:szCs w:val="32"/>
        </w:rPr>
        <w:t>121</w:t>
      </w:r>
      <w:r>
        <w:rPr>
          <w:rFonts w:hint="default" w:ascii="Times New Roman" w:hAnsi="Times New Roman" w:eastAsia="仿宋_GB2312" w:cs="Times New Roman"/>
          <w:color w:val="auto"/>
          <w:kern w:val="2"/>
          <w:sz w:val="32"/>
          <w:szCs w:val="32"/>
          <w:highlight w:val="none"/>
          <w:lang w:val="en-US" w:eastAsia="zh-CN" w:bidi="ar-SA"/>
        </w:rPr>
        <w:t>人次（不包括陪同人员），共计支出0.92万元，具体内容包括：</w:t>
      </w:r>
    </w:p>
    <w:p>
      <w:pPr>
        <w:spacing w:line="600" w:lineRule="exact"/>
        <w:ind w:firstLine="640"/>
        <w:rPr>
          <w:rFonts w:hint="default" w:ascii="Times New Roman" w:hAnsi="Times New Roman" w:cs="Times New Roman"/>
          <w:lang w:val="en-US" w:eastAsia="zh-CN"/>
        </w:rPr>
      </w:pPr>
      <w:r>
        <w:rPr>
          <w:rFonts w:hint="default" w:ascii="Times New Roman" w:hAnsi="Times New Roman" w:eastAsia="仿宋_GB2312" w:cs="Times New Roman"/>
          <w:color w:val="auto"/>
          <w:kern w:val="2"/>
          <w:sz w:val="32"/>
          <w:szCs w:val="32"/>
          <w:highlight w:val="none"/>
          <w:lang w:val="en-US" w:eastAsia="zh-CN" w:bidi="ar-SA"/>
        </w:rPr>
        <w:t>2023年11月17日接待省固体废物与化学品管理中心赴攀开展市危险废物规范化环境管理评估工作240元；2023年11月27日接待关于开展“绿色低碳循环发展全川行”调研工作1900元；2024年1月16日接待关于开展2023年农村生活污水治理“千村示范工程”交叉检查工作1230元；2024年3月13日接待关于配合做好四川省第三轮生态环境保护督察工作839元；2024年3月18日接待关于配合做好四川省第三轮生态环境保护督察工作558元；2024年3月18日接待关于配合做好四川省第三轮生态环境保护督察工作430元；2024年3月19日接待关于配合做好四川省第三轮生态环境保护督察工作1200元；2024年3月21日接待关于配合做好四川省第三轮生态环境保护督察工作840元；2024年05月21日接待关于做好四川省第三轮生态环境保护督察典型案例现场核查工作736元；2024年07月24日接待关于配合做好第三轮省级生态环境保护督察攀枝花市督察情况反馈工作407元；2024年9月2日关于配合做好生态环境突出问题整改督导工作834元。</w:t>
      </w:r>
    </w:p>
    <w:p>
      <w:pPr>
        <w:spacing w:line="60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外事接待支出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万元。外事接待</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批次，</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人次（不包括陪同人员），共计支出0万元。</w:t>
      </w:r>
      <w:bookmarkStart w:id="38" w:name="_Toc15377218"/>
      <w:bookmarkStart w:id="39" w:name="_Toc15396610"/>
    </w:p>
    <w:p>
      <w:pPr>
        <w:spacing w:line="600" w:lineRule="exact"/>
        <w:ind w:firstLine="640"/>
        <w:outlineLvl w:val="1"/>
        <w:rPr>
          <w:rStyle w:val="29"/>
          <w:rFonts w:hint="default" w:ascii="Times New Roman" w:hAnsi="Times New Roman" w:eastAsia="黑体" w:cs="Times New Roman"/>
          <w:color w:val="auto"/>
          <w:highlight w:val="none"/>
        </w:rPr>
      </w:pPr>
      <w:r>
        <w:rPr>
          <w:rFonts w:hint="default" w:ascii="Times New Roman" w:hAnsi="Times New Roman" w:eastAsia="黑体" w:cs="Times New Roman"/>
          <w:color w:val="auto"/>
          <w:sz w:val="32"/>
          <w:szCs w:val="32"/>
          <w:highlight w:val="none"/>
        </w:rPr>
        <w:t>八、</w:t>
      </w:r>
      <w:r>
        <w:rPr>
          <w:rStyle w:val="29"/>
          <w:rFonts w:hint="default" w:ascii="Times New Roman" w:hAnsi="Times New Roman" w:eastAsia="黑体" w:cs="Times New Roman"/>
          <w:b w:val="0"/>
          <w:color w:val="auto"/>
          <w:highlight w:val="none"/>
        </w:rPr>
        <w:t>政府性基金预算支出决算情况说明</w:t>
      </w:r>
      <w:bookmarkEnd w:id="38"/>
      <w:bookmarkEnd w:id="39"/>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2024年度政府性基金预算财政拨款支出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%，与2023年度持平。</w:t>
      </w:r>
    </w:p>
    <w:p>
      <w:pPr>
        <w:numPr>
          <w:ilvl w:val="0"/>
          <w:numId w:val="0"/>
        </w:numPr>
        <w:spacing w:line="600" w:lineRule="exact"/>
        <w:ind w:left="630" w:leftChars="0"/>
        <w:outlineLvl w:val="1"/>
        <w:rPr>
          <w:rStyle w:val="29"/>
          <w:rFonts w:hint="default" w:ascii="Times New Roman" w:hAnsi="Times New Roman" w:eastAsia="黑体" w:cs="Times New Roman"/>
          <w:b w:val="0"/>
          <w:color w:val="auto"/>
          <w:highlight w:val="none"/>
        </w:rPr>
      </w:pPr>
      <w:bookmarkStart w:id="40" w:name="_Toc15377219"/>
      <w:bookmarkStart w:id="41" w:name="_Toc15396611"/>
      <w:r>
        <w:rPr>
          <w:rStyle w:val="29"/>
          <w:rFonts w:hint="default" w:ascii="Times New Roman" w:hAnsi="Times New Roman" w:eastAsia="黑体" w:cs="Times New Roman"/>
          <w:b w:val="0"/>
          <w:color w:val="auto"/>
          <w:highlight w:val="none"/>
          <w:lang w:eastAsia="zh-CN"/>
        </w:rPr>
        <w:t>九、</w:t>
      </w:r>
      <w:r>
        <w:rPr>
          <w:rStyle w:val="29"/>
          <w:rFonts w:hint="default" w:ascii="Times New Roman" w:hAnsi="Times New Roman" w:eastAsia="黑体" w:cs="Times New Roman"/>
          <w:b w:val="0"/>
          <w:color w:val="auto"/>
          <w:highlight w:val="none"/>
        </w:rPr>
        <w:t>国有资本经营预算支出决算情况说明</w:t>
      </w:r>
      <w:bookmarkEnd w:id="40"/>
      <w:bookmarkEnd w:id="41"/>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2024年度国有资本经营预算财政拨款支出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%，与2023年度持平。</w:t>
      </w:r>
    </w:p>
    <w:p>
      <w:pPr>
        <w:numPr>
          <w:ilvl w:val="0"/>
          <w:numId w:val="0"/>
        </w:numPr>
        <w:spacing w:line="600" w:lineRule="exact"/>
        <w:ind w:left="630" w:leftChars="0"/>
        <w:outlineLvl w:val="1"/>
        <w:rPr>
          <w:rStyle w:val="29"/>
          <w:rFonts w:hint="default" w:ascii="Times New Roman" w:hAnsi="Times New Roman" w:eastAsia="黑体" w:cs="Times New Roman"/>
          <w:b w:val="0"/>
          <w:color w:val="auto"/>
          <w:highlight w:val="none"/>
        </w:rPr>
      </w:pPr>
      <w:bookmarkStart w:id="42" w:name="_Toc15396612"/>
      <w:bookmarkStart w:id="43" w:name="_Toc15377221"/>
      <w:r>
        <w:rPr>
          <w:rStyle w:val="29"/>
          <w:rFonts w:hint="default" w:ascii="Times New Roman" w:hAnsi="Times New Roman" w:eastAsia="黑体" w:cs="Times New Roman"/>
          <w:b w:val="0"/>
          <w:color w:val="auto"/>
          <w:highlight w:val="none"/>
          <w:lang w:eastAsia="zh-CN"/>
        </w:rPr>
        <w:t>十、</w:t>
      </w:r>
      <w:r>
        <w:rPr>
          <w:rStyle w:val="29"/>
          <w:rFonts w:hint="default" w:ascii="Times New Roman" w:hAnsi="Times New Roman" w:eastAsia="黑体" w:cs="Times New Roman"/>
          <w:b w:val="0"/>
          <w:color w:val="auto"/>
          <w:highlight w:val="none"/>
        </w:rPr>
        <w:t>其他重要事项的情况说明</w:t>
      </w:r>
      <w:bookmarkEnd w:id="42"/>
      <w:bookmarkEnd w:id="43"/>
    </w:p>
    <w:p>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44" w:name="_Toc15377222"/>
      <w:r>
        <w:rPr>
          <w:rFonts w:hint="default" w:ascii="Times New Roman" w:hAnsi="Times New Roman" w:eastAsia="楷体_GB2312" w:cs="Times New Roman"/>
          <w:b/>
          <w:color w:val="auto"/>
          <w:sz w:val="32"/>
          <w:szCs w:val="32"/>
          <w:highlight w:val="none"/>
        </w:rPr>
        <w:t>（一）机关运行经费支出情况</w:t>
      </w:r>
      <w:bookmarkEnd w:id="44"/>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w:t>
      </w:r>
      <w:r>
        <w:rPr>
          <w:rFonts w:hint="default" w:ascii="Times New Roman" w:hAnsi="Times New Roman" w:eastAsia="仿宋_GB2312" w:cs="Times New Roman"/>
          <w:sz w:val="32"/>
          <w:szCs w:val="32"/>
        </w:rPr>
        <w:t>四川省攀枝花市仁和生态环境局</w:t>
      </w:r>
      <w:r>
        <w:rPr>
          <w:rFonts w:hint="default" w:ascii="Times New Roman" w:hAnsi="Times New Roman" w:eastAsia="仿宋_GB2312" w:cs="Times New Roman"/>
          <w:color w:val="auto"/>
          <w:kern w:val="2"/>
          <w:sz w:val="32"/>
          <w:szCs w:val="32"/>
          <w:highlight w:val="none"/>
          <w:lang w:val="en-US" w:eastAsia="zh-CN" w:bidi="ar-SA"/>
        </w:rPr>
        <w:t>机关运行经费支出</w:t>
      </w:r>
      <w:r>
        <w:rPr>
          <w:rFonts w:hint="default" w:ascii="Times New Roman" w:hAnsi="Times New Roman" w:eastAsia="仿宋_GB2312" w:cs="Times New Roman"/>
          <w:sz w:val="32"/>
          <w:szCs w:val="32"/>
        </w:rPr>
        <w:t>38.89</w:t>
      </w:r>
      <w:r>
        <w:rPr>
          <w:rFonts w:hint="default" w:ascii="Times New Roman" w:hAnsi="Times New Roman" w:eastAsia="仿宋_GB2312" w:cs="Times New Roman"/>
          <w:color w:val="auto"/>
          <w:kern w:val="2"/>
          <w:sz w:val="32"/>
          <w:szCs w:val="32"/>
          <w:highlight w:val="none"/>
          <w:lang w:val="en-US" w:eastAsia="zh-CN" w:bidi="ar-SA"/>
        </w:rPr>
        <w:t>万元，比2023年度增加5.97万元，增长18.13%。主要原因是支付往年欠款。</w:t>
      </w:r>
    </w:p>
    <w:p>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45" w:name="_Toc15377223"/>
      <w:r>
        <w:rPr>
          <w:rFonts w:hint="default" w:ascii="Times New Roman" w:hAnsi="Times New Roman" w:eastAsia="楷体_GB2312" w:cs="Times New Roman"/>
          <w:b/>
          <w:color w:val="auto"/>
          <w:sz w:val="32"/>
          <w:szCs w:val="32"/>
          <w:highlight w:val="none"/>
        </w:rPr>
        <w:t>（二）政府采购支出情况</w:t>
      </w:r>
      <w:bookmarkEnd w:id="45"/>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w:t>
      </w:r>
      <w:r>
        <w:rPr>
          <w:rFonts w:hint="default" w:ascii="Times New Roman" w:hAnsi="Times New Roman" w:eastAsia="仿宋_GB2312" w:cs="Times New Roman"/>
          <w:sz w:val="32"/>
          <w:szCs w:val="32"/>
        </w:rPr>
        <w:t>四川省攀枝花市仁和生态环境局</w:t>
      </w:r>
      <w:r>
        <w:rPr>
          <w:rFonts w:hint="default" w:ascii="Times New Roman" w:hAnsi="Times New Roman" w:eastAsia="仿宋_GB2312" w:cs="Times New Roman"/>
          <w:color w:val="auto"/>
          <w:kern w:val="2"/>
          <w:sz w:val="32"/>
          <w:szCs w:val="32"/>
          <w:highlight w:val="none"/>
          <w:lang w:val="en-US" w:eastAsia="zh-CN" w:bidi="ar-SA"/>
        </w:rPr>
        <w:t>政府采购支出总额</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万元，其中：政府采购货物支出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万元、政府采购工程支出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万元、政府采购服务支出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万元。授予中小企业合同金额</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万元，占政府采购支出总额的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%，其中：授予小微企业合同金额</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万元，占政府采购支出总额的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w:t>
      </w:r>
    </w:p>
    <w:p>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46" w:name="_Toc15377224"/>
      <w:r>
        <w:rPr>
          <w:rFonts w:hint="default" w:ascii="Times New Roman" w:hAnsi="Times New Roman" w:eastAsia="楷体_GB2312" w:cs="Times New Roman"/>
          <w:b/>
          <w:color w:val="auto"/>
          <w:sz w:val="32"/>
          <w:szCs w:val="32"/>
          <w:highlight w:val="none"/>
        </w:rPr>
        <w:t>（三）国有资产占有使用情况</w:t>
      </w:r>
      <w:bookmarkEnd w:id="46"/>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截至2024年12月31日，</w:t>
      </w:r>
      <w:r>
        <w:rPr>
          <w:rFonts w:hint="default" w:ascii="Times New Roman" w:hAnsi="Times New Roman" w:eastAsia="仿宋_GB2312" w:cs="Times New Roman"/>
          <w:sz w:val="32"/>
          <w:szCs w:val="32"/>
        </w:rPr>
        <w:t>四川省攀枝花市仁和生态环境局</w:t>
      </w:r>
      <w:r>
        <w:rPr>
          <w:rFonts w:hint="default" w:ascii="Times New Roman" w:hAnsi="Times New Roman" w:eastAsia="仿宋_GB2312" w:cs="Times New Roman"/>
          <w:color w:val="auto"/>
          <w:kern w:val="2"/>
          <w:sz w:val="32"/>
          <w:szCs w:val="32"/>
          <w:highlight w:val="none"/>
          <w:lang w:val="en-US" w:eastAsia="zh-CN" w:bidi="ar-SA"/>
        </w:rPr>
        <w:t>共有车辆</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辆，其中：主要负责人用车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辆、机要通信用车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辆、应急保障用车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辆、其他用车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辆。单价100万元（含）以上设备（不含车辆）</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台（套）。</w:t>
      </w:r>
    </w:p>
    <w:p>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（四）预算绩效管理情况</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auto"/>
          <w:kern w:val="2"/>
          <w:sz w:val="32"/>
          <w:szCs w:val="32"/>
          <w:highlight w:val="none"/>
          <w:lang w:val="en-US" w:eastAsia="zh-CN" w:bidi="ar-SA"/>
        </w:rPr>
        <w:t>根据预算绩效管理要求，仁和生态环境局在2024年度预算编制阶段，组织对生态环境应急装备提升建设项目、国控仁和环境空气自动监测子站周边污染源调查报告编制费用、攀枝花市仁和区空气质量保障和改善专项经费等3个项目开展了预算事前绩效评估，对3个项目编制了绩效目标，预算执行过程中，选取3个项目开展绩效监控。</w:t>
      </w:r>
      <w:r>
        <w:rPr>
          <w:rFonts w:hint="default" w:ascii="Times New Roman" w:hAnsi="Times New Roman" w:eastAsia="仿宋_GB2312" w:cs="Times New Roman"/>
          <w:sz w:val="32"/>
          <w:szCs w:val="32"/>
        </w:rPr>
        <w:t>组织对</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个项目开展绩效自评，绩效自评表详见第四部分附件。</w:t>
      </w:r>
    </w:p>
    <w:p>
      <w:pPr>
        <w:spacing w:line="600" w:lineRule="exact"/>
        <w:rPr>
          <w:rFonts w:hint="default" w:ascii="Times New Roman" w:hAnsi="Times New Roman" w:eastAsia="仿宋_GB2312" w:cs="Times New Roman"/>
          <w:color w:val="auto"/>
          <w:kern w:val="2"/>
          <w:sz w:val="32"/>
          <w:szCs w:val="32"/>
          <w:highlight w:val="none"/>
          <w:lang w:val="en-US" w:eastAsia="zh-CN" w:bidi="ar-SA"/>
        </w:rPr>
      </w:pP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pPr>
        <w:pStyle w:val="2"/>
        <w:rPr>
          <w:rFonts w:hint="default" w:ascii="Times New Roman" w:hAnsi="Times New Roman" w:eastAsia="仿宋_GB2312" w:cs="Times New Roman"/>
          <w:color w:val="auto"/>
          <w:kern w:val="2"/>
          <w:sz w:val="32"/>
          <w:szCs w:val="32"/>
          <w:highlight w:val="none"/>
          <w:lang w:val="en-US" w:eastAsia="zh-CN" w:bidi="ar-SA"/>
        </w:rPr>
      </w:pPr>
    </w:p>
    <w:p>
      <w:pPr>
        <w:pStyle w:val="2"/>
        <w:rPr>
          <w:rFonts w:hint="default" w:ascii="Times New Roman" w:hAnsi="Times New Roman" w:eastAsia="仿宋_GB2312" w:cs="Times New Roman"/>
          <w:color w:val="auto"/>
          <w:kern w:val="2"/>
          <w:sz w:val="32"/>
          <w:szCs w:val="32"/>
          <w:highlight w:val="none"/>
          <w:lang w:val="en-US" w:eastAsia="zh-CN" w:bidi="ar-SA"/>
        </w:rPr>
      </w:pPr>
    </w:p>
    <w:p>
      <w:pPr>
        <w:pStyle w:val="2"/>
        <w:rPr>
          <w:rFonts w:hint="default" w:ascii="Times New Roman" w:hAnsi="Times New Roman" w:eastAsia="仿宋_GB2312" w:cs="Times New Roman"/>
          <w:color w:val="auto"/>
          <w:kern w:val="2"/>
          <w:sz w:val="32"/>
          <w:szCs w:val="32"/>
          <w:highlight w:val="none"/>
          <w:lang w:val="en-US" w:eastAsia="zh-CN" w:bidi="ar-SA"/>
        </w:rPr>
      </w:pPr>
    </w:p>
    <w:p>
      <w:pPr>
        <w:pStyle w:val="2"/>
        <w:rPr>
          <w:rFonts w:hint="default" w:ascii="Times New Roman" w:hAnsi="Times New Roman" w:eastAsia="仿宋_GB2312" w:cs="Times New Roman"/>
          <w:color w:val="auto"/>
          <w:kern w:val="2"/>
          <w:sz w:val="32"/>
          <w:szCs w:val="32"/>
          <w:highlight w:val="none"/>
          <w:lang w:val="en-US" w:eastAsia="zh-CN" w:bidi="ar-SA"/>
        </w:rPr>
      </w:pPr>
    </w:p>
    <w:p>
      <w:pPr>
        <w:pStyle w:val="2"/>
        <w:rPr>
          <w:rFonts w:hint="default" w:ascii="Times New Roman" w:hAnsi="Times New Roman" w:eastAsia="仿宋_GB2312" w:cs="Times New Roman"/>
          <w:color w:val="auto"/>
          <w:kern w:val="2"/>
          <w:sz w:val="32"/>
          <w:szCs w:val="32"/>
          <w:highlight w:val="none"/>
          <w:lang w:val="en-US" w:eastAsia="zh-CN" w:bidi="ar-SA"/>
        </w:rPr>
      </w:pPr>
    </w:p>
    <w:p>
      <w:pPr>
        <w:pStyle w:val="2"/>
        <w:rPr>
          <w:rFonts w:hint="default" w:ascii="Times New Roman" w:hAnsi="Times New Roman" w:eastAsia="仿宋_GB2312" w:cs="Times New Roman"/>
          <w:color w:val="auto"/>
          <w:kern w:val="2"/>
          <w:sz w:val="32"/>
          <w:szCs w:val="32"/>
          <w:highlight w:val="none"/>
          <w:lang w:val="en-US" w:eastAsia="zh-CN" w:bidi="ar-SA"/>
        </w:rPr>
      </w:pPr>
    </w:p>
    <w:p>
      <w:pPr>
        <w:pStyle w:val="2"/>
        <w:rPr>
          <w:rFonts w:hint="default" w:ascii="Times New Roman" w:hAnsi="Times New Roman" w:eastAsia="仿宋_GB2312" w:cs="Times New Roman"/>
          <w:color w:val="auto"/>
          <w:kern w:val="2"/>
          <w:sz w:val="32"/>
          <w:szCs w:val="32"/>
          <w:highlight w:val="none"/>
          <w:lang w:val="en-US" w:eastAsia="zh-CN" w:bidi="ar-SA"/>
        </w:rPr>
      </w:pPr>
    </w:p>
    <w:p>
      <w:pPr>
        <w:pStyle w:val="2"/>
        <w:rPr>
          <w:rFonts w:hint="default" w:ascii="Times New Roman" w:hAnsi="Times New Roman" w:eastAsia="仿宋_GB2312" w:cs="Times New Roman"/>
          <w:color w:val="auto"/>
          <w:kern w:val="2"/>
          <w:sz w:val="32"/>
          <w:szCs w:val="32"/>
          <w:highlight w:val="none"/>
          <w:lang w:val="en-US" w:eastAsia="zh-CN" w:bidi="ar-SA"/>
        </w:rPr>
      </w:pPr>
    </w:p>
    <w:p>
      <w:pPr>
        <w:pStyle w:val="2"/>
        <w:rPr>
          <w:rFonts w:hint="default" w:ascii="Times New Roman" w:hAnsi="Times New Roman" w:eastAsia="仿宋_GB2312" w:cs="Times New Roman"/>
          <w:color w:val="auto"/>
          <w:kern w:val="2"/>
          <w:sz w:val="32"/>
          <w:szCs w:val="32"/>
          <w:highlight w:val="none"/>
          <w:lang w:val="en-US" w:eastAsia="zh-CN" w:bidi="ar-SA"/>
        </w:rPr>
      </w:pPr>
    </w:p>
    <w:p>
      <w:pPr>
        <w:pStyle w:val="2"/>
        <w:rPr>
          <w:rFonts w:hint="default" w:ascii="Times New Roman" w:hAnsi="Times New Roman" w:eastAsia="仿宋_GB2312" w:cs="Times New Roman"/>
          <w:color w:val="auto"/>
          <w:kern w:val="2"/>
          <w:sz w:val="32"/>
          <w:szCs w:val="32"/>
          <w:highlight w:val="none"/>
          <w:lang w:val="en-US" w:eastAsia="zh-CN" w:bidi="ar-SA"/>
        </w:rPr>
      </w:pPr>
    </w:p>
    <w:p>
      <w:pPr>
        <w:pStyle w:val="2"/>
        <w:rPr>
          <w:rFonts w:hint="default" w:ascii="Times New Roman" w:hAnsi="Times New Roman" w:eastAsia="仿宋_GB2312" w:cs="Times New Roman"/>
          <w:color w:val="auto"/>
          <w:kern w:val="2"/>
          <w:sz w:val="32"/>
          <w:szCs w:val="32"/>
          <w:highlight w:val="none"/>
          <w:lang w:val="en-US" w:eastAsia="zh-CN" w:bidi="ar-SA"/>
        </w:rPr>
      </w:pPr>
    </w:p>
    <w:p>
      <w:pPr>
        <w:pStyle w:val="2"/>
        <w:rPr>
          <w:rFonts w:hint="default" w:ascii="Times New Roman" w:hAnsi="Times New Roman" w:eastAsia="仿宋_GB2312" w:cs="Times New Roman"/>
          <w:color w:val="auto"/>
          <w:kern w:val="2"/>
          <w:sz w:val="32"/>
          <w:szCs w:val="32"/>
          <w:highlight w:val="none"/>
          <w:lang w:val="en-US" w:eastAsia="zh-CN" w:bidi="ar-SA"/>
        </w:rPr>
      </w:pPr>
    </w:p>
    <w:p>
      <w:pPr>
        <w:numPr>
          <w:ilvl w:val="0"/>
          <w:numId w:val="0"/>
        </w:numPr>
        <w:spacing w:line="600" w:lineRule="exact"/>
        <w:jc w:val="center"/>
        <w:outlineLvl w:val="0"/>
        <w:rPr>
          <w:rFonts w:hint="default" w:ascii="Times New Roman" w:hAnsi="Times New Roman" w:eastAsia="黑体" w:cs="Times New Roman"/>
          <w:color w:val="FF0000"/>
          <w:sz w:val="44"/>
          <w:szCs w:val="44"/>
          <w:highlight w:val="none"/>
        </w:rPr>
      </w:pPr>
      <w:bookmarkStart w:id="47" w:name="_Toc15377225"/>
      <w:bookmarkStart w:id="48" w:name="_Toc15396613"/>
      <w:r>
        <w:rPr>
          <w:rFonts w:hint="default" w:ascii="Times New Roman" w:hAnsi="Times New Roman" w:eastAsia="黑体" w:cs="Times New Roman"/>
          <w:color w:val="auto"/>
          <w:sz w:val="44"/>
          <w:szCs w:val="44"/>
          <w:highlight w:val="none"/>
        </w:rPr>
        <w:t>第</w:t>
      </w:r>
      <w:r>
        <w:rPr>
          <w:rFonts w:hint="default" w:ascii="Times New Roman" w:hAnsi="Times New Roman" w:eastAsia="黑体" w:cs="Times New Roman"/>
          <w:color w:val="auto"/>
          <w:sz w:val="44"/>
          <w:szCs w:val="44"/>
          <w:highlight w:val="none"/>
          <w:lang w:eastAsia="zh-CN"/>
        </w:rPr>
        <w:t>三</w:t>
      </w:r>
      <w:r>
        <w:rPr>
          <w:rFonts w:hint="default" w:ascii="Times New Roman" w:hAnsi="Times New Roman" w:eastAsia="黑体" w:cs="Times New Roman"/>
          <w:color w:val="auto"/>
          <w:sz w:val="44"/>
          <w:szCs w:val="44"/>
          <w:highlight w:val="none"/>
        </w:rPr>
        <w:t>部分</w:t>
      </w:r>
      <w:r>
        <w:rPr>
          <w:rFonts w:hint="default" w:ascii="Times New Roman" w:hAnsi="Times New Roman" w:eastAsia="黑体" w:cs="Times New Roman"/>
          <w:color w:val="auto"/>
          <w:sz w:val="44"/>
          <w:szCs w:val="44"/>
          <w:highlight w:val="none"/>
          <w:lang w:val="en-US" w:eastAsia="zh-CN"/>
        </w:rPr>
        <w:t xml:space="preserve">  </w:t>
      </w:r>
      <w:r>
        <w:rPr>
          <w:rFonts w:hint="default" w:ascii="Times New Roman" w:hAnsi="Times New Roman" w:eastAsia="黑体" w:cs="Times New Roman"/>
          <w:color w:val="auto"/>
          <w:sz w:val="44"/>
          <w:szCs w:val="44"/>
          <w:highlight w:val="none"/>
        </w:rPr>
        <w:t>名词解释</w:t>
      </w:r>
      <w:bookmarkEnd w:id="47"/>
      <w:bookmarkEnd w:id="48"/>
    </w:p>
    <w:p>
      <w:pPr>
        <w:spacing w:line="600" w:lineRule="exact"/>
        <w:jc w:val="left"/>
        <w:rPr>
          <w:rFonts w:hint="default" w:ascii="Times New Roman" w:hAnsi="Times New Roman" w:cs="Times New Roman"/>
          <w:b/>
          <w:color w:val="FF0000"/>
          <w:sz w:val="44"/>
          <w:szCs w:val="44"/>
          <w:highlight w:val="none"/>
        </w:rPr>
      </w:pPr>
    </w:p>
    <w:p>
      <w:pPr>
        <w:pStyle w:val="26"/>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1.财政拨款收入：指单位从同级财政部门取得的财政预算资金。</w:t>
      </w:r>
    </w:p>
    <w:p>
      <w:pPr>
        <w:pStyle w:val="26"/>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2.其他收入：指单位取得的除上述收入以外的各项收入。主要是</w:t>
      </w:r>
      <w:r>
        <w:rPr>
          <w:rFonts w:hint="default" w:ascii="Times New Roman" w:hAnsi="Times New Roman" w:eastAsia="仿宋_GB2312" w:cs="Times New Roman"/>
          <w:color w:val="auto"/>
          <w:sz w:val="32"/>
          <w:szCs w:val="32"/>
          <w:lang w:eastAsia="zh-CN"/>
        </w:rPr>
        <w:t>仁和区财政安排资金</w:t>
      </w:r>
      <w:r>
        <w:rPr>
          <w:rFonts w:hint="default" w:ascii="Times New Roman" w:hAnsi="Times New Roman" w:eastAsia="仿宋_GB2312" w:cs="Times New Roman"/>
          <w:color w:val="auto"/>
          <w:sz w:val="32"/>
          <w:szCs w:val="32"/>
        </w:rPr>
        <w:t xml:space="preserve">等。 </w:t>
      </w:r>
    </w:p>
    <w:p>
      <w:pPr>
        <w:pStyle w:val="26"/>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 xml:space="preserve">.使用非财政拨款结余：指事业单位使用以前年度积累的非财政拨款结余弥补当年收支差额的金额。 </w:t>
      </w:r>
    </w:p>
    <w:p>
      <w:pPr>
        <w:pStyle w:val="26"/>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 xml:space="preserve">.年初结转和结余：指以前年度尚未完成、结转到本年按有关规定继续使用的资金。 </w:t>
      </w:r>
    </w:p>
    <w:p>
      <w:pPr>
        <w:pStyle w:val="26"/>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.年末结转和结余：指单位按有关规定结转到下年或以后年度继续使用的资金。</w:t>
      </w:r>
    </w:p>
    <w:p>
      <w:pPr>
        <w:pStyle w:val="26"/>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6.社会保障和就业（类）行政事业单位养老（款）行政单位离退休（项）：指行政单位（包括实行公务员管理的事业单位）开支的离退休经费。</w:t>
      </w:r>
    </w:p>
    <w:p>
      <w:pPr>
        <w:pStyle w:val="26"/>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7.社会保障和就业（类）行政事业单位养老（款）机关事业单位基本养老保险缴费（项）：指机关事业单位实施养老保险制度由单位缴纳的基本养老保险支出。</w:t>
      </w:r>
    </w:p>
    <w:p>
      <w:pPr>
        <w:pStyle w:val="26"/>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 卫生健康（类）行政事业单位医疗（款）事业单位医疗（项）：指财政部门安排的事业单位用于缴纳单位基本医疗保险支出。</w:t>
      </w:r>
    </w:p>
    <w:p>
      <w:pPr>
        <w:pStyle w:val="26"/>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卫生健康（类）行政事业单位医疗（款）</w:t>
      </w:r>
      <w:r>
        <w:rPr>
          <w:rFonts w:hint="default" w:ascii="Times New Roman" w:hAnsi="Times New Roman" w:eastAsia="仿宋_GB2312" w:cs="Times New Roman"/>
          <w:color w:val="auto"/>
          <w:sz w:val="32"/>
          <w:szCs w:val="32"/>
          <w:lang w:eastAsia="zh-CN"/>
        </w:rPr>
        <w:t>行政单位医疗</w:t>
      </w:r>
      <w:r>
        <w:rPr>
          <w:rFonts w:hint="default" w:ascii="Times New Roman" w:hAnsi="Times New Roman" w:eastAsia="仿宋_GB2312" w:cs="Times New Roman"/>
          <w:color w:val="auto"/>
          <w:sz w:val="32"/>
          <w:szCs w:val="32"/>
        </w:rPr>
        <w:t>（项）：指财政部门安排的</w:t>
      </w:r>
      <w:r>
        <w:rPr>
          <w:rFonts w:hint="default" w:ascii="Times New Roman" w:hAnsi="Times New Roman" w:eastAsia="仿宋_GB2312" w:cs="Times New Roman"/>
          <w:color w:val="auto"/>
          <w:sz w:val="32"/>
          <w:szCs w:val="32"/>
          <w:lang w:eastAsia="zh-CN"/>
        </w:rPr>
        <w:t>行政</w:t>
      </w:r>
      <w:r>
        <w:rPr>
          <w:rFonts w:hint="default" w:ascii="Times New Roman" w:hAnsi="Times New Roman" w:eastAsia="仿宋_GB2312" w:cs="Times New Roman"/>
          <w:color w:val="auto"/>
          <w:sz w:val="32"/>
          <w:szCs w:val="32"/>
        </w:rPr>
        <w:t>单位用于缴纳单位基本医疗保险支出</w:t>
      </w:r>
    </w:p>
    <w:p>
      <w:pPr>
        <w:pStyle w:val="26"/>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 卫生健康（类）行政事业单位医疗（款）公务员医疗补助（项）：指财政部门集中安排的公务员医疗补助经费。</w:t>
      </w:r>
    </w:p>
    <w:p>
      <w:pPr>
        <w:pStyle w:val="26"/>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卫生健康（类）行政事业单位医疗（款）</w:t>
      </w:r>
      <w:r>
        <w:rPr>
          <w:rFonts w:hint="default" w:ascii="Times New Roman" w:hAnsi="Times New Roman" w:eastAsia="仿宋_GB2312" w:cs="Times New Roman"/>
          <w:color w:val="auto"/>
          <w:sz w:val="32"/>
          <w:szCs w:val="32"/>
          <w:lang w:eastAsia="zh-CN"/>
        </w:rPr>
        <w:t>其他行政事业单位医疗补助</w:t>
      </w:r>
      <w:r>
        <w:rPr>
          <w:rFonts w:hint="default" w:ascii="Times New Roman" w:hAnsi="Times New Roman" w:eastAsia="仿宋_GB2312" w:cs="Times New Roman"/>
          <w:color w:val="auto"/>
          <w:sz w:val="32"/>
          <w:szCs w:val="32"/>
        </w:rPr>
        <w:t>（项）：指财政部门安排的</w:t>
      </w:r>
      <w:r>
        <w:rPr>
          <w:rFonts w:hint="default" w:ascii="Times New Roman" w:hAnsi="Times New Roman" w:eastAsia="仿宋_GB2312" w:cs="Times New Roman"/>
          <w:color w:val="auto"/>
          <w:sz w:val="32"/>
          <w:szCs w:val="32"/>
          <w:lang w:eastAsia="zh-CN"/>
        </w:rPr>
        <w:t>个人补充医疗</w:t>
      </w:r>
      <w:r>
        <w:rPr>
          <w:rFonts w:hint="default" w:ascii="Times New Roman" w:hAnsi="Times New Roman" w:eastAsia="仿宋_GB2312" w:cs="Times New Roman"/>
          <w:color w:val="auto"/>
          <w:sz w:val="32"/>
          <w:szCs w:val="32"/>
        </w:rPr>
        <w:t>补助经费。</w:t>
      </w:r>
    </w:p>
    <w:p>
      <w:pPr>
        <w:pStyle w:val="26"/>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.节能环保支出（类）环境保护管理事务（款）行政运行（项）：指行政单位（包括实行公务员管理的事业单位）的基本支出。</w:t>
      </w:r>
    </w:p>
    <w:p>
      <w:pPr>
        <w:pStyle w:val="26"/>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节能环保支出（类）环境保护管理事务（款）其他环境保护管理事务支出（项）：指除行政运行、一般行政管理事务、机关服务、环境保护宣传等以外其他用于环境保护管理事务方面的支出。</w:t>
      </w:r>
    </w:p>
    <w:p>
      <w:pPr>
        <w:pStyle w:val="26"/>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.节能环保支出（类）污染防治（款）其他污染防治支出（项）：指除大气、水体、噪声、固体废弃物与化学品、放射源和放射性废物监管、辐射以外其他用于污染防治方面的支出。</w:t>
      </w:r>
    </w:p>
    <w:p>
      <w:pPr>
        <w:pStyle w:val="26"/>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住房保障支出（类）住房改革支出（款）住房公积金（项）：指行政事业单位按人力资源和社会保障部、财政部规定的基本工资和津贴补贴以及规定比例为职工缴纳的住房公积金。</w:t>
      </w:r>
    </w:p>
    <w:p>
      <w:pPr>
        <w:pStyle w:val="26"/>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rPr>
        <w:t>.基本支出：指为保障机构正常运转、完成日常工作任务而发生的人员支出和公用支出。</w:t>
      </w:r>
    </w:p>
    <w:p>
      <w:pPr>
        <w:pStyle w:val="26"/>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17</w:t>
      </w:r>
      <w:r>
        <w:rPr>
          <w:rFonts w:hint="default" w:ascii="Times New Roman" w:hAnsi="Times New Roman" w:eastAsia="仿宋_GB2312" w:cs="Times New Roman"/>
          <w:color w:val="auto"/>
          <w:sz w:val="32"/>
          <w:szCs w:val="32"/>
        </w:rPr>
        <w:t xml:space="preserve">.项目支出：指在基本支出之外为完成特定行政任务和事业发展目标所发生的支出。 </w:t>
      </w:r>
    </w:p>
    <w:p>
      <w:pPr>
        <w:pStyle w:val="26"/>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18</w:t>
      </w:r>
      <w:r>
        <w:rPr>
          <w:rFonts w:hint="default" w:ascii="Times New Roman" w:hAnsi="Times New Roman" w:eastAsia="仿宋_GB2312" w:cs="Times New Roman"/>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19</w:t>
      </w:r>
      <w:r>
        <w:rPr>
          <w:rFonts w:hint="default" w:ascii="Times New Roman" w:hAnsi="Times New Roman" w:eastAsia="仿宋_GB2312" w:cs="Times New Roman"/>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6"/>
        <w:spacing w:line="560" w:lineRule="exact"/>
        <w:ind w:firstLine="640" w:firstLineChars="200"/>
        <w:rPr>
          <w:rFonts w:hint="default" w:ascii="Times New Roman" w:hAnsi="Times New Roman" w:eastAsia="仿宋_GB2312" w:cs="Times New Roman"/>
          <w:color w:val="auto"/>
          <w:sz w:val="32"/>
          <w:szCs w:val="32"/>
        </w:rPr>
      </w:pPr>
    </w:p>
    <w:p>
      <w:pPr>
        <w:pStyle w:val="26"/>
        <w:spacing w:line="560" w:lineRule="exact"/>
        <w:ind w:firstLine="640" w:firstLineChars="200"/>
        <w:rPr>
          <w:rFonts w:hint="default" w:ascii="Times New Roman" w:hAnsi="Times New Roman" w:eastAsia="仿宋_GB2312" w:cs="Times New Roman"/>
          <w:color w:val="auto"/>
          <w:sz w:val="32"/>
          <w:szCs w:val="32"/>
        </w:rPr>
      </w:pPr>
    </w:p>
    <w:p>
      <w:pPr>
        <w:pStyle w:val="26"/>
        <w:spacing w:line="560" w:lineRule="exact"/>
        <w:ind w:firstLine="640" w:firstLineChars="200"/>
        <w:rPr>
          <w:rFonts w:hint="default" w:ascii="Times New Roman" w:hAnsi="Times New Roman" w:eastAsia="仿宋_GB2312" w:cs="Times New Roman"/>
          <w:color w:val="auto"/>
          <w:sz w:val="32"/>
          <w:szCs w:val="32"/>
        </w:rPr>
      </w:pPr>
    </w:p>
    <w:p>
      <w:pPr>
        <w:pStyle w:val="26"/>
        <w:spacing w:line="560" w:lineRule="exact"/>
        <w:ind w:firstLine="640" w:firstLineChars="200"/>
        <w:rPr>
          <w:rFonts w:hint="default" w:ascii="Times New Roman" w:hAnsi="Times New Roman" w:eastAsia="仿宋_GB2312" w:cs="Times New Roman"/>
          <w:color w:val="auto"/>
          <w:sz w:val="32"/>
          <w:szCs w:val="32"/>
        </w:rPr>
      </w:pPr>
    </w:p>
    <w:p>
      <w:pPr>
        <w:pStyle w:val="26"/>
        <w:spacing w:line="560" w:lineRule="exact"/>
        <w:ind w:firstLine="640" w:firstLineChars="200"/>
        <w:rPr>
          <w:rFonts w:hint="default" w:ascii="Times New Roman" w:hAnsi="Times New Roman" w:eastAsia="仿宋_GB2312" w:cs="Times New Roman"/>
          <w:color w:val="auto"/>
          <w:sz w:val="32"/>
          <w:szCs w:val="32"/>
        </w:rPr>
      </w:pPr>
    </w:p>
    <w:p>
      <w:pPr>
        <w:pStyle w:val="26"/>
        <w:spacing w:line="560" w:lineRule="exact"/>
        <w:ind w:firstLine="640" w:firstLineChars="200"/>
        <w:rPr>
          <w:rFonts w:hint="default" w:ascii="Times New Roman" w:hAnsi="Times New Roman" w:eastAsia="仿宋_GB2312" w:cs="Times New Roman"/>
          <w:color w:val="auto"/>
          <w:sz w:val="32"/>
          <w:szCs w:val="32"/>
        </w:rPr>
      </w:pPr>
    </w:p>
    <w:p>
      <w:pPr>
        <w:pStyle w:val="26"/>
        <w:spacing w:line="560" w:lineRule="exact"/>
        <w:ind w:firstLine="640" w:firstLineChars="200"/>
        <w:rPr>
          <w:rFonts w:hint="default" w:ascii="Times New Roman" w:hAnsi="Times New Roman" w:eastAsia="仿宋_GB2312" w:cs="Times New Roman"/>
          <w:color w:val="auto"/>
          <w:sz w:val="32"/>
          <w:szCs w:val="32"/>
        </w:rPr>
      </w:pPr>
    </w:p>
    <w:p>
      <w:pPr>
        <w:pStyle w:val="26"/>
        <w:spacing w:line="560" w:lineRule="exact"/>
        <w:ind w:firstLine="640" w:firstLineChars="200"/>
        <w:rPr>
          <w:rFonts w:hint="default" w:ascii="Times New Roman" w:hAnsi="Times New Roman" w:eastAsia="仿宋_GB2312" w:cs="Times New Roman"/>
          <w:color w:val="auto"/>
          <w:sz w:val="32"/>
          <w:szCs w:val="32"/>
        </w:rPr>
      </w:pPr>
    </w:p>
    <w:p>
      <w:pPr>
        <w:pStyle w:val="26"/>
        <w:spacing w:line="560" w:lineRule="exact"/>
        <w:ind w:firstLine="640" w:firstLineChars="200"/>
        <w:rPr>
          <w:rFonts w:hint="default" w:ascii="Times New Roman" w:hAnsi="Times New Roman" w:eastAsia="仿宋_GB2312" w:cs="Times New Roman"/>
          <w:color w:val="auto"/>
          <w:sz w:val="32"/>
          <w:szCs w:val="32"/>
        </w:rPr>
      </w:pPr>
    </w:p>
    <w:p>
      <w:pPr>
        <w:pStyle w:val="26"/>
        <w:spacing w:line="560" w:lineRule="exact"/>
        <w:ind w:firstLine="640" w:firstLineChars="200"/>
        <w:rPr>
          <w:rFonts w:hint="default" w:ascii="Times New Roman" w:hAnsi="Times New Roman" w:eastAsia="仿宋_GB2312" w:cs="Times New Roman"/>
          <w:color w:val="auto"/>
          <w:sz w:val="32"/>
          <w:szCs w:val="32"/>
        </w:rPr>
      </w:pPr>
    </w:p>
    <w:p>
      <w:pPr>
        <w:spacing w:line="600" w:lineRule="exact"/>
        <w:jc w:val="center"/>
        <w:rPr>
          <w:rStyle w:val="28"/>
          <w:rFonts w:hint="default" w:ascii="Times New Roman" w:hAnsi="Times New Roman" w:eastAsia="黑体" w:cs="Times New Roman"/>
          <w:b w:val="0"/>
          <w:color w:val="auto"/>
          <w:highlight w:val="none"/>
          <w:lang w:eastAsia="zh-CN"/>
        </w:rPr>
      </w:pPr>
      <w:bookmarkStart w:id="49" w:name="_Toc15396614"/>
      <w:bookmarkStart w:id="50" w:name="_Toc15377226"/>
      <w:r>
        <w:rPr>
          <w:rFonts w:hint="default" w:ascii="Times New Roman" w:hAnsi="Times New Roman" w:eastAsia="黑体" w:cs="Times New Roman"/>
          <w:color w:val="auto"/>
          <w:sz w:val="44"/>
          <w:szCs w:val="44"/>
          <w:highlight w:val="none"/>
        </w:rPr>
        <w:t>第四部分</w:t>
      </w:r>
      <w:r>
        <w:rPr>
          <w:rFonts w:hint="default" w:ascii="Times New Roman" w:hAnsi="Times New Roman" w:eastAsia="黑体" w:cs="Times New Roman"/>
          <w:color w:val="auto"/>
          <w:sz w:val="44"/>
          <w:szCs w:val="44"/>
          <w:highlight w:val="none"/>
          <w:lang w:val="en-US" w:eastAsia="zh-CN"/>
        </w:rPr>
        <w:t xml:space="preserve"> </w:t>
      </w:r>
      <w:r>
        <w:rPr>
          <w:rFonts w:hint="default" w:ascii="Times New Roman" w:hAnsi="Times New Roman" w:eastAsia="黑体" w:cs="Times New Roman"/>
          <w:color w:val="auto"/>
          <w:sz w:val="44"/>
          <w:szCs w:val="44"/>
          <w:highlight w:val="none"/>
        </w:rPr>
        <w:t xml:space="preserve"> 附件</w:t>
      </w:r>
      <w:bookmarkEnd w:id="49"/>
    </w:p>
    <w:p>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Times New Roman"/>
          <w:color w:val="FF0000"/>
          <w:sz w:val="32"/>
          <w:szCs w:val="32"/>
          <w:highlight w:val="none"/>
        </w:rPr>
      </w:pPr>
    </w:p>
    <w:p>
      <w:pPr>
        <w:spacing w:line="600" w:lineRule="exact"/>
        <w:jc w:val="center"/>
        <w:outlineLvl w:val="0"/>
        <w:rPr>
          <w:rFonts w:hint="eastAsia" w:ascii="Times New Roman" w:hAnsi="Times New Roman" w:eastAsia="宋体" w:cs="Times New Roman"/>
          <w:color w:val="FF0000"/>
          <w:sz w:val="44"/>
          <w:szCs w:val="44"/>
          <w:lang w:eastAsia="zh-CN"/>
        </w:rPr>
      </w:pPr>
      <w:r>
        <w:rPr>
          <w:rFonts w:hint="default" w:ascii="Times New Roman" w:hAnsi="Times New Roman" w:cs="Times New Roman"/>
          <w:sz w:val="32"/>
          <w:szCs w:val="32"/>
        </w:rPr>
        <w:t>部门预算项目支出绩效自评表（202</w:t>
      </w:r>
      <w:r>
        <w:rPr>
          <w:rFonts w:hint="default" w:ascii="Times New Roman" w:hAnsi="Times New Roman" w:cs="Times New Roman"/>
          <w:sz w:val="32"/>
          <w:szCs w:val="32"/>
          <w:lang w:val="en-US" w:eastAsia="zh-CN"/>
        </w:rPr>
        <w:t>4</w:t>
      </w:r>
      <w:r>
        <w:rPr>
          <w:rFonts w:hint="default" w:ascii="Times New Roman" w:hAnsi="Times New Roman" w:cs="Times New Roman"/>
          <w:sz w:val="32"/>
          <w:szCs w:val="32"/>
        </w:rPr>
        <w:t>年度）</w:t>
      </w:r>
      <w:r>
        <w:rPr>
          <w:rFonts w:hint="eastAsia" w:ascii="Times New Roman" w:hAnsi="Times New Roman" w:cs="Times New Roman"/>
          <w:sz w:val="32"/>
          <w:szCs w:val="32"/>
          <w:lang w:eastAsia="zh-CN"/>
        </w:rPr>
        <w:t>见附件</w:t>
      </w:r>
      <w:r>
        <w:rPr>
          <w:rFonts w:hint="eastAsia" w:cs="Times New Roman"/>
          <w:sz w:val="32"/>
          <w:szCs w:val="32"/>
          <w:lang w:eastAsia="zh-CN"/>
        </w:rPr>
        <w:t>。</w:t>
      </w:r>
      <w:bookmarkStart w:id="65" w:name="_GoBack"/>
      <w:bookmarkEnd w:id="65"/>
    </w:p>
    <w:p>
      <w:pPr>
        <w:pStyle w:val="2"/>
        <w:rPr>
          <w:rFonts w:hint="default" w:ascii="Times New Roman" w:hAnsi="Times New Roman" w:cs="Times New Roman"/>
          <w:lang w:val="en-US" w:eastAsia="zh-CN"/>
        </w:rPr>
      </w:pP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bookmarkStart w:id="51" w:name="_Toc15396618"/>
      <w:r>
        <w:rPr>
          <w:rFonts w:hint="default" w:ascii="Times New Roman" w:hAnsi="Times New Roman" w:eastAsia="仿宋_GB2312" w:cs="Times New Roman"/>
          <w:b w:val="0"/>
          <w:bCs w:val="0"/>
          <w:kern w:val="0"/>
          <w:position w:val="0"/>
          <w:sz w:val="32"/>
          <w:szCs w:val="32"/>
          <w:highlight w:val="none"/>
          <w:lang w:val="en-US" w:eastAsia="zh-CN" w:bidi="ar-SA"/>
        </w:rPr>
        <w:br w:type="page"/>
      </w:r>
    </w:p>
    <w:p>
      <w:pPr>
        <w:widowControl/>
        <w:jc w:val="center"/>
        <w:rPr>
          <w:rFonts w:hint="default" w:ascii="Times New Roman" w:hAnsi="Times New Roman" w:eastAsia="仿宋" w:cs="Times New Roman"/>
          <w:b w:val="0"/>
          <w:color w:val="auto"/>
          <w:highlight w:val="none"/>
        </w:rPr>
      </w:pPr>
      <w:r>
        <w:rPr>
          <w:rFonts w:hint="default" w:ascii="Times New Roman" w:hAnsi="Times New Roman" w:eastAsia="黑体" w:cs="Times New Roman"/>
          <w:color w:val="auto"/>
          <w:sz w:val="44"/>
          <w:szCs w:val="44"/>
          <w:highlight w:val="none"/>
        </w:rPr>
        <w:t>第</w:t>
      </w:r>
      <w:r>
        <w:rPr>
          <w:rStyle w:val="28"/>
          <w:rFonts w:hint="default" w:ascii="Times New Roman" w:hAnsi="Times New Roman" w:eastAsia="黑体" w:cs="Times New Roman"/>
          <w:b w:val="0"/>
          <w:color w:val="auto"/>
          <w:highlight w:val="none"/>
        </w:rPr>
        <w:t>五部分 附表</w:t>
      </w:r>
      <w:bookmarkEnd w:id="50"/>
      <w:bookmarkEnd w:id="51"/>
      <w:bookmarkStart w:id="52" w:name="_Toc1539661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一、收入支出决算总表</w:t>
      </w:r>
      <w:bookmarkEnd w:id="52"/>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53" w:name="_Toc15396620"/>
      <w:r>
        <w:rPr>
          <w:rFonts w:hint="default" w:ascii="Times New Roman" w:hAnsi="Times New Roman" w:eastAsia="仿宋_GB2312" w:cs="Times New Roman"/>
          <w:color w:val="auto"/>
          <w:sz w:val="32"/>
          <w:szCs w:val="32"/>
          <w:highlight w:val="none"/>
        </w:rPr>
        <w:t>二、收入决算表</w:t>
      </w:r>
      <w:bookmarkEnd w:id="53"/>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54" w:name="_Toc15396621"/>
      <w:r>
        <w:rPr>
          <w:rFonts w:hint="default" w:ascii="Times New Roman" w:hAnsi="Times New Roman" w:eastAsia="仿宋_GB2312" w:cs="Times New Roman"/>
          <w:color w:val="auto"/>
          <w:sz w:val="32"/>
          <w:szCs w:val="32"/>
          <w:highlight w:val="none"/>
        </w:rPr>
        <w:t>三、支出决算表</w:t>
      </w:r>
      <w:bookmarkEnd w:id="5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55" w:name="_Toc15396622"/>
      <w:r>
        <w:rPr>
          <w:rFonts w:hint="default" w:ascii="Times New Roman" w:hAnsi="Times New Roman" w:eastAsia="仿宋_GB2312" w:cs="Times New Roman"/>
          <w:color w:val="auto"/>
          <w:sz w:val="32"/>
          <w:szCs w:val="32"/>
          <w:highlight w:val="none"/>
        </w:rPr>
        <w:t>四、财政拨款收入支出决算总表</w:t>
      </w:r>
      <w:bookmarkEnd w:id="55"/>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56" w:name="_Toc15396623"/>
      <w:r>
        <w:rPr>
          <w:rFonts w:hint="default" w:ascii="Times New Roman" w:hAnsi="Times New Roman" w:eastAsia="仿宋_GB2312" w:cs="Times New Roman"/>
          <w:color w:val="auto"/>
          <w:sz w:val="32"/>
          <w:szCs w:val="32"/>
          <w:highlight w:val="none"/>
        </w:rPr>
        <w:t>五、财政拨款支出决算明细表</w:t>
      </w:r>
      <w:bookmarkEnd w:id="56"/>
      <w:bookmarkStart w:id="57" w:name="_Toc1539662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六、一般公共预算财政拨款支出决算表</w:t>
      </w:r>
      <w:bookmarkEnd w:id="57"/>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58" w:name="_Toc15396625"/>
      <w:r>
        <w:rPr>
          <w:rFonts w:hint="default" w:ascii="Times New Roman" w:hAnsi="Times New Roman" w:eastAsia="仿宋_GB2312" w:cs="Times New Roman"/>
          <w:color w:val="auto"/>
          <w:sz w:val="32"/>
          <w:szCs w:val="32"/>
          <w:highlight w:val="none"/>
        </w:rPr>
        <w:t>七、一般公共预算财政拨款支出决算明细表</w:t>
      </w:r>
      <w:bookmarkEnd w:id="58"/>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59" w:name="_Toc15396626"/>
      <w:r>
        <w:rPr>
          <w:rFonts w:hint="default" w:ascii="Times New Roman" w:hAnsi="Times New Roman" w:eastAsia="仿宋_GB2312" w:cs="Times New Roman"/>
          <w:color w:val="auto"/>
          <w:sz w:val="32"/>
          <w:szCs w:val="32"/>
          <w:highlight w:val="none"/>
        </w:rPr>
        <w:t>八、一般公共预算财政拨款基本支出决算表</w:t>
      </w:r>
      <w:bookmarkEnd w:id="5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0" w:name="_Toc15396627"/>
      <w:r>
        <w:rPr>
          <w:rFonts w:hint="default" w:ascii="Times New Roman" w:hAnsi="Times New Roman" w:eastAsia="仿宋_GB2312" w:cs="Times New Roman"/>
          <w:color w:val="auto"/>
          <w:sz w:val="32"/>
          <w:szCs w:val="32"/>
          <w:highlight w:val="none"/>
        </w:rPr>
        <w:t>九、一般公共预算财政拨款项目支出决算表</w:t>
      </w:r>
      <w:bookmarkEnd w:id="60"/>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1" w:name="_Toc15396628"/>
      <w:r>
        <w:rPr>
          <w:rFonts w:hint="default" w:ascii="Times New Roman" w:hAnsi="Times New Roman" w:eastAsia="仿宋_GB2312" w:cs="Times New Roman"/>
          <w:color w:val="auto"/>
          <w:sz w:val="32"/>
          <w:szCs w:val="32"/>
          <w:highlight w:val="none"/>
        </w:rPr>
        <w:t>十、</w:t>
      </w:r>
      <w:bookmarkEnd w:id="61"/>
      <w:r>
        <w:rPr>
          <w:rFonts w:hint="default" w:ascii="Times New Roman" w:hAnsi="Times New Roman" w:eastAsia="仿宋_GB2312" w:cs="Times New Roman"/>
          <w:color w:val="auto"/>
          <w:sz w:val="32"/>
          <w:szCs w:val="32"/>
          <w:highlight w:val="none"/>
        </w:rPr>
        <w:t>政府性基金预算财政拨款收入支出决算表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2" w:name="_Toc15396629"/>
      <w:r>
        <w:rPr>
          <w:rFonts w:hint="default" w:ascii="Times New Roman" w:hAnsi="Times New Roman" w:eastAsia="仿宋_GB2312" w:cs="Times New Roman"/>
          <w:color w:val="auto"/>
          <w:sz w:val="32"/>
          <w:szCs w:val="32"/>
          <w:highlight w:val="none"/>
        </w:rPr>
        <w:t>十一、</w:t>
      </w:r>
      <w:bookmarkEnd w:id="62"/>
      <w:r>
        <w:rPr>
          <w:rFonts w:hint="default" w:ascii="Times New Roman" w:hAnsi="Times New Roman" w:eastAsia="仿宋_GB2312" w:cs="Times New Roman"/>
          <w:color w:val="auto"/>
          <w:sz w:val="32"/>
          <w:szCs w:val="32"/>
          <w:highlight w:val="none"/>
        </w:rPr>
        <w:t>国有资本经营预算</w:t>
      </w:r>
      <w:r>
        <w:rPr>
          <w:rFonts w:hint="default" w:ascii="Times New Roman" w:hAnsi="Times New Roman" w:eastAsia="仿宋_GB2312" w:cs="Times New Roman"/>
          <w:color w:val="auto"/>
          <w:sz w:val="32"/>
          <w:szCs w:val="32"/>
          <w:highlight w:val="none"/>
          <w:lang w:eastAsia="zh-CN"/>
        </w:rPr>
        <w:t>财政拨款收入</w:t>
      </w:r>
      <w:r>
        <w:rPr>
          <w:rFonts w:hint="default" w:ascii="Times New Roman" w:hAnsi="Times New Roman" w:eastAsia="仿宋_GB2312" w:cs="Times New Roman"/>
          <w:color w:val="auto"/>
          <w:sz w:val="32"/>
          <w:szCs w:val="32"/>
          <w:highlight w:val="none"/>
        </w:rPr>
        <w:t>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3" w:name="_Toc15396630"/>
      <w:r>
        <w:rPr>
          <w:rFonts w:hint="default" w:ascii="Times New Roman" w:hAnsi="Times New Roman" w:eastAsia="仿宋_GB2312" w:cs="Times New Roman"/>
          <w:color w:val="auto"/>
          <w:sz w:val="32"/>
          <w:szCs w:val="32"/>
          <w:highlight w:val="none"/>
        </w:rPr>
        <w:t>十二、</w:t>
      </w:r>
      <w:bookmarkEnd w:id="63"/>
      <w:r>
        <w:rPr>
          <w:rFonts w:hint="default" w:ascii="Times New Roman" w:hAnsi="Times New Roman" w:eastAsia="仿宋_GB2312" w:cs="Times New Roman"/>
          <w:color w:val="auto"/>
          <w:sz w:val="32"/>
          <w:szCs w:val="32"/>
          <w:highlight w:val="none"/>
          <w:lang w:eastAsia="zh-CN"/>
        </w:rPr>
        <w:t>国有资本经营预算财政拨款支出决算表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lang w:eastAsia="zh-CN"/>
        </w:rPr>
      </w:pPr>
      <w:bookmarkStart w:id="64" w:name="_Toc15396631"/>
      <w:r>
        <w:rPr>
          <w:rFonts w:hint="default" w:ascii="Times New Roman" w:hAnsi="Times New Roman" w:eastAsia="仿宋_GB2312" w:cs="Times New Roman"/>
          <w:color w:val="auto"/>
          <w:sz w:val="32"/>
          <w:szCs w:val="32"/>
          <w:highlight w:val="none"/>
        </w:rPr>
        <w:t>十三、</w:t>
      </w:r>
      <w:bookmarkEnd w:id="64"/>
      <w:r>
        <w:rPr>
          <w:rFonts w:hint="default" w:ascii="Times New Roman" w:hAnsi="Times New Roman" w:eastAsia="仿宋_GB2312" w:cs="Times New Roman"/>
          <w:color w:val="auto"/>
          <w:sz w:val="32"/>
          <w:szCs w:val="32"/>
          <w:highlight w:val="none"/>
          <w:lang w:eastAsia="zh-CN"/>
        </w:rPr>
        <w:t>财政拨款“三公”经费支出决算表</w:t>
      </w:r>
    </w:p>
    <w:p>
      <w:pPr>
        <w:rPr>
          <w:rFonts w:hint="default" w:ascii="Times New Roman" w:hAnsi="Times New Roman" w:cs="Times New Roman"/>
          <w:lang w:eastAsia="zh-CN"/>
        </w:rPr>
      </w:pPr>
    </w:p>
    <w:sectPr>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a1OYW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wGtTmFgIAABUEAAAOAAAAAAAA&#10;AAEAIAAAAB8BAABkcnMvZTJvRG9jLnhtbFBLBQYAAAAABgAGAFkBAACn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6372A6"/>
    <w:rsid w:val="01FF67C0"/>
    <w:rsid w:val="02040ADD"/>
    <w:rsid w:val="02FEBE30"/>
    <w:rsid w:val="03D7406B"/>
    <w:rsid w:val="047A58AA"/>
    <w:rsid w:val="04916F1E"/>
    <w:rsid w:val="061E35DE"/>
    <w:rsid w:val="066E0107"/>
    <w:rsid w:val="073836D3"/>
    <w:rsid w:val="07996F6E"/>
    <w:rsid w:val="07DFD8BA"/>
    <w:rsid w:val="09867E8F"/>
    <w:rsid w:val="0A2032A3"/>
    <w:rsid w:val="0A6F63B0"/>
    <w:rsid w:val="0AC3687E"/>
    <w:rsid w:val="0CA8290A"/>
    <w:rsid w:val="0D205118"/>
    <w:rsid w:val="0D35B1ED"/>
    <w:rsid w:val="0E254B6B"/>
    <w:rsid w:val="0F98263C"/>
    <w:rsid w:val="101860EC"/>
    <w:rsid w:val="101F47CC"/>
    <w:rsid w:val="10C055FF"/>
    <w:rsid w:val="11671F62"/>
    <w:rsid w:val="11694EBD"/>
    <w:rsid w:val="11772AA4"/>
    <w:rsid w:val="118107EC"/>
    <w:rsid w:val="11FD72F8"/>
    <w:rsid w:val="12E24EE2"/>
    <w:rsid w:val="130F0FCD"/>
    <w:rsid w:val="13D50BC4"/>
    <w:rsid w:val="14B17F78"/>
    <w:rsid w:val="165E0673"/>
    <w:rsid w:val="16B831D5"/>
    <w:rsid w:val="16BB723D"/>
    <w:rsid w:val="17E50567"/>
    <w:rsid w:val="186504BB"/>
    <w:rsid w:val="19A445FC"/>
    <w:rsid w:val="1A415F52"/>
    <w:rsid w:val="1B433986"/>
    <w:rsid w:val="1BE8440E"/>
    <w:rsid w:val="1BFF5471"/>
    <w:rsid w:val="1D155CEE"/>
    <w:rsid w:val="1D1638FE"/>
    <w:rsid w:val="1E312DEB"/>
    <w:rsid w:val="1E740ACF"/>
    <w:rsid w:val="1E890AA2"/>
    <w:rsid w:val="1E99602C"/>
    <w:rsid w:val="1FF35744"/>
    <w:rsid w:val="1FF6BC77"/>
    <w:rsid w:val="2186353C"/>
    <w:rsid w:val="23860B96"/>
    <w:rsid w:val="23C1781E"/>
    <w:rsid w:val="240371BF"/>
    <w:rsid w:val="244F3473"/>
    <w:rsid w:val="24C97D99"/>
    <w:rsid w:val="256505CC"/>
    <w:rsid w:val="25A718F0"/>
    <w:rsid w:val="25BB59F6"/>
    <w:rsid w:val="260F557C"/>
    <w:rsid w:val="26970054"/>
    <w:rsid w:val="281408E2"/>
    <w:rsid w:val="29FD04D3"/>
    <w:rsid w:val="2BFF7BC6"/>
    <w:rsid w:val="2C8A61B5"/>
    <w:rsid w:val="2D840162"/>
    <w:rsid w:val="2D932C7E"/>
    <w:rsid w:val="2DF04E50"/>
    <w:rsid w:val="2E123F20"/>
    <w:rsid w:val="2E544464"/>
    <w:rsid w:val="2E586DFA"/>
    <w:rsid w:val="2E625777"/>
    <w:rsid w:val="2EAB5D1F"/>
    <w:rsid w:val="2F040D46"/>
    <w:rsid w:val="2F432A1A"/>
    <w:rsid w:val="2F6B035B"/>
    <w:rsid w:val="2FAE5751"/>
    <w:rsid w:val="2FB1A395"/>
    <w:rsid w:val="2FD9A7D8"/>
    <w:rsid w:val="2FDBF714"/>
    <w:rsid w:val="307B1DBF"/>
    <w:rsid w:val="30AB6865"/>
    <w:rsid w:val="30B36D33"/>
    <w:rsid w:val="30C55D70"/>
    <w:rsid w:val="319F7F4E"/>
    <w:rsid w:val="32244DFC"/>
    <w:rsid w:val="32BD1EF1"/>
    <w:rsid w:val="3304709D"/>
    <w:rsid w:val="33A773CB"/>
    <w:rsid w:val="349D6851"/>
    <w:rsid w:val="364604E3"/>
    <w:rsid w:val="36AA5135"/>
    <w:rsid w:val="36BE0DA7"/>
    <w:rsid w:val="36DE18E0"/>
    <w:rsid w:val="36E97C36"/>
    <w:rsid w:val="371D4945"/>
    <w:rsid w:val="376B6AA6"/>
    <w:rsid w:val="376D39B2"/>
    <w:rsid w:val="37E16F03"/>
    <w:rsid w:val="37F53A3B"/>
    <w:rsid w:val="389B6C89"/>
    <w:rsid w:val="38D469F0"/>
    <w:rsid w:val="39627CCD"/>
    <w:rsid w:val="397BAF1F"/>
    <w:rsid w:val="3A394AB6"/>
    <w:rsid w:val="3AB79AF3"/>
    <w:rsid w:val="3AE834C0"/>
    <w:rsid w:val="3B2617CA"/>
    <w:rsid w:val="3B7EF35A"/>
    <w:rsid w:val="3B9FDB6C"/>
    <w:rsid w:val="3BF5BC2F"/>
    <w:rsid w:val="3CEBA265"/>
    <w:rsid w:val="3D98207C"/>
    <w:rsid w:val="3DEE7CF3"/>
    <w:rsid w:val="3E740A63"/>
    <w:rsid w:val="3E78745D"/>
    <w:rsid w:val="3EE17838"/>
    <w:rsid w:val="3F047B29"/>
    <w:rsid w:val="3F55381A"/>
    <w:rsid w:val="3F7F7599"/>
    <w:rsid w:val="3FF4CAE0"/>
    <w:rsid w:val="3FF7B227"/>
    <w:rsid w:val="400843C3"/>
    <w:rsid w:val="404E340E"/>
    <w:rsid w:val="4098075E"/>
    <w:rsid w:val="413F5FFF"/>
    <w:rsid w:val="443E6C4F"/>
    <w:rsid w:val="44E268DA"/>
    <w:rsid w:val="450D13D7"/>
    <w:rsid w:val="45506656"/>
    <w:rsid w:val="46103030"/>
    <w:rsid w:val="486A6C7A"/>
    <w:rsid w:val="4A627F82"/>
    <w:rsid w:val="4B0E749A"/>
    <w:rsid w:val="4B2477C4"/>
    <w:rsid w:val="4B4F25DA"/>
    <w:rsid w:val="4B7C7600"/>
    <w:rsid w:val="4BE068DB"/>
    <w:rsid w:val="4BF058F8"/>
    <w:rsid w:val="4BF71B93"/>
    <w:rsid w:val="4C8953F1"/>
    <w:rsid w:val="4D48003E"/>
    <w:rsid w:val="4D577224"/>
    <w:rsid w:val="4DBF1CEB"/>
    <w:rsid w:val="4DF0007C"/>
    <w:rsid w:val="4E2F111C"/>
    <w:rsid w:val="4EAB630A"/>
    <w:rsid w:val="4EC33214"/>
    <w:rsid w:val="4ECE2238"/>
    <w:rsid w:val="4F833267"/>
    <w:rsid w:val="4FE9BD67"/>
    <w:rsid w:val="4FFB052F"/>
    <w:rsid w:val="5050009D"/>
    <w:rsid w:val="51233858"/>
    <w:rsid w:val="5191559D"/>
    <w:rsid w:val="537E6D0A"/>
    <w:rsid w:val="53F74C96"/>
    <w:rsid w:val="55170BA8"/>
    <w:rsid w:val="553218C9"/>
    <w:rsid w:val="567E1AA5"/>
    <w:rsid w:val="56E47B74"/>
    <w:rsid w:val="57175D52"/>
    <w:rsid w:val="578973CB"/>
    <w:rsid w:val="57BD3DD4"/>
    <w:rsid w:val="57CA7B6B"/>
    <w:rsid w:val="58B3773D"/>
    <w:rsid w:val="59AF1AB0"/>
    <w:rsid w:val="5A1733B4"/>
    <w:rsid w:val="5AF92295"/>
    <w:rsid w:val="5B250254"/>
    <w:rsid w:val="5BDD79E6"/>
    <w:rsid w:val="5BF561CA"/>
    <w:rsid w:val="5BFF5DFC"/>
    <w:rsid w:val="5CD71FC4"/>
    <w:rsid w:val="5D1F11B5"/>
    <w:rsid w:val="5D695134"/>
    <w:rsid w:val="5DAE1B18"/>
    <w:rsid w:val="5DE7D9E5"/>
    <w:rsid w:val="5ECEC941"/>
    <w:rsid w:val="5F6E58B9"/>
    <w:rsid w:val="5FBF9FF3"/>
    <w:rsid w:val="5FCD4E2C"/>
    <w:rsid w:val="5FEF394A"/>
    <w:rsid w:val="5FF67715"/>
    <w:rsid w:val="61EB6D54"/>
    <w:rsid w:val="62BF3928"/>
    <w:rsid w:val="638943FA"/>
    <w:rsid w:val="63B3701E"/>
    <w:rsid w:val="647F5392"/>
    <w:rsid w:val="65C6314B"/>
    <w:rsid w:val="65E66580"/>
    <w:rsid w:val="664B1D71"/>
    <w:rsid w:val="664B4E8E"/>
    <w:rsid w:val="66A62B46"/>
    <w:rsid w:val="67277B67"/>
    <w:rsid w:val="67AA3209"/>
    <w:rsid w:val="67AF0FE4"/>
    <w:rsid w:val="688479BF"/>
    <w:rsid w:val="68B67063"/>
    <w:rsid w:val="69732794"/>
    <w:rsid w:val="698D0931"/>
    <w:rsid w:val="6A720123"/>
    <w:rsid w:val="6A7FE5F3"/>
    <w:rsid w:val="6B053271"/>
    <w:rsid w:val="6B0865E1"/>
    <w:rsid w:val="6B5D172B"/>
    <w:rsid w:val="6BAD2D19"/>
    <w:rsid w:val="6BDD78B3"/>
    <w:rsid w:val="6C4A05C8"/>
    <w:rsid w:val="6C8742B8"/>
    <w:rsid w:val="6DBF5E93"/>
    <w:rsid w:val="6DFF077E"/>
    <w:rsid w:val="6E622074"/>
    <w:rsid w:val="6E714EF0"/>
    <w:rsid w:val="6E7E3605"/>
    <w:rsid w:val="6E7FDCC7"/>
    <w:rsid w:val="6ED6A62E"/>
    <w:rsid w:val="6EE00B15"/>
    <w:rsid w:val="6EE67780"/>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4759FA"/>
    <w:rsid w:val="776F6FFA"/>
    <w:rsid w:val="778769C8"/>
    <w:rsid w:val="77A75DCA"/>
    <w:rsid w:val="77DC22F5"/>
    <w:rsid w:val="783E271A"/>
    <w:rsid w:val="78616DE9"/>
    <w:rsid w:val="78E875D7"/>
    <w:rsid w:val="79086DAD"/>
    <w:rsid w:val="79D7FD79"/>
    <w:rsid w:val="79ED0498"/>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paragraph" w:styleId="35">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image" Target="media/image2.emf"/><Relationship Id="rId13" Type="http://schemas.openxmlformats.org/officeDocument/2006/relationships/oleObject" Target="embeddings/oleObject2.bin"/><Relationship Id="rId12" Type="http://schemas.openxmlformats.org/officeDocument/2006/relationships/image" Target="media/image1.emf"/><Relationship Id="rId11" Type="http://schemas.openxmlformats.org/officeDocument/2006/relationships/oleObject" Target="embeddings/oleObject1.bin"/><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收支总计（万元）</a:t>
            </a:r>
          </a:p>
        </c:rich>
      </c:tx>
      <c:layout/>
      <c:overlay val="0"/>
      <c:spPr>
        <a:noFill/>
        <a:ln>
          <a:noFill/>
        </a:ln>
        <a:effectLst/>
      </c:spPr>
    </c:title>
    <c:autoTitleDeleted val="0"/>
    <c:plotArea>
      <c:layout/>
      <c:barChart>
        <c:barDir val="col"/>
        <c:grouping val="stacked"/>
        <c:varyColors val="0"/>
        <c:ser>
          <c:idx val="0"/>
          <c:order val="0"/>
          <c:spPr>
            <a:solidFill>
              <a:schemeClr val="accent1"/>
            </a:solidFill>
            <a:ln>
              <a:noFill/>
            </a:ln>
            <a:effectLst/>
          </c:spPr>
          <c:invertIfNegative val="0"/>
          <c:dLbls>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eparator> </c:separator>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2024年</c:v>
                </c:pt>
                <c:pt idx="1">
                  <c:v>2023年</c:v>
                </c:pt>
              </c:strCache>
            </c:strRef>
          </c:cat>
          <c:val>
            <c:numRef>
              <c:f>Sheet1!$B$2:$B$3</c:f>
              <c:numCache>
                <c:formatCode>General</c:formatCode>
                <c:ptCount val="2"/>
                <c:pt idx="0">
                  <c:v>1053.29</c:v>
                </c:pt>
                <c:pt idx="1">
                  <c:v>574.82</c:v>
                </c:pt>
              </c:numCache>
            </c:numRef>
          </c:val>
        </c:ser>
        <c:ser>
          <c:idx val="1"/>
          <c:order val="1"/>
          <c:spPr>
            <a:solidFill>
              <a:schemeClr val="accent2"/>
            </a:solidFill>
            <a:ln>
              <a:noFill/>
            </a:ln>
            <a:effectLst/>
          </c:spPr>
          <c:invertIfNegative val="0"/>
          <c:dLbls>
            <c:delete val="1"/>
          </c:dLbls>
          <c:cat>
            <c:strRef>
              <c:f>Sheet1!$A$2:$A$3</c:f>
              <c:strCache>
                <c:ptCount val="2"/>
                <c:pt idx="0">
                  <c:v>2024年</c:v>
                </c:pt>
                <c:pt idx="1">
                  <c:v>2023年</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150"/>
        <c:overlap val="100"/>
        <c:axId val="796648389"/>
        <c:axId val="646305914"/>
        <c:extLst>
          <c:ext xmlns:c15="http://schemas.microsoft.com/office/drawing/2012/chart" uri="{02D57815-91ED-43cb-92C2-25804820EDAC}">
            <c15:filteredBarSeries>
              <c15:ser>
                <c:idx val="2"/>
                <c:order val="2"/>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Sheet1!$A$2:$A$3</c15:sqref>
                        </c15:formulaRef>
                      </c:ext>
                    </c:extLst>
                    <c:strCache>
                      <c:ptCount val="2"/>
                      <c:pt idx="0">
                        <c:v>2024年</c:v>
                      </c:pt>
                      <c:pt idx="1">
                        <c:v>2023年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79664838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6305914"/>
        <c:crosses val="autoZero"/>
        <c:auto val="1"/>
        <c:lblAlgn val="ctr"/>
        <c:lblOffset val="100"/>
        <c:noMultiLvlLbl val="0"/>
      </c:catAx>
      <c:valAx>
        <c:axId val="64630591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6648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本年收入(万元)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303.19</c:v>
                </c:pt>
                <c:pt idx="1">
                  <c:v>730.4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本年支出(万元)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337.41</c:v>
                </c:pt>
                <c:pt idx="1">
                  <c:v>696.18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社会保障和就业支出</c:v>
                </c:pt>
                <c:pt idx="1">
                  <c:v>卫生健康支出</c:v>
                </c:pt>
                <c:pt idx="2">
                  <c:v>节能环保支出</c:v>
                </c:pt>
                <c:pt idx="3">
                  <c:v>住房保障支出</c:v>
                </c:pt>
              </c:strCache>
            </c:strRef>
          </c:cat>
          <c:val>
            <c:numRef>
              <c:f>Sheet1!$B$2:$B$5</c:f>
              <c:numCache>
                <c:formatCode>General</c:formatCode>
                <c:ptCount val="4"/>
                <c:pt idx="0">
                  <c:v>35.42</c:v>
                </c:pt>
                <c:pt idx="1">
                  <c:v>20.17</c:v>
                </c:pt>
                <c:pt idx="2">
                  <c:v>222.42</c:v>
                </c:pt>
                <c:pt idx="3">
                  <c:v>25.18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0</c:v>
                </c:pt>
                <c:pt idx="2">
                  <c:v>0.92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1299</Words>
  <Characters>7410</Characters>
  <Lines>61</Lines>
  <Paragraphs>17</Paragraphs>
  <TotalTime>13</TotalTime>
  <ScaleCrop>false</ScaleCrop>
  <LinksUpToDate>false</LinksUpToDate>
  <CharactersWithSpaces>8692</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王顺莉</cp:lastModifiedBy>
  <cp:lastPrinted>2025-09-04T02:28:00Z</cp:lastPrinted>
  <dcterms:modified xsi:type="dcterms:W3CDTF">2025-09-11T03:07:17Z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9961946BDA5F428D86CB7596E852682B</vt:lpwstr>
  </property>
</Properties>
</file>