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autoSpaceDE/>
        <w:autoSpaceDN/>
        <w:bidi w:val="0"/>
        <w:spacing w:before="93"/>
        <w:jc w:val="left"/>
        <w:textAlignment w:val="auto"/>
        <w:rPr>
          <w:rFonts w:hint="default" w:ascii="Times New Roman" w:hAnsi="Times New Roman" w:eastAsia="方正小标宋简体" w:cs="Times New Roman"/>
          <w:kern w:val="2"/>
          <w:sz w:val="72"/>
          <w:szCs w:val="72"/>
        </w:rPr>
      </w:pPr>
      <w:bookmarkStart w:id="0" w:name="_Toc15378441"/>
      <w:bookmarkStart w:id="1" w:name="_Toc15306267"/>
      <w:bookmarkStart w:id="2" w:name="_Toc15377425"/>
      <w:bookmarkStart w:id="3" w:name="_Toc15377193"/>
      <w:bookmarkStart w:id="4" w:name="_Toc15396475"/>
      <w:bookmarkStart w:id="5" w:name="_Toc15396597"/>
    </w:p>
    <w:p>
      <w:pPr>
        <w:pStyle w:val="6"/>
        <w:pageBreakBefore w:val="0"/>
        <w:kinsoku/>
        <w:wordWrap/>
        <w:overflowPunct/>
        <w:topLinePunct w:val="0"/>
        <w:autoSpaceDE/>
        <w:autoSpaceDN/>
        <w:bidi w:val="0"/>
        <w:spacing w:before="93"/>
        <w:jc w:val="left"/>
        <w:textAlignment w:val="auto"/>
        <w:rPr>
          <w:rFonts w:hint="default" w:ascii="Times New Roman" w:hAnsi="Times New Roman" w:eastAsia="方正小标宋简体" w:cs="Times New Roman"/>
          <w:kern w:val="2"/>
          <w:sz w:val="72"/>
          <w:szCs w:val="72"/>
        </w:rPr>
      </w:pPr>
    </w:p>
    <w:p>
      <w:pPr>
        <w:pStyle w:val="6"/>
        <w:pageBreakBefore w:val="0"/>
        <w:kinsoku/>
        <w:wordWrap/>
        <w:overflowPunct/>
        <w:topLinePunct w:val="0"/>
        <w:autoSpaceDE/>
        <w:autoSpaceDN/>
        <w:bidi w:val="0"/>
        <w:spacing w:before="93"/>
        <w:jc w:val="left"/>
        <w:textAlignment w:val="auto"/>
        <w:rPr>
          <w:rFonts w:hint="default" w:ascii="Times New Roman" w:hAnsi="Times New Roman" w:eastAsia="方正小标宋简体" w:cs="Times New Roman"/>
          <w:kern w:val="2"/>
          <w:sz w:val="72"/>
          <w:szCs w:val="72"/>
        </w:rPr>
      </w:pPr>
    </w:p>
    <w:p>
      <w:pPr>
        <w:pStyle w:val="6"/>
        <w:pageBreakBefore w:val="0"/>
        <w:kinsoku/>
        <w:wordWrap/>
        <w:overflowPunct/>
        <w:topLinePunct w:val="0"/>
        <w:autoSpaceDE/>
        <w:autoSpaceDN/>
        <w:bidi w:val="0"/>
        <w:spacing w:before="93"/>
        <w:jc w:val="center"/>
        <w:textAlignment w:val="auto"/>
        <w:rPr>
          <w:rFonts w:hint="eastAsia" w:ascii="方正小标宋_GBK" w:hAnsi="方正小标宋_GBK" w:eastAsia="方正小标宋_GBK" w:cs="方正小标宋_GBK"/>
          <w:kern w:val="2"/>
          <w:sz w:val="44"/>
          <w:szCs w:val="44"/>
          <w:lang w:eastAsia="zh-CN"/>
        </w:rPr>
      </w:pPr>
      <w:r>
        <w:rPr>
          <w:rFonts w:hint="eastAsia" w:ascii="方正小标宋_GBK" w:hAnsi="方正小标宋_GBK" w:eastAsia="方正小标宋_GBK" w:cs="方正小标宋_GBK"/>
          <w:kern w:val="2"/>
          <w:sz w:val="44"/>
          <w:szCs w:val="44"/>
        </w:rPr>
        <w:t>2024年度</w:t>
      </w:r>
      <w:r>
        <w:rPr>
          <w:rFonts w:hint="eastAsia" w:ascii="方正小标宋_GBK" w:hAnsi="方正小标宋_GBK" w:eastAsia="方正小标宋_GBK" w:cs="方正小标宋_GBK"/>
          <w:kern w:val="2"/>
          <w:sz w:val="44"/>
          <w:szCs w:val="44"/>
          <w:lang w:eastAsia="zh-CN"/>
        </w:rPr>
        <w:t>攀枝花市生态环境局</w:t>
      </w:r>
    </w:p>
    <w:p>
      <w:pPr>
        <w:pStyle w:val="6"/>
        <w:pageBreakBefore w:val="0"/>
        <w:kinsoku/>
        <w:wordWrap/>
        <w:overflowPunct/>
        <w:topLinePunct w:val="0"/>
        <w:autoSpaceDE/>
        <w:autoSpaceDN/>
        <w:bidi w:val="0"/>
        <w:spacing w:before="93"/>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单位决算</w:t>
      </w:r>
      <w:r>
        <w:rPr>
          <w:rFonts w:hint="eastAsia" w:ascii="方正小标宋_GBK" w:hAnsi="方正小标宋_GBK" w:eastAsia="方正小标宋_GBK" w:cs="方正小标宋_GBK"/>
          <w:kern w:val="2"/>
          <w:sz w:val="44"/>
          <w:szCs w:val="44"/>
          <w:lang w:eastAsia="zh-CN"/>
        </w:rPr>
        <w:t>文字公开</w:t>
      </w:r>
      <w:r>
        <w:rPr>
          <w:rFonts w:hint="eastAsia" w:ascii="方正小标宋_GBK" w:hAnsi="方正小标宋_GBK" w:eastAsia="方正小标宋_GBK" w:cs="方正小标宋_GBK"/>
          <w:kern w:val="2"/>
          <w:sz w:val="44"/>
          <w:szCs w:val="44"/>
        </w:rPr>
        <w:t>说明</w:t>
      </w:r>
    </w:p>
    <w:p>
      <w:pPr>
        <w:pageBreakBefore w:val="0"/>
        <w:kinsoku/>
        <w:wordWrap/>
        <w:overflowPunct/>
        <w:topLinePunct w:val="0"/>
        <w:autoSpaceDE/>
        <w:autoSpaceDN/>
        <w:bidi w:val="0"/>
        <w:spacing w:line="600" w:lineRule="exact"/>
        <w:jc w:val="left"/>
        <w:textAlignment w:val="auto"/>
        <w:outlineLvl w:val="0"/>
        <w:rPr>
          <w:rFonts w:hint="default" w:ascii="Times New Roman" w:hAnsi="Times New Roman" w:eastAsia="方正小标宋简体" w:cs="Times New Roman"/>
          <w:sz w:val="72"/>
          <w:szCs w:val="72"/>
        </w:rPr>
      </w:pPr>
    </w:p>
    <w:p>
      <w:pPr>
        <w:pStyle w:val="2"/>
        <w:pageBreakBefore w:val="0"/>
        <w:kinsoku/>
        <w:wordWrap/>
        <w:overflowPunct/>
        <w:topLinePunct w:val="0"/>
        <w:autoSpaceDE/>
        <w:autoSpaceDN/>
        <w:bidi w:val="0"/>
        <w:jc w:val="left"/>
        <w:textAlignment w:val="auto"/>
        <w:rPr>
          <w:rFonts w:hint="default" w:ascii="Times New Roman" w:hAnsi="Times New Roman" w:cs="Times New Roman"/>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fmt="numberInDash" w:start="1"/>
          <w:cols w:space="425" w:num="1"/>
          <w:titlePg/>
          <w:docGrid w:type="lines" w:linePitch="312" w:charSpace="0"/>
        </w:sectPr>
      </w:pPr>
    </w:p>
    <w:p>
      <w:pPr>
        <w:pageBreakBefore w:val="0"/>
        <w:kinsoku/>
        <w:wordWrap/>
        <w:overflowPunct/>
        <w:topLinePunct w:val="0"/>
        <w:autoSpaceDE/>
        <w:autoSpaceDN/>
        <w:bidi w:val="0"/>
        <w:jc w:val="center"/>
        <w:textAlignment w:val="auto"/>
        <w:rPr>
          <w:rFonts w:hint="default" w:ascii="Times New Roman" w:hAnsi="Times New Roman" w:cs="Times New Roman"/>
        </w:rPr>
      </w:pPr>
    </w:p>
    <w:bookmarkEnd w:id="0"/>
    <w:bookmarkEnd w:id="1"/>
    <w:bookmarkEnd w:id="2"/>
    <w:bookmarkEnd w:id="3"/>
    <w:bookmarkEnd w:id="4"/>
    <w:bookmarkEnd w:id="5"/>
    <w:p>
      <w:pPr>
        <w:pageBreakBefore w:val="0"/>
        <w:widowControl/>
        <w:kinsoku/>
        <w:wordWrap/>
        <w:overflowPunct/>
        <w:topLinePunct w:val="0"/>
        <w:autoSpaceDE/>
        <w:autoSpaceDN/>
        <w:bidi w:val="0"/>
        <w:jc w:val="center"/>
        <w:textAlignment w:val="auto"/>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目录</w:t>
      </w:r>
    </w:p>
    <w:p>
      <w:pPr>
        <w:pageBreakBefore w:val="0"/>
        <w:widowControl/>
        <w:kinsoku/>
        <w:wordWrap/>
        <w:overflowPunct/>
        <w:topLinePunct w:val="0"/>
        <w:autoSpaceDE/>
        <w:autoSpaceDN/>
        <w:bidi w:val="0"/>
        <w:jc w:val="center"/>
        <w:textAlignment w:val="auto"/>
        <w:rPr>
          <w:rFonts w:hint="default" w:ascii="Times New Roman" w:hAnsi="Times New Roman" w:eastAsia="黑体" w:cs="Times New Roman"/>
          <w:sz w:val="28"/>
          <w:szCs w:val="28"/>
        </w:rPr>
      </w:pPr>
    </w:p>
    <w:p>
      <w:pPr>
        <w:pStyle w:val="13"/>
        <w:pageBreakBefore w:val="0"/>
        <w:kinsoku/>
        <w:wordWrap/>
        <w:overflowPunct/>
        <w:topLinePunct w:val="0"/>
        <w:autoSpaceDE/>
        <w:autoSpaceDN/>
        <w:bidi w:val="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公开时间：202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pageBreakBefore w:val="0"/>
        <w:kinsoku/>
        <w:wordWrap/>
        <w:overflowPunct/>
        <w:topLinePunct w:val="0"/>
        <w:autoSpaceDE/>
        <w:autoSpaceDN/>
        <w:bidi w:val="0"/>
        <w:jc w:val="left"/>
        <w:textAlignment w:val="auto"/>
        <w:rPr>
          <w:rFonts w:hint="default" w:ascii="Times New Roman" w:hAnsi="Times New Roman" w:cs="Times New Roman"/>
        </w:rPr>
      </w:pPr>
    </w:p>
    <w:p>
      <w:pPr>
        <w:pStyle w:val="13"/>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sz w:val="32"/>
          <w:szCs w:val="32"/>
        </w:rPr>
        <w:t>第一部分</w:t>
      </w:r>
      <w:r>
        <w:rPr>
          <w:rFonts w:hint="default" w:ascii="Times New Roman" w:hAnsi="Times New Roman" w:eastAsia="黑体" w:cs="Times New Roman"/>
          <w:color w:val="auto"/>
          <w:sz w:val="32"/>
          <w:szCs w:val="32"/>
        </w:rPr>
        <w:t xml:space="preserve"> </w:t>
      </w:r>
      <w:r>
        <w:rPr>
          <w:rFonts w:hint="eastAsia" w:ascii="Times New Roman" w:hAnsi="Times New Roman" w:eastAsia="黑体" w:cs="Times New Roman"/>
          <w:color w:val="auto"/>
          <w:sz w:val="32"/>
          <w:szCs w:val="32"/>
          <w:lang w:eastAsia="zh-CN"/>
        </w:rPr>
        <w:t>单位</w:t>
      </w:r>
      <w:r>
        <w:rPr>
          <w:rFonts w:hint="default" w:ascii="Times New Roman" w:hAnsi="Times New Roman" w:eastAsia="黑体" w:cs="Times New Roman"/>
          <w:color w:val="auto"/>
          <w:sz w:val="32"/>
          <w:szCs w:val="32"/>
        </w:rPr>
        <w:t>概况</w:t>
      </w:r>
      <w:r>
        <w:rPr>
          <w:rFonts w:hint="eastAsia" w:ascii="Times New Roman" w:hAnsi="Times New Roman" w:eastAsia="黑体" w:cs="Times New Roman"/>
          <w:color w:val="auto"/>
          <w:sz w:val="32"/>
          <w:szCs w:val="32"/>
          <w:lang w:val="en-US" w:eastAsia="zh-CN"/>
        </w:rPr>
        <w:tab/>
      </w:r>
      <w:r>
        <w:rPr>
          <w:rFonts w:hint="eastAsia" w:ascii="Times New Roman" w:hAnsi="Times New Roman" w:eastAsia="黑体" w:cs="Times New Roman"/>
          <w:color w:val="auto"/>
          <w:sz w:val="32"/>
          <w:szCs w:val="32"/>
          <w:lang w:val="en-US" w:eastAsia="zh-CN"/>
        </w:rPr>
        <w:t>1</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w:t>
      </w:r>
      <w:r>
        <w:rPr>
          <w:rFonts w:hint="eastAsia"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职责</w:t>
      </w:r>
      <w:r>
        <w:rPr>
          <w:rFonts w:hint="eastAsia" w:eastAsia="仿宋_GB2312" w:cs="Times New Roman"/>
          <w:color w:val="auto"/>
          <w:sz w:val="32"/>
          <w:szCs w:val="32"/>
          <w:lang w:val="en-US" w:eastAsia="zh-CN"/>
        </w:rPr>
        <w:tab/>
      </w:r>
      <w:r>
        <w:rPr>
          <w:rFonts w:hint="eastAsia" w:eastAsia="仿宋_GB2312" w:cs="Times New Roman"/>
          <w:color w:val="auto"/>
          <w:sz w:val="32"/>
          <w:szCs w:val="32"/>
          <w:lang w:val="en-US" w:eastAsia="zh-CN"/>
        </w:rPr>
        <w:t>1</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二、机构设置</w:t>
      </w:r>
      <w:r>
        <w:rPr>
          <w:rFonts w:hint="eastAsia" w:eastAsia="仿宋_GB2312" w:cs="Times New Roman"/>
          <w:color w:val="auto"/>
          <w:sz w:val="32"/>
          <w:szCs w:val="32"/>
          <w:lang w:val="en-US" w:eastAsia="zh-CN"/>
        </w:rPr>
        <w:tab/>
      </w:r>
      <w:r>
        <w:rPr>
          <w:rFonts w:hint="eastAsia" w:eastAsia="仿宋_GB2312" w:cs="Times New Roman"/>
          <w:color w:val="auto"/>
          <w:sz w:val="32"/>
          <w:szCs w:val="32"/>
          <w:lang w:val="en-US" w:eastAsia="zh-CN"/>
        </w:rPr>
        <w:t>5</w:t>
      </w:r>
    </w:p>
    <w:p>
      <w:pPr>
        <w:pStyle w:val="13"/>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color w:val="auto"/>
          <w:sz w:val="32"/>
          <w:szCs w:val="32"/>
        </w:rPr>
        <w:t>第二部分 2024年度</w:t>
      </w:r>
      <w:r>
        <w:rPr>
          <w:rFonts w:hint="eastAsia" w:ascii="Times New Roman" w:hAnsi="Times New Roman" w:eastAsia="黑体" w:cs="Times New Roman"/>
          <w:color w:val="auto"/>
          <w:sz w:val="32"/>
          <w:szCs w:val="32"/>
          <w:lang w:eastAsia="zh-CN"/>
        </w:rPr>
        <w:t>单位</w:t>
      </w:r>
      <w:r>
        <w:rPr>
          <w:rFonts w:hint="default" w:ascii="Times New Roman" w:hAnsi="Times New Roman" w:eastAsia="黑体" w:cs="Times New Roman"/>
          <w:sz w:val="32"/>
          <w:szCs w:val="32"/>
        </w:rPr>
        <w:t>决算情况说明</w:t>
      </w:r>
      <w:r>
        <w:rPr>
          <w:rFonts w:hint="eastAsia" w:ascii="Times New Roman" w:hAnsi="Times New Roman" w:eastAsia="黑体" w:cs="Times New Roman"/>
          <w:sz w:val="32"/>
          <w:szCs w:val="32"/>
          <w:lang w:val="en-US" w:eastAsia="zh-CN"/>
        </w:rPr>
        <w:tab/>
      </w:r>
      <w:r>
        <w:rPr>
          <w:rFonts w:hint="eastAsia" w:ascii="Times New Roman" w:hAnsi="Times New Roman" w:eastAsia="黑体" w:cs="Times New Roman"/>
          <w:sz w:val="32"/>
          <w:szCs w:val="32"/>
          <w:lang w:val="en-US" w:eastAsia="zh-CN"/>
        </w:rPr>
        <w:t>6</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一、收入支出决算总体情况说明</w:t>
      </w:r>
      <w:r>
        <w:rPr>
          <w:rFonts w:hint="eastAsia" w:eastAsia="仿宋_GB2312" w:cs="Times New Roman"/>
          <w:sz w:val="32"/>
          <w:szCs w:val="32"/>
          <w:lang w:val="en-US" w:eastAsia="zh-CN"/>
        </w:rPr>
        <w:tab/>
      </w:r>
      <w:r>
        <w:rPr>
          <w:rFonts w:hint="eastAsia" w:eastAsia="仿宋_GB2312" w:cs="Times New Roman"/>
          <w:sz w:val="32"/>
          <w:szCs w:val="32"/>
          <w:lang w:val="en-US" w:eastAsia="zh-CN"/>
        </w:rPr>
        <w:t>6</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二、收入决算情况说明</w:t>
      </w:r>
      <w:r>
        <w:rPr>
          <w:rFonts w:hint="eastAsia" w:eastAsia="仿宋_GB2312" w:cs="Times New Roman"/>
          <w:sz w:val="32"/>
          <w:szCs w:val="32"/>
          <w:lang w:val="en-US" w:eastAsia="zh-CN"/>
        </w:rPr>
        <w:tab/>
      </w:r>
      <w:r>
        <w:rPr>
          <w:rFonts w:hint="eastAsia" w:eastAsia="仿宋_GB2312" w:cs="Times New Roman"/>
          <w:sz w:val="32"/>
          <w:szCs w:val="32"/>
          <w:lang w:val="en-US" w:eastAsia="zh-CN"/>
        </w:rPr>
        <w:t>6</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三、支出决算情况说明</w:t>
      </w:r>
      <w:r>
        <w:rPr>
          <w:rFonts w:hint="eastAsia" w:eastAsia="仿宋_GB2312" w:cs="Times New Roman"/>
          <w:sz w:val="32"/>
          <w:szCs w:val="32"/>
          <w:lang w:val="en-US" w:eastAsia="zh-CN"/>
        </w:rPr>
        <w:tab/>
      </w:r>
      <w:r>
        <w:rPr>
          <w:rFonts w:hint="eastAsia" w:eastAsia="仿宋_GB2312" w:cs="Times New Roman"/>
          <w:sz w:val="32"/>
          <w:szCs w:val="32"/>
          <w:lang w:val="en-US" w:eastAsia="zh-CN"/>
        </w:rPr>
        <w:t>7</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四、财政拨款收入支出决算总体情况说明</w:t>
      </w:r>
      <w:r>
        <w:rPr>
          <w:rFonts w:hint="eastAsia" w:eastAsia="仿宋_GB2312" w:cs="Times New Roman"/>
          <w:sz w:val="32"/>
          <w:szCs w:val="32"/>
          <w:lang w:val="en-US" w:eastAsia="zh-CN"/>
        </w:rPr>
        <w:tab/>
      </w:r>
      <w:r>
        <w:rPr>
          <w:rFonts w:hint="eastAsia" w:eastAsia="仿宋_GB2312" w:cs="Times New Roman"/>
          <w:sz w:val="32"/>
          <w:szCs w:val="32"/>
          <w:lang w:val="en-US" w:eastAsia="zh-CN"/>
        </w:rPr>
        <w:t>7</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五、一般公共预算财政拨款支出决算情况说明</w:t>
      </w:r>
      <w:r>
        <w:rPr>
          <w:rFonts w:hint="eastAsia" w:eastAsia="仿宋_GB2312" w:cs="Times New Roman"/>
          <w:sz w:val="32"/>
          <w:szCs w:val="32"/>
          <w:lang w:val="en-US" w:eastAsia="zh-CN"/>
        </w:rPr>
        <w:tab/>
      </w:r>
      <w:r>
        <w:rPr>
          <w:rFonts w:hint="eastAsia" w:eastAsia="仿宋_GB2312" w:cs="Times New Roman"/>
          <w:sz w:val="32"/>
          <w:szCs w:val="32"/>
          <w:lang w:val="en-US" w:eastAsia="zh-CN"/>
        </w:rPr>
        <w:t>8</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六、一般公共预算财政拨款基本支出决算情况说明</w:t>
      </w:r>
      <w:r>
        <w:rPr>
          <w:rFonts w:hint="eastAsia" w:eastAsia="仿宋_GB2312" w:cs="Times New Roman"/>
          <w:sz w:val="32"/>
          <w:szCs w:val="32"/>
          <w:lang w:val="en-US" w:eastAsia="zh-CN"/>
        </w:rPr>
        <w:tab/>
      </w:r>
      <w:r>
        <w:rPr>
          <w:rFonts w:hint="eastAsia" w:eastAsia="仿宋_GB2312" w:cs="Times New Roman"/>
          <w:sz w:val="32"/>
          <w:szCs w:val="32"/>
          <w:lang w:val="en-US" w:eastAsia="zh-CN"/>
        </w:rPr>
        <w:t>11</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七、财政拨款“三公”经费支出决算情况说明</w:t>
      </w:r>
      <w:r>
        <w:rPr>
          <w:rFonts w:hint="eastAsia" w:eastAsia="仿宋_GB2312" w:cs="Times New Roman"/>
          <w:sz w:val="32"/>
          <w:szCs w:val="32"/>
          <w:lang w:val="en-US" w:eastAsia="zh-CN"/>
        </w:rPr>
        <w:tab/>
      </w:r>
      <w:r>
        <w:rPr>
          <w:rFonts w:hint="eastAsia" w:eastAsia="仿宋_GB2312" w:cs="Times New Roman"/>
          <w:sz w:val="32"/>
          <w:szCs w:val="32"/>
          <w:lang w:val="en-US" w:eastAsia="zh-CN"/>
        </w:rPr>
        <w:t>11</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八、政府性基金预算支出决算情况说明</w:t>
      </w:r>
      <w:r>
        <w:rPr>
          <w:rFonts w:hint="eastAsia" w:eastAsia="仿宋_GB2312" w:cs="Times New Roman"/>
          <w:sz w:val="32"/>
          <w:szCs w:val="32"/>
          <w:lang w:val="en-US" w:eastAsia="zh-CN"/>
        </w:rPr>
        <w:tab/>
      </w:r>
      <w:r>
        <w:rPr>
          <w:rFonts w:hint="eastAsia" w:eastAsia="仿宋_GB2312" w:cs="Times New Roman"/>
          <w:sz w:val="32"/>
          <w:szCs w:val="32"/>
          <w:lang w:val="en-US" w:eastAsia="zh-CN"/>
        </w:rPr>
        <w:t>13</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九、国有资本经营预算支出决算情况说明</w:t>
      </w:r>
      <w:r>
        <w:rPr>
          <w:rFonts w:hint="eastAsia" w:eastAsia="仿宋_GB2312" w:cs="Times New Roman"/>
          <w:sz w:val="32"/>
          <w:szCs w:val="32"/>
          <w:lang w:val="en-US" w:eastAsia="zh-CN"/>
        </w:rPr>
        <w:tab/>
      </w:r>
      <w:r>
        <w:rPr>
          <w:rFonts w:hint="eastAsia" w:eastAsia="仿宋_GB2312" w:cs="Times New Roman"/>
          <w:sz w:val="32"/>
          <w:szCs w:val="32"/>
          <w:lang w:val="en-US" w:eastAsia="zh-CN"/>
        </w:rPr>
        <w:t>14</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十、其他重要事项的情况说明</w:t>
      </w:r>
      <w:r>
        <w:rPr>
          <w:rFonts w:hint="eastAsia" w:eastAsia="仿宋_GB2312" w:cs="Times New Roman"/>
          <w:sz w:val="32"/>
          <w:szCs w:val="32"/>
          <w:lang w:val="en-US" w:eastAsia="zh-CN"/>
        </w:rPr>
        <w:tab/>
      </w:r>
      <w:r>
        <w:rPr>
          <w:rFonts w:hint="eastAsia" w:eastAsia="仿宋_GB2312" w:cs="Times New Roman"/>
          <w:sz w:val="32"/>
          <w:szCs w:val="32"/>
          <w:lang w:val="en-US" w:eastAsia="zh-CN"/>
        </w:rPr>
        <w:t>14</w:t>
      </w:r>
    </w:p>
    <w:p>
      <w:pPr>
        <w:pStyle w:val="13"/>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第三部分 名词解释</w:t>
      </w:r>
      <w:r>
        <w:rPr>
          <w:rFonts w:hint="eastAsia" w:ascii="Times New Roman" w:hAnsi="Times New Roman" w:eastAsia="黑体" w:cs="Times New Roman"/>
          <w:sz w:val="32"/>
          <w:szCs w:val="32"/>
          <w:lang w:val="en-US" w:eastAsia="zh-CN"/>
        </w:rPr>
        <w:tab/>
      </w:r>
      <w:r>
        <w:rPr>
          <w:rFonts w:hint="eastAsia" w:ascii="Times New Roman" w:hAnsi="Times New Roman" w:eastAsia="黑体" w:cs="Times New Roman"/>
          <w:sz w:val="32"/>
          <w:szCs w:val="32"/>
          <w:lang w:val="en-US" w:eastAsia="zh-CN"/>
        </w:rPr>
        <w:t>16</w:t>
      </w:r>
    </w:p>
    <w:p>
      <w:pPr>
        <w:pStyle w:val="13"/>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第四部分 附件</w:t>
      </w:r>
      <w:r>
        <w:rPr>
          <w:rFonts w:hint="eastAsia" w:ascii="Times New Roman" w:hAnsi="Times New Roman" w:eastAsia="黑体" w:cs="Times New Roman"/>
          <w:sz w:val="32"/>
          <w:szCs w:val="32"/>
          <w:lang w:val="en-US" w:eastAsia="zh-CN"/>
        </w:rPr>
        <w:tab/>
      </w:r>
      <w:r>
        <w:rPr>
          <w:rFonts w:hint="eastAsia" w:ascii="Times New Roman" w:hAnsi="Times New Roman" w:eastAsia="黑体" w:cs="Times New Roman"/>
          <w:sz w:val="32"/>
          <w:szCs w:val="32"/>
          <w:lang w:val="en-US" w:eastAsia="zh-CN"/>
        </w:rPr>
        <w:t>19</w:t>
      </w:r>
    </w:p>
    <w:p>
      <w:pPr>
        <w:pStyle w:val="13"/>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第五部分 附表</w:t>
      </w:r>
      <w:r>
        <w:rPr>
          <w:rFonts w:hint="eastAsia" w:ascii="Times New Roman" w:hAnsi="Times New Roman" w:eastAsia="黑体"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一、收入支出决算总表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二、收入决算表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三、支出决算表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四、财政拨款收入支出决算总表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五、财政拨款支出决算明细表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六、一般公共预算财政拨款支出决算表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七、一般公共预算财政拨款支出决算明细表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八、一般公共预算财政拨款基本支出决算明细表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九、一般公共预算财政拨款项目支出决算表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十、政府性基金预算财政拨款收入支出决算表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十一、国有资本经营预算财政拨款收入支出决算表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十二、国有资本经营预算财政拨款支出决算表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15"/>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十三、财政拨款“三公”经费支出决算表</w:t>
      </w:r>
      <w:r>
        <w:rPr>
          <w:rFonts w:hint="eastAsia" w:eastAsia="仿宋_GB2312" w:cs="Times New Roman"/>
          <w:sz w:val="32"/>
          <w:szCs w:val="32"/>
          <w:lang w:val="en-US" w:eastAsia="zh-CN"/>
        </w:rPr>
        <w:tab/>
      </w:r>
      <w:r>
        <w:rPr>
          <w:rFonts w:hint="eastAsia" w:ascii="Times New Roman" w:hAnsi="Times New Roman" w:eastAsia="黑体" w:cs="Times New Roman"/>
          <w:sz w:val="32"/>
          <w:szCs w:val="32"/>
          <w:lang w:val="en-US" w:eastAsia="zh-CN"/>
        </w:rPr>
        <w:t>20</w:t>
      </w:r>
    </w:p>
    <w:p>
      <w:pPr>
        <w:pStyle w:val="3"/>
        <w:pageBreakBefore w:val="0"/>
        <w:kinsoku/>
        <w:wordWrap/>
        <w:overflowPunct/>
        <w:topLinePunct w:val="0"/>
        <w:autoSpaceDE/>
        <w:autoSpaceDN/>
        <w:bidi w:val="0"/>
        <w:jc w:val="left"/>
        <w:textAlignment w:val="auto"/>
        <w:rPr>
          <w:rFonts w:hint="default" w:ascii="Times New Roman" w:hAnsi="Times New Roman" w:eastAsia="方正小标宋简体" w:cs="Times New Roman"/>
          <w:b w:val="0"/>
        </w:rPr>
        <w:sectPr>
          <w:footerReference r:id="rId9" w:type="first"/>
          <w:footerReference r:id="rId8" w:type="default"/>
          <w:pgSz w:w="11906" w:h="16838"/>
          <w:pgMar w:top="1440" w:right="1800" w:bottom="1440" w:left="1800" w:header="851" w:footer="992" w:gutter="0"/>
          <w:pgNumType w:fmt="numberInDash" w:start="1"/>
          <w:cols w:space="425" w:num="1"/>
          <w:titlePg/>
          <w:docGrid w:type="lines" w:linePitch="312" w:charSpace="0"/>
        </w:sectPr>
      </w:pPr>
      <w:bookmarkStart w:id="6" w:name="_Toc15377196"/>
      <w:bookmarkStart w:id="7" w:name="_Toc15396599"/>
    </w:p>
    <w:p>
      <w:pPr>
        <w:pStyle w:val="3"/>
        <w:pageBreakBefore w:val="0"/>
        <w:kinsoku/>
        <w:wordWrap/>
        <w:overflowPunct/>
        <w:topLinePunct w:val="0"/>
        <w:autoSpaceDE/>
        <w:autoSpaceDN/>
        <w:bidi w:val="0"/>
        <w:jc w:val="center"/>
        <w:textAlignment w:val="auto"/>
        <w:rPr>
          <w:rStyle w:val="28"/>
          <w:rFonts w:hint="default" w:ascii="Times New Roman" w:hAnsi="Times New Roman" w:eastAsia="方正小标宋简体" w:cs="Times New Roman"/>
          <w:b/>
          <w:bCs w:val="0"/>
          <w:color w:val="auto"/>
        </w:rPr>
      </w:pPr>
      <w:r>
        <w:rPr>
          <w:rFonts w:hint="default" w:ascii="Times New Roman" w:hAnsi="Times New Roman" w:eastAsia="方正小标宋简体" w:cs="Times New Roman"/>
          <w:b w:val="0"/>
          <w:color w:val="auto"/>
        </w:rPr>
        <w:t xml:space="preserve">第一部分  </w:t>
      </w:r>
      <w:r>
        <w:rPr>
          <w:rStyle w:val="28"/>
          <w:rFonts w:hint="eastAsia" w:eastAsia="方正小标宋简体" w:cs="Times New Roman"/>
          <w:b w:val="0"/>
          <w:bCs w:val="0"/>
          <w:color w:val="auto"/>
          <w:lang w:eastAsia="zh-CN"/>
        </w:rPr>
        <w:t>单位</w:t>
      </w:r>
      <w:r>
        <w:rPr>
          <w:rStyle w:val="28"/>
          <w:rFonts w:hint="default" w:ascii="Times New Roman" w:hAnsi="Times New Roman" w:eastAsia="方正小标宋简体" w:cs="Times New Roman"/>
          <w:b w:val="0"/>
          <w:bCs w:val="0"/>
          <w:color w:val="auto"/>
        </w:rPr>
        <w:t>概况</w:t>
      </w:r>
      <w:bookmarkEnd w:id="6"/>
      <w:bookmarkEnd w:id="7"/>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黑体" w:cs="Times New Roman"/>
          <w:b w:val="0"/>
          <w:color w:val="auto"/>
        </w:rPr>
      </w:pPr>
      <w:bookmarkStart w:id="8" w:name="_Toc15396600"/>
      <w:bookmarkStart w:id="9" w:name="_Toc15377197"/>
      <w:r>
        <w:rPr>
          <w:rFonts w:hint="default" w:ascii="Times New Roman" w:hAnsi="Times New Roman" w:eastAsia="黑体" w:cs="Times New Roman"/>
          <w:b w:val="0"/>
          <w:color w:val="auto"/>
        </w:rPr>
        <w:t>一、</w:t>
      </w:r>
      <w:bookmarkEnd w:id="8"/>
      <w:bookmarkEnd w:id="9"/>
      <w:r>
        <w:rPr>
          <w:rFonts w:hint="eastAsia" w:ascii="Times New Roman" w:hAnsi="Times New Roman" w:eastAsia="黑体" w:cs="Times New Roman"/>
          <w:b w:val="0"/>
          <w:color w:val="auto"/>
          <w:lang w:eastAsia="zh-CN"/>
        </w:rPr>
        <w:t>单位</w:t>
      </w:r>
      <w:r>
        <w:rPr>
          <w:rFonts w:hint="default" w:ascii="Times New Roman" w:hAnsi="Times New Roman" w:eastAsia="黑体" w:cs="Times New Roman"/>
          <w:b w:val="0"/>
          <w:color w:val="auto"/>
        </w:rPr>
        <w:t>职责</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负责建立健全全市生态环境基本制度。会同有关部门拟订并组织实施全市生态环境政策、规划，起草生态环境保护的地方性法规、规章草案，并依法组织实施和监督检查。组织编制环境功能区划，会同有关部门编制并监督实施重点区域、流域、饮用水水源地生态环境规划和水功能区划，组织拟订生态环境地方标准、技术规范。参与制定与全市生态环境相关的经济、技术、资源配置和产业政策。参与拟订全市主体功能区划。</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负责全市重大生态环境问题的统筹协调和监督管理。牵头协调全市重特大突发生态环境事件和生态破坏事件的调查处理，指导协调各县（区）对重特大突发生态环境事件的应急、预警工作，牵头指导实施生态环境损害赔偿制度，协调解决有关跨区域环境污染纠纷，统筹协调全市重点区域、流域的生态环境保护工作。</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负责监督管理全市减排目标的落实。组织制定并监督实施全市各类污染物排放总量控制和排污许可证制度，确定大气、水等环境纳污能力，提出实施总量控制的污染物名称和控制指标，监督检查各县（区）、园区、企业污染物减排任务完成情况，实施生态环境目标责任制。</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负责全市环境污染防治的监督管理。组织制定并监督实施全市大气、水、土壤、噪声、光、恶臭、固体废物、化学品、机动车等的污染防治管理制度。会同有关部门监督管理饮用水水源地生态环境保护工作，组织指导城乡生态环境综合整治工作，监督指导农业面源污染治理工作。监督指导区域大气环境保护工作，牵头建立区域大气污染联防联控协作机制并监督实施。按职责分工组织开展全市强制性清洁生产审核工作。</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指导协调和监督全市生态保护修复工作。组织编制和监督实施生态保护规划，监督对生态环境有影响的自然资源开发利用活动、重要生态环境建设和生态破坏恢复工作。组织、指导生态示范创建工作。组织制定全市各类自然保护地生态环境监管制度并监督执法，承担自然保护地、生态保护红线相关监管工作。监督野生动植物保护、湿地生态环境保护、荒漠化防治等工作。指导协调和监督全市农村生态环境保护，监督生物技术环境安全，牵头生物物种（含遗传资源）工作，组织协调生物多样性保护工作，参与生态保护补偿工作。</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负责全市核与辐射安全的监督管理。贯彻执行国家、省核与辐射安全法律、法规、规章、政策、规划和技术标准。负责辐射环境事故应急处理工作，参与核事故应急处理。监督管理放射源与射线装置安全，监督管理全市核技术应用、电磁辐射、伴有放射性矿产资源开发利用中的污染防治。负责核与辐射建设项目“三同时”（同时设计、同时施工、同时投产使用）管理工作，参与核设施安全、核设施污染防治监督管理相关工作，参与对核材料的管制和民用核安全设备的设计、制造、安装和无损检验活动的监督管理。负责核与辐射环境监测和执法工作。参与反生化、核与辐射恐怖事件的防范和处理。</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负责全市生态环境准入的监督管理。受市政府委托对重大经济和技术政策、发展规划以及重大经济开发计划进行环境影响评价。按规定审批或审查重大开发建设区域、规划、项目环境影响评价文件。拟订并组织实施全市生态环境准入清单。</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负责全市生态环境监测、统计和信息发布工作。监督执行国家、省颁布的各类环境标准，负责全市环境监测制度和规范相关工作。会同有关部门统一规划全市生态环境质量监测站点设置，组织实施生态环境质量监测、污染源监督性监测、温室气体减排监测、应急监测。组织对全市生态环境质量状况进行调查评价、预警预测，组织建设和管理全市生态环境监测网和生态环境信息网。负责全市生态环境质量考核和生态环境统计工作。建立和实行生态环境质量公告制度，统一发布全市生态环境综合性报告和重大环境信息。</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负责应对气候变化工作。组织实施国家、省应对气候变化及温室气体减排重大战略、规划和政策，组织拟订全市应对气候变化的规划和政策措施。</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（十一）</w:t>
      </w:r>
      <w:r>
        <w:rPr>
          <w:rFonts w:hint="default" w:ascii="Times New Roman" w:hAnsi="Times New Roman" w:eastAsia="仿宋_GB2312" w:cs="Times New Roman"/>
          <w:sz w:val="32"/>
          <w:szCs w:val="32"/>
        </w:rPr>
        <w:t>负责生态环境保护领域的综合行政执法工作。组织开展全市生态环境保护执法检查。监督实施全市建设项目生态环境保护设施“三同时”制度。查处全市重大生态环境违法问题。负责全市生态环境保护综合执法队伍建设并指导开展业务工作。</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（十二）</w:t>
      </w:r>
      <w:r>
        <w:rPr>
          <w:rFonts w:hint="default" w:ascii="Times New Roman" w:hAnsi="Times New Roman" w:eastAsia="仿宋_GB2312" w:cs="Times New Roman"/>
          <w:sz w:val="32"/>
          <w:szCs w:val="32"/>
        </w:rPr>
        <w:t>组织指导和协调全市生态环境宣传教育工作。制定并组织实施全市生态环境保护宣传教育有关规划和计划。推动社会组织和公众参与生态环境保护。会同有关部门依法对全市保护和改善生态环境有显著成绩的单位和个人给予表彰和奖励。</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（十三）</w:t>
      </w:r>
      <w:r>
        <w:rPr>
          <w:rFonts w:hint="default" w:ascii="Times New Roman" w:hAnsi="Times New Roman" w:eastAsia="仿宋_GB2312" w:cs="Times New Roman"/>
          <w:sz w:val="32"/>
          <w:szCs w:val="32"/>
        </w:rPr>
        <w:t>开展全市生态环境科技工作。管理全市生态环境保护科技成果并推广应用。组织开展全市生态环境重大科学研究和技术工程示范，推动生态环境技术管理体系建设。</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（十四）</w:t>
      </w:r>
      <w:r>
        <w:rPr>
          <w:rFonts w:hint="default" w:ascii="Times New Roman" w:hAnsi="Times New Roman" w:eastAsia="仿宋_GB2312" w:cs="Times New Roman"/>
          <w:sz w:val="32"/>
          <w:szCs w:val="32"/>
        </w:rPr>
        <w:t>开展生态环境对外交流与合作。参与协调市内重要生态环境保护国际活动和区域合作，管理全市生态环境系统对外经济合作，参与处理涉外生态环境保护事务，负责与环境保护国际组织的联系工作。</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（十五）</w:t>
      </w:r>
      <w:r>
        <w:rPr>
          <w:rFonts w:hint="default" w:ascii="Times New Roman" w:hAnsi="Times New Roman" w:eastAsia="仿宋_GB2312" w:cs="Times New Roman"/>
          <w:sz w:val="32"/>
          <w:szCs w:val="32"/>
        </w:rPr>
        <w:t>负责职责范围内安全生产和职业健康、审批服务便民化等工作。</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（十六）</w:t>
      </w:r>
      <w:r>
        <w:rPr>
          <w:rFonts w:hint="default" w:ascii="Times New Roman" w:hAnsi="Times New Roman" w:eastAsia="仿宋_GB2312" w:cs="Times New Roman"/>
          <w:sz w:val="32"/>
          <w:szCs w:val="32"/>
        </w:rPr>
        <w:t>完成市委、市政府和省生态环境厅交办的其他任务。</w:t>
      </w:r>
    </w:p>
    <w:p>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宋体" w:cs="Times New Roman"/>
        </w:rPr>
      </w:pPr>
      <w:r>
        <w:rPr>
          <w:rFonts w:hint="default" w:ascii="Times New Roman" w:hAnsi="Times New Roman" w:eastAsia="仿宋_GB2312" w:cs="Times New Roman"/>
          <w:sz w:val="32"/>
          <w:szCs w:val="32"/>
          <w:lang w:eastAsia="zh-CN"/>
        </w:rPr>
        <w:t>（十七）</w:t>
      </w:r>
      <w:r>
        <w:rPr>
          <w:rFonts w:hint="default" w:ascii="Times New Roman" w:hAnsi="Times New Roman" w:eastAsia="仿宋_GB2312" w:cs="Times New Roman"/>
          <w:sz w:val="32"/>
          <w:szCs w:val="32"/>
        </w:rPr>
        <w:t>职能转变。统一行使全市生态和城乡各类污染排放监管职责，按照国家、省确定的综合行政执法改革要求实施与此对应的行政执法职责，统一负责全市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Style w:val="29"/>
          <w:rFonts w:hint="default" w:ascii="Times New Roman" w:hAnsi="Times New Roman" w:cs="Times New Roman"/>
          <w:b w:val="0"/>
          <w:bCs w:val="0"/>
        </w:rPr>
      </w:pPr>
      <w:bookmarkStart w:id="10" w:name="_Toc15377200"/>
      <w:bookmarkStart w:id="11" w:name="_Toc15396601"/>
      <w:r>
        <w:rPr>
          <w:rFonts w:hint="default" w:ascii="Times New Roman" w:hAnsi="Times New Roman" w:eastAsia="黑体" w:cs="Times New Roman"/>
          <w:b w:val="0"/>
        </w:rPr>
        <w:t>二、机</w:t>
      </w:r>
      <w:r>
        <w:rPr>
          <w:rStyle w:val="29"/>
          <w:rFonts w:hint="default" w:ascii="Times New Roman" w:hAnsi="Times New Roman" w:eastAsia="黑体" w:cs="Times New Roman"/>
          <w:b w:val="0"/>
          <w:bCs w:val="0"/>
        </w:rPr>
        <w:t>构设置</w:t>
      </w:r>
      <w:bookmarkEnd w:id="10"/>
      <w:bookmarkEnd w:id="11"/>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eastAsia="zh-CN"/>
        </w:rPr>
        <w:t>攀枝花市生态环境局</w:t>
      </w:r>
      <w:r>
        <w:rPr>
          <w:rFonts w:hint="default" w:ascii="Times New Roman" w:hAnsi="Times New Roman" w:eastAsia="仿宋_GB2312" w:cs="Times New Roman"/>
          <w:sz w:val="32"/>
          <w:szCs w:val="32"/>
        </w:rPr>
        <w:t>属二级预算单位，内设14个职能科室</w:t>
      </w:r>
      <w:r>
        <w:rPr>
          <w:rFonts w:hint="default" w:ascii="Times New Roman" w:hAnsi="Times New Roman" w:eastAsia="仿宋_GB2312" w:cs="Times New Roman"/>
          <w:sz w:val="32"/>
          <w:szCs w:val="32"/>
          <w:lang w:eastAsia="zh-CN"/>
        </w:rPr>
        <w:t>：办公室、综合科、督察科、政策法规与宣传科、农村与自然生态科、水生态环境科、大气环境科、土壤与固体废物管理科、核与辐射管理科、科技与财务科、行政审批科、园区监管科、人事科、机关党委办公室。</w:t>
      </w:r>
      <w:r>
        <w:rPr>
          <w:rFonts w:hint="default" w:ascii="Times New Roman" w:hAnsi="Times New Roman" w:eastAsia="仿宋_GB2312" w:cs="Times New Roman"/>
          <w:sz w:val="32"/>
          <w:szCs w:val="32"/>
        </w:rPr>
        <w:t>设攀枝花市东区生态环境局、攀枝花市西区生态环境局、攀枝花市仁和生态环境局、攀枝花市米易生态环境局、攀枝花市盐边生态环境局5个派出机构。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纳入</w:t>
      </w:r>
      <w:r>
        <w:rPr>
          <w:rFonts w:hint="default" w:ascii="Times New Roman" w:hAnsi="Times New Roman" w:eastAsia="仿宋" w:cs="Times New Roman"/>
          <w:sz w:val="32"/>
          <w:szCs w:val="32"/>
          <w:lang w:eastAsia="zh-CN"/>
        </w:rPr>
        <w:t>市</w:t>
      </w:r>
      <w:r>
        <w:rPr>
          <w:rFonts w:hint="default" w:ascii="Times New Roman" w:hAnsi="Times New Roman" w:eastAsia="仿宋" w:cs="Times New Roman"/>
          <w:sz w:val="32"/>
          <w:szCs w:val="32"/>
        </w:rPr>
        <w:t>生态环境局202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年度部门决算编制范围的独立编制机构包括：</w:t>
      </w:r>
      <w:r>
        <w:rPr>
          <w:rFonts w:hint="default" w:ascii="Times New Roman" w:hAnsi="Times New Roman" w:eastAsia="仿宋_GB2312" w:cs="Times New Roman"/>
          <w:sz w:val="32"/>
          <w:szCs w:val="32"/>
          <w:lang w:val="en-US" w:eastAsia="zh-CN"/>
        </w:rPr>
        <w:t>1.攀枝花市生态环境局；2.</w:t>
      </w:r>
      <w:r>
        <w:rPr>
          <w:rFonts w:hint="default" w:ascii="Times New Roman" w:hAnsi="Times New Roman" w:eastAsia="仿宋_GB2312" w:cs="Times New Roman"/>
          <w:sz w:val="32"/>
          <w:szCs w:val="32"/>
        </w:rPr>
        <w:t>攀枝花市生态环境保护综合行政执法支队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攀枝花市生态环境信息与技术评估服务中心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攀枝花市固废危化与环境应急事务中心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攀枝花市东区</w:t>
      </w:r>
      <w:r>
        <w:rPr>
          <w:rFonts w:hint="eastAsia" w:eastAsia="仿宋_GB2312" w:cs="Times New Roman"/>
          <w:sz w:val="32"/>
          <w:szCs w:val="32"/>
          <w:lang w:eastAsia="zh-CN"/>
        </w:rPr>
        <w:t>生态</w:t>
      </w:r>
      <w:r>
        <w:rPr>
          <w:rFonts w:hint="default" w:ascii="Times New Roman" w:hAnsi="Times New Roman" w:eastAsia="仿宋_GB2312" w:cs="Times New Roman"/>
          <w:sz w:val="32"/>
          <w:szCs w:val="32"/>
        </w:rPr>
        <w:t>环境监测站。</w:t>
      </w:r>
    </w:p>
    <w:p>
      <w:pPr>
        <w:pageBreakBefore w:val="0"/>
        <w:widowControl/>
        <w:kinsoku/>
        <w:wordWrap/>
        <w:overflowPunct/>
        <w:topLinePunct w:val="0"/>
        <w:autoSpaceDE/>
        <w:autoSpaceDN/>
        <w:bidi w:val="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pageBreakBefore w:val="0"/>
        <w:kinsoku/>
        <w:wordWrap/>
        <w:overflowPunct/>
        <w:topLinePunct w:val="0"/>
        <w:autoSpaceDE/>
        <w:autoSpaceDN/>
        <w:bidi w:val="0"/>
        <w:jc w:val="center"/>
        <w:textAlignment w:val="auto"/>
        <w:rPr>
          <w:rFonts w:hint="default" w:ascii="Times New Roman" w:hAnsi="Times New Roman" w:eastAsia="方正小标宋简体" w:cs="Times New Roman"/>
          <w:b w:val="0"/>
        </w:rPr>
      </w:pPr>
      <w:bookmarkStart w:id="12" w:name="_Toc15396602"/>
      <w:bookmarkStart w:id="13" w:name="_Toc15377204"/>
      <w:r>
        <w:rPr>
          <w:rFonts w:hint="default" w:ascii="Times New Roman" w:hAnsi="Times New Roman" w:eastAsia="方正小标宋简体" w:cs="Times New Roman"/>
          <w:b w:val="0"/>
        </w:rPr>
        <w:t>第二部分  2024年度</w:t>
      </w:r>
      <w:r>
        <w:rPr>
          <w:rFonts w:hint="eastAsia" w:eastAsia="方正小标宋简体" w:cs="Times New Roman"/>
          <w:b w:val="0"/>
          <w:color w:val="auto"/>
          <w:lang w:eastAsia="zh-CN"/>
        </w:rPr>
        <w:t>单位</w:t>
      </w:r>
      <w:r>
        <w:rPr>
          <w:rFonts w:hint="default" w:ascii="Times New Roman" w:hAnsi="Times New Roman" w:eastAsia="方正小标宋简体" w:cs="Times New Roman"/>
          <w:b w:val="0"/>
          <w:color w:val="auto"/>
        </w:rPr>
        <w:t>决算</w:t>
      </w:r>
      <w:r>
        <w:rPr>
          <w:rFonts w:hint="default" w:ascii="Times New Roman" w:hAnsi="Times New Roman" w:eastAsia="方正小标宋简体" w:cs="Times New Roman"/>
          <w:b w:val="0"/>
        </w:rPr>
        <w:t>情况说明</w:t>
      </w:r>
      <w:bookmarkEnd w:id="12"/>
      <w:bookmarkEnd w:id="13"/>
    </w:p>
    <w:p>
      <w:pPr>
        <w:pStyle w:val="27"/>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default" w:ascii="Times New Roman" w:hAnsi="Times New Roman" w:eastAsia="黑体" w:cs="Times New Roman"/>
          <w:sz w:val="32"/>
          <w:szCs w:val="32"/>
        </w:rPr>
      </w:pPr>
      <w:bookmarkStart w:id="14" w:name="_Toc15396603"/>
      <w:bookmarkStart w:id="15" w:name="_Toc15377205"/>
    </w:p>
    <w:p>
      <w:pPr>
        <w:pStyle w:val="27"/>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Style w:val="29"/>
          <w:rFonts w:hint="default" w:ascii="Times New Roman" w:hAnsi="Times New Roman" w:eastAsia="黑体" w:cs="Times New Roman"/>
          <w:b w:val="0"/>
        </w:rPr>
      </w:pPr>
      <w:r>
        <w:rPr>
          <w:rFonts w:hint="default" w:ascii="Times New Roman" w:hAnsi="Times New Roman" w:eastAsia="黑体" w:cs="Times New Roman"/>
          <w:sz w:val="32"/>
          <w:szCs w:val="32"/>
        </w:rPr>
        <w:t>一、收</w:t>
      </w:r>
      <w:r>
        <w:rPr>
          <w:rStyle w:val="29"/>
          <w:rFonts w:hint="default" w:ascii="Times New Roman" w:hAnsi="Times New Roman" w:eastAsia="黑体" w:cs="Times New Roman"/>
          <w:b w:val="0"/>
        </w:rPr>
        <w:t>入支出决算总体情况说明</w:t>
      </w:r>
      <w:bookmarkEnd w:id="14"/>
      <w:bookmarkEnd w:id="15"/>
    </w:p>
    <w:p>
      <w:pPr>
        <w:pStyle w:val="27"/>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eastAsia" w:eastAsia="仿宋_GB2312" w:cs="Times New Roman"/>
          <w:sz w:val="32"/>
          <w:szCs w:val="32"/>
          <w:lang w:eastAsia="zh-CN"/>
        </w:rPr>
      </w:pPr>
      <w:r>
        <w:rPr>
          <w:rFonts w:hint="default" w:ascii="Times New Roman" w:hAnsi="Times New Roman" w:eastAsia="仿宋_GB2312" w:cs="Times New Roman"/>
          <w:sz w:val="32"/>
          <w:szCs w:val="32"/>
        </w:rPr>
        <w:t>2024年度收入、支出总计均为5704.05万元。与2023年度</w:t>
      </w:r>
      <w:r>
        <w:rPr>
          <w:rFonts w:hint="eastAsia" w:eastAsia="仿宋_GB2312" w:cs="Times New Roman"/>
          <w:sz w:val="32"/>
          <w:szCs w:val="32"/>
          <w:lang w:eastAsia="zh-CN"/>
        </w:rPr>
        <w:t>（</w:t>
      </w:r>
      <w:r>
        <w:rPr>
          <w:rFonts w:hint="default" w:ascii="Times New Roman" w:hAnsi="Times New Roman" w:eastAsia="仿宋" w:cs="Times New Roman"/>
          <w:b w:val="0"/>
          <w:bCs/>
          <w:sz w:val="32"/>
          <w:szCs w:val="32"/>
        </w:rPr>
        <w:t>4594.75</w:t>
      </w:r>
      <w:r>
        <w:rPr>
          <w:rFonts w:hint="default" w:ascii="Times New Roman" w:hAnsi="Times New Roman" w:eastAsia="仿宋" w:cs="Times New Roman"/>
          <w:sz w:val="32"/>
          <w:szCs w:val="32"/>
        </w:rPr>
        <w:t>万元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相比，收入、支出总计各增加</w:t>
      </w:r>
      <w:r>
        <w:rPr>
          <w:rFonts w:hint="eastAsia" w:eastAsia="仿宋_GB2312" w:cs="Times New Roman"/>
          <w:sz w:val="32"/>
          <w:szCs w:val="32"/>
          <w:lang w:val="en-US" w:eastAsia="zh-CN"/>
        </w:rPr>
        <w:t>1109.3</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24.14</w:t>
      </w:r>
      <w:r>
        <w:rPr>
          <w:rFonts w:hint="default" w:ascii="Times New Roman" w:hAnsi="Times New Roman" w:eastAsia="仿宋_GB2312" w:cs="Times New Roman"/>
          <w:sz w:val="32"/>
          <w:szCs w:val="32"/>
        </w:rPr>
        <w:t>%。主要变动原因是</w:t>
      </w:r>
      <w:r>
        <w:rPr>
          <w:rFonts w:hint="eastAsia" w:eastAsia="仿宋_GB2312" w:cs="Times New Roman"/>
          <w:sz w:val="32"/>
          <w:szCs w:val="32"/>
          <w:lang w:eastAsia="zh-CN"/>
        </w:rPr>
        <w:t>项目经费支出增加。</w:t>
      </w:r>
    </w:p>
    <w:p>
      <w:pPr>
        <w:pStyle w:val="27"/>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eastAsia" w:eastAsia="仿宋_GB2312" w:cs="Times New Roman"/>
          <w:sz w:val="32"/>
          <w:szCs w:val="32"/>
          <w:lang w:eastAsia="zh-CN"/>
        </w:rPr>
      </w:pPr>
    </w:p>
    <w:p>
      <w:pPr>
        <w:pageBreakBefore w:val="0"/>
        <w:widowControl w:val="0"/>
        <w:kinsoku/>
        <w:wordWrap/>
        <w:overflowPunct/>
        <w:topLinePunct w:val="0"/>
        <w:autoSpaceDE/>
        <w:autoSpaceDN/>
        <w:bidi w:val="0"/>
        <w:adjustRightInd/>
        <w:snapToGrid/>
        <w:spacing w:line="560" w:lineRule="exact"/>
        <w:ind w:left="0" w:firstLine="420" w:firstLineChars="200"/>
        <w:jc w:val="left"/>
        <w:textAlignment w:val="auto"/>
        <w:rPr>
          <w:rFonts w:hint="default" w:ascii="Times New Roman" w:hAnsi="Times New Roman" w:eastAsia="仿宋_GB2312" w:cs="Times New Roman"/>
          <w:sz w:val="32"/>
          <w:szCs w:val="32"/>
        </w:rPr>
      </w:pPr>
      <w:r>
        <w:drawing>
          <wp:anchor distT="0" distB="0" distL="114300" distR="114300" simplePos="0" relativeHeight="251658240" behindDoc="0" locked="0" layoutInCell="1" allowOverlap="1">
            <wp:simplePos x="0" y="0"/>
            <wp:positionH relativeFrom="column">
              <wp:posOffset>423545</wp:posOffset>
            </wp:positionH>
            <wp:positionV relativeFrom="paragraph">
              <wp:posOffset>16510</wp:posOffset>
            </wp:positionV>
            <wp:extent cx="4600575" cy="2819400"/>
            <wp:effectExtent l="4445" t="5080" r="5080" b="13970"/>
            <wp:wrapNone/>
            <wp:docPr id="71978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Style w:val="2"/>
        <w:pageBreakBefore w:val="0"/>
        <w:widowControl w:val="0"/>
        <w:kinsoku/>
        <w:wordWrap/>
        <w:overflowPunct/>
        <w:topLinePunct w:val="0"/>
        <w:autoSpaceDE/>
        <w:autoSpaceDN/>
        <w:bidi w:val="0"/>
        <w:adjustRightInd/>
        <w:snapToGrid/>
        <w:spacing w:before="0" w:after="0" w:line="560" w:lineRule="exact"/>
        <w:ind w:left="0" w:firstLine="482" w:firstLineChars="200"/>
        <w:jc w:val="left"/>
        <w:textAlignment w:val="auto"/>
        <w:rPr>
          <w:rFonts w:hint="default"/>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Style w:val="2"/>
        <w:pageBreakBefore w:val="0"/>
        <w:widowControl w:val="0"/>
        <w:kinsoku/>
        <w:wordWrap/>
        <w:overflowPunct/>
        <w:topLinePunct w:val="0"/>
        <w:autoSpaceDE/>
        <w:autoSpaceDN/>
        <w:bidi w:val="0"/>
        <w:adjustRightInd/>
        <w:snapToGrid/>
        <w:spacing w:before="0" w:after="0" w:line="560" w:lineRule="exact"/>
        <w:ind w:left="0" w:firstLine="643" w:firstLineChars="200"/>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left="0" w:firstLine="420" w:firstLineChars="200"/>
        <w:jc w:val="left"/>
        <w:textAlignment w:val="auto"/>
        <w:rPr>
          <w:rFonts w:hint="default"/>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图1：收入、支出决算总计变动情况图（单位：万元）</w:t>
      </w:r>
    </w:p>
    <w:p>
      <w:pPr>
        <w:pStyle w:val="27"/>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default" w:ascii="Times New Roman" w:hAnsi="Times New Roman" w:eastAsia="黑体" w:cs="Times New Roman"/>
          <w:sz w:val="32"/>
          <w:szCs w:val="32"/>
        </w:rPr>
      </w:pPr>
      <w:bookmarkStart w:id="16" w:name="_Toc15377206"/>
      <w:bookmarkStart w:id="17" w:name="_Toc15396604"/>
      <w:r>
        <w:rPr>
          <w:rFonts w:hint="default" w:ascii="Times New Roman" w:hAnsi="Times New Roman" w:eastAsia="黑体" w:cs="Times New Roman"/>
          <w:sz w:val="32"/>
          <w:szCs w:val="32"/>
        </w:rPr>
        <w:t>二、收入决算情况说明</w:t>
      </w:r>
      <w:bookmarkEnd w:id="16"/>
      <w:bookmarkEnd w:id="17"/>
    </w:p>
    <w:p>
      <w:pPr>
        <w:pStyle w:val="27"/>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2024年度本年收入合计5704.05万元，其中：一般公共预算财政拨款收入4869.28万元，占85.36%；政府性基金预算财政拨款收入834.77万元，占14.63%。</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eastAsia="仿宋_GB2312" w:cs="Times New Roman"/>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eastAsia="仿宋_GB2312" w:cs="Times New Roman"/>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firstLine="420" w:firstLineChars="200"/>
        <w:jc w:val="left"/>
        <w:textAlignment w:val="auto"/>
        <w:rPr>
          <w:rFonts w:hint="eastAsia" w:eastAsia="仿宋_GB2312" w:cs="Times New Roman"/>
          <w:sz w:val="32"/>
          <w:szCs w:val="32"/>
          <w:lang w:val="en-US" w:eastAsia="zh-CN"/>
        </w:rPr>
      </w:pPr>
      <w:r>
        <w:drawing>
          <wp:anchor distT="0" distB="0" distL="114300" distR="114300" simplePos="0" relativeHeight="251659264" behindDoc="0" locked="0" layoutInCell="1" allowOverlap="1">
            <wp:simplePos x="0" y="0"/>
            <wp:positionH relativeFrom="column">
              <wp:posOffset>537845</wp:posOffset>
            </wp:positionH>
            <wp:positionV relativeFrom="paragraph">
              <wp:posOffset>31750</wp:posOffset>
            </wp:positionV>
            <wp:extent cx="4295775" cy="2476500"/>
            <wp:effectExtent l="4445" t="4445" r="5080" b="14605"/>
            <wp:wrapNone/>
            <wp:docPr id="71978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left="0" w:firstLine="1600" w:firstLineChars="5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图2：收入决算结构图</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单位：万元</w:t>
      </w:r>
      <w:r>
        <w:rPr>
          <w:rFonts w:hint="default" w:ascii="Times New Roman" w:hAnsi="Times New Roman" w:eastAsia="仿宋_GB2312" w:cs="Times New Roman"/>
          <w:kern w:val="2"/>
          <w:sz w:val="32"/>
          <w:szCs w:val="32"/>
          <w:lang w:val="en-US" w:eastAsia="zh-CN" w:bidi="ar-SA"/>
        </w:rPr>
        <w:t>）</w:t>
      </w:r>
    </w:p>
    <w:p>
      <w:pPr>
        <w:pStyle w:val="27"/>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Style w:val="29"/>
          <w:rFonts w:hint="default" w:ascii="Times New Roman" w:hAnsi="Times New Roman" w:eastAsia="黑体" w:cs="Times New Roman"/>
          <w:b w:val="0"/>
        </w:rPr>
      </w:pPr>
      <w:bookmarkStart w:id="18" w:name="_Toc15377207"/>
      <w:bookmarkStart w:id="19" w:name="_Toc15396605"/>
      <w:r>
        <w:rPr>
          <w:rFonts w:hint="default" w:ascii="Times New Roman" w:hAnsi="Times New Roman" w:eastAsia="黑体" w:cs="Times New Roman"/>
          <w:sz w:val="32"/>
          <w:szCs w:val="32"/>
        </w:rPr>
        <w:t>三、支</w:t>
      </w:r>
      <w:r>
        <w:rPr>
          <w:rStyle w:val="29"/>
          <w:rFonts w:hint="default" w:ascii="Times New Roman" w:hAnsi="Times New Roman" w:eastAsia="黑体" w:cs="Times New Roman"/>
          <w:b w:val="0"/>
        </w:rPr>
        <w:t>出决算情况说明</w:t>
      </w:r>
      <w:bookmarkEnd w:id="18"/>
      <w:bookmarkEnd w:id="19"/>
    </w:p>
    <w:p>
      <w:pPr>
        <w:pStyle w:val="27"/>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2024年度本年支出合计5704.05万元，其中：基本支出2233.3</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万元，占39.15%；项目支出3470.7</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万元，占60.84%</w:t>
      </w:r>
      <w:r>
        <w:rPr>
          <w:rFonts w:hint="eastAsia"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560" w:lineRule="exact"/>
        <w:ind w:left="0" w:firstLine="420" w:firstLineChars="200"/>
        <w:jc w:val="left"/>
        <w:textAlignment w:val="auto"/>
        <w:rPr>
          <w:rFonts w:hint="default" w:ascii="Times New Roman" w:hAnsi="Times New Roman" w:eastAsia="仿宋_GB2312" w:cs="Times New Roman"/>
          <w:sz w:val="32"/>
          <w:szCs w:val="32"/>
        </w:rPr>
      </w:pPr>
      <w:r>
        <w:drawing>
          <wp:anchor distT="0" distB="0" distL="114300" distR="114300" simplePos="0" relativeHeight="251660288" behindDoc="0" locked="0" layoutInCell="1" allowOverlap="1">
            <wp:simplePos x="0" y="0"/>
            <wp:positionH relativeFrom="column">
              <wp:posOffset>509270</wp:posOffset>
            </wp:positionH>
            <wp:positionV relativeFrom="paragraph">
              <wp:posOffset>173355</wp:posOffset>
            </wp:positionV>
            <wp:extent cx="4439285" cy="2314575"/>
            <wp:effectExtent l="5080" t="4445" r="13335" b="5080"/>
            <wp:wrapNone/>
            <wp:docPr id="71978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w:t>
      </w:r>
    </w:p>
    <w:p>
      <w:pPr>
        <w:pStyle w:val="2"/>
        <w:pageBreakBefore w:val="0"/>
        <w:widowControl w:val="0"/>
        <w:kinsoku/>
        <w:wordWrap/>
        <w:overflowPunct/>
        <w:topLinePunct w:val="0"/>
        <w:autoSpaceDE/>
        <w:autoSpaceDN/>
        <w:bidi w:val="0"/>
        <w:adjustRightInd/>
        <w:snapToGrid/>
        <w:spacing w:before="0" w:after="0" w:line="560" w:lineRule="exact"/>
        <w:ind w:left="0" w:firstLine="643" w:firstLineChars="200"/>
        <w:jc w:val="left"/>
        <w:textAlignment w:val="auto"/>
        <w:rPr>
          <w:rFonts w:hint="eastAsia" w:eastAsia="仿宋_GB2312" w:cs="Times New Roman"/>
          <w:sz w:val="32"/>
          <w:szCs w:val="32"/>
          <w:lang w:val="en-US" w:eastAsia="zh-CN"/>
        </w:rPr>
      </w:pPr>
    </w:p>
    <w:p>
      <w:pPr>
        <w:pageBreakBefore w:val="0"/>
        <w:kinsoku/>
        <w:wordWrap/>
        <w:overflowPunct/>
        <w:topLinePunct w:val="0"/>
        <w:autoSpaceDE/>
        <w:autoSpaceDN/>
        <w:bidi w:val="0"/>
        <w:jc w:val="left"/>
        <w:textAlignment w:val="auto"/>
        <w:rPr>
          <w:rFonts w:hint="eastAsia"/>
          <w:lang w:val="en-US" w:eastAsia="zh-CN"/>
        </w:rPr>
      </w:pPr>
    </w:p>
    <w:p>
      <w:pPr>
        <w:pStyle w:val="2"/>
        <w:pageBreakBefore w:val="0"/>
        <w:kinsoku/>
        <w:wordWrap/>
        <w:overflowPunct/>
        <w:topLinePunct w:val="0"/>
        <w:autoSpaceDE/>
        <w:autoSpaceDN/>
        <w:bidi w:val="0"/>
        <w:jc w:val="left"/>
        <w:textAlignment w:val="auto"/>
        <w:rPr>
          <w:rFonts w:hint="eastAsia"/>
          <w:lang w:val="en-US" w:eastAsia="zh-CN"/>
        </w:rPr>
      </w:pPr>
    </w:p>
    <w:p>
      <w:pPr>
        <w:rPr>
          <w:rFonts w:hint="eastAsia"/>
          <w:lang w:val="en-US" w:eastAsia="zh-CN"/>
        </w:rPr>
      </w:pPr>
    </w:p>
    <w:p>
      <w:pPr>
        <w:pageBreakBefore w:val="0"/>
        <w:widowControl w:val="0"/>
        <w:kinsoku/>
        <w:wordWrap/>
        <w:overflowPunct/>
        <w:topLinePunct w:val="0"/>
        <w:autoSpaceDE/>
        <w:autoSpaceDN/>
        <w:bidi w:val="0"/>
        <w:adjustRightInd/>
        <w:snapToGrid/>
        <w:spacing w:line="560" w:lineRule="exact"/>
        <w:ind w:left="0"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 （单位：万元）</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Style w:val="29"/>
          <w:rFonts w:hint="default" w:ascii="Times New Roman" w:hAnsi="Times New Roman" w:eastAsia="黑体" w:cs="Times New Roman"/>
          <w:b w:val="0"/>
        </w:rPr>
      </w:pPr>
      <w:bookmarkStart w:id="20" w:name="_Toc15396606"/>
      <w:bookmarkStart w:id="21" w:name="_Toc15377208"/>
      <w:r>
        <w:rPr>
          <w:rFonts w:hint="default" w:ascii="Times New Roman" w:hAnsi="Times New Roman" w:eastAsia="黑体" w:cs="Times New Roman"/>
          <w:sz w:val="32"/>
          <w:szCs w:val="32"/>
        </w:rPr>
        <w:t>四、财</w:t>
      </w:r>
      <w:r>
        <w:rPr>
          <w:rStyle w:val="29"/>
          <w:rFonts w:hint="default" w:ascii="Times New Roman" w:hAnsi="Times New Roman" w:eastAsia="黑体" w:cs="Times New Roman"/>
          <w:b w:val="0"/>
        </w:rPr>
        <w:t>政拨款收入支出决算总体情况说明</w:t>
      </w:r>
      <w:bookmarkEnd w:id="20"/>
      <w:bookmarkEnd w:id="21"/>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2024年度财政拨款收入、支出总计均为5704.05万元。与2023年度</w:t>
      </w:r>
      <w:r>
        <w:rPr>
          <w:rFonts w:hint="eastAsia" w:eastAsia="仿宋_GB2312" w:cs="Times New Roman"/>
          <w:sz w:val="32"/>
          <w:szCs w:val="32"/>
          <w:lang w:eastAsia="zh-CN"/>
        </w:rPr>
        <w:t>（4594.75万元）</w:t>
      </w:r>
      <w:r>
        <w:rPr>
          <w:rFonts w:hint="default" w:ascii="Times New Roman" w:hAnsi="Times New Roman" w:eastAsia="仿宋_GB2312" w:cs="Times New Roman"/>
          <w:sz w:val="32"/>
          <w:szCs w:val="32"/>
        </w:rPr>
        <w:t>相比，财政拨款收入总计、支出总计各增加1109.3万元，增长24.14%。主要变动原因是项目经费支出增加。</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Style w:val="2"/>
        <w:pageBreakBefore w:val="0"/>
        <w:widowControl w:val="0"/>
        <w:kinsoku/>
        <w:wordWrap/>
        <w:overflowPunct/>
        <w:topLinePunct w:val="0"/>
        <w:autoSpaceDE/>
        <w:autoSpaceDN/>
        <w:bidi w:val="0"/>
        <w:adjustRightInd/>
        <w:snapToGrid/>
        <w:spacing w:before="0" w:after="0" w:line="560" w:lineRule="exact"/>
        <w:ind w:left="0" w:firstLine="482" w:firstLineChars="200"/>
        <w:jc w:val="left"/>
        <w:textAlignment w:val="auto"/>
        <w:rPr>
          <w:rFonts w:hint="default"/>
        </w:rPr>
      </w:pPr>
      <w:r>
        <w:drawing>
          <wp:anchor distT="0" distB="0" distL="114300" distR="114300" simplePos="0" relativeHeight="251661312" behindDoc="0" locked="0" layoutInCell="1" allowOverlap="1">
            <wp:simplePos x="0" y="0"/>
            <wp:positionH relativeFrom="column">
              <wp:posOffset>385445</wp:posOffset>
            </wp:positionH>
            <wp:positionV relativeFrom="paragraph">
              <wp:posOffset>165735</wp:posOffset>
            </wp:positionV>
            <wp:extent cx="4514850" cy="2581275"/>
            <wp:effectExtent l="4445" t="4445" r="14605" b="5080"/>
            <wp:wrapNone/>
            <wp:docPr id="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pageBreakBefore w:val="0"/>
        <w:kinsoku/>
        <w:wordWrap/>
        <w:overflowPunct/>
        <w:topLinePunct w:val="0"/>
        <w:autoSpaceDE/>
        <w:autoSpaceDN/>
        <w:bidi w:val="0"/>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图4：财政拨款收、支决算总计变动情况 （单位：万元）</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Style w:val="29"/>
          <w:rFonts w:hint="default" w:ascii="Times New Roman" w:hAnsi="Times New Roman" w:eastAsia="黑体" w:cs="Times New Roman"/>
          <w:b w:val="0"/>
        </w:rPr>
      </w:pPr>
      <w:bookmarkStart w:id="22" w:name="_Toc15377209"/>
      <w:bookmarkStart w:id="23"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22"/>
      <w:bookmarkEnd w:id="23"/>
    </w:p>
    <w:p>
      <w:pPr>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outlineLvl w:val="2"/>
        <w:rPr>
          <w:rFonts w:hint="default" w:ascii="Times New Roman" w:hAnsi="Times New Roman" w:eastAsia="楷体_GB2312" w:cs="Times New Roman"/>
          <w:b/>
          <w:sz w:val="32"/>
          <w:szCs w:val="32"/>
        </w:rPr>
      </w:pPr>
      <w:bookmarkStart w:id="24" w:name="_Toc15377210"/>
      <w:r>
        <w:rPr>
          <w:rFonts w:hint="default" w:ascii="Times New Roman" w:hAnsi="Times New Roman" w:eastAsia="楷体_GB2312" w:cs="Times New Roman"/>
          <w:b/>
          <w:sz w:val="32"/>
          <w:szCs w:val="32"/>
        </w:rPr>
        <w:t>（一）一般公共预算财政拨款支出决算总体情况</w:t>
      </w:r>
      <w:bookmarkEnd w:id="24"/>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2024年度一般公共预算财政拨款支出4869.28万元，占本年支出合计的85.36%。与2023年度</w:t>
      </w:r>
      <w:r>
        <w:rPr>
          <w:rFonts w:hint="eastAsia" w:eastAsia="仿宋_GB2312" w:cs="Times New Roman"/>
          <w:sz w:val="32"/>
          <w:szCs w:val="32"/>
          <w:lang w:val="en-US" w:eastAsia="zh-CN"/>
        </w:rPr>
        <w:t>(4158.21万元)</w:t>
      </w:r>
      <w:r>
        <w:rPr>
          <w:rFonts w:hint="default" w:ascii="Times New Roman" w:hAnsi="Times New Roman" w:eastAsia="仿宋_GB2312" w:cs="Times New Roman"/>
          <w:sz w:val="32"/>
          <w:szCs w:val="32"/>
        </w:rPr>
        <w:t>相比，一般公共预算财政拨款支出增加</w:t>
      </w:r>
      <w:r>
        <w:rPr>
          <w:rFonts w:hint="eastAsia" w:eastAsia="仿宋_GB2312" w:cs="Times New Roman"/>
          <w:sz w:val="32"/>
          <w:szCs w:val="32"/>
          <w:lang w:val="en-US" w:eastAsia="zh-CN"/>
        </w:rPr>
        <w:t>711.07</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17.1</w:t>
      </w:r>
      <w:r>
        <w:rPr>
          <w:rFonts w:hint="default" w:ascii="Times New Roman" w:hAnsi="Times New Roman" w:eastAsia="仿宋_GB2312" w:cs="Times New Roman"/>
          <w:sz w:val="32"/>
          <w:szCs w:val="32"/>
        </w:rPr>
        <w:t>%。主要变动原因是项目经费支出增加。</w:t>
      </w:r>
    </w:p>
    <w:p>
      <w:pPr>
        <w:pageBreakBefore w:val="0"/>
        <w:widowControl w:val="0"/>
        <w:kinsoku/>
        <w:wordWrap/>
        <w:overflowPunct/>
        <w:topLinePunct w:val="0"/>
        <w:autoSpaceDE/>
        <w:autoSpaceDN/>
        <w:bidi w:val="0"/>
        <w:adjustRightInd/>
        <w:snapToGrid/>
        <w:spacing w:line="560" w:lineRule="exact"/>
        <w:ind w:left="0" w:firstLine="420" w:firstLineChars="200"/>
        <w:jc w:val="left"/>
        <w:textAlignment w:val="auto"/>
        <w:rPr>
          <w:rFonts w:hint="default" w:ascii="Times New Roman" w:hAnsi="Times New Roman" w:eastAsia="仿宋_GB2312" w:cs="Times New Roman"/>
          <w:sz w:val="32"/>
          <w:szCs w:val="32"/>
        </w:rPr>
      </w:pPr>
      <w:r>
        <w:drawing>
          <wp:anchor distT="0" distB="0" distL="114300" distR="114300" simplePos="0" relativeHeight="251662336" behindDoc="0" locked="0" layoutInCell="1" allowOverlap="1">
            <wp:simplePos x="0" y="0"/>
            <wp:positionH relativeFrom="column">
              <wp:posOffset>423545</wp:posOffset>
            </wp:positionH>
            <wp:positionV relativeFrom="paragraph">
              <wp:posOffset>165735</wp:posOffset>
            </wp:positionV>
            <wp:extent cx="4486275" cy="2495550"/>
            <wp:effectExtent l="4445" t="4445" r="5080" b="14605"/>
            <wp:wrapNone/>
            <wp:docPr id="71978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jc w:val="lef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jc w:val="left"/>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jc w:val="left"/>
        <w:textAlignment w:val="auto"/>
        <w:rPr>
          <w:rFonts w:hint="default"/>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图5：一般公共预算财政拨款支出决算变动情况（单位：万元）</w:t>
      </w:r>
    </w:p>
    <w:p>
      <w:pPr>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outlineLvl w:val="2"/>
        <w:rPr>
          <w:rFonts w:hint="default" w:ascii="Times New Roman" w:hAnsi="Times New Roman" w:eastAsia="楷体_GB2312" w:cs="Times New Roman"/>
          <w:b/>
          <w:sz w:val="32"/>
          <w:szCs w:val="32"/>
        </w:rPr>
      </w:pPr>
      <w:bookmarkStart w:id="25" w:name="_Toc15377211"/>
      <w:r>
        <w:rPr>
          <w:rFonts w:hint="default" w:ascii="Times New Roman" w:hAnsi="Times New Roman" w:eastAsia="楷体_GB2312" w:cs="Times New Roman"/>
          <w:b/>
          <w:sz w:val="32"/>
          <w:szCs w:val="32"/>
        </w:rPr>
        <w:t>（二）一般公共预算财政拨款支出决算结构情况</w:t>
      </w:r>
      <w:bookmarkEnd w:id="25"/>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2024年度一般公共预算财政拨款支出4869.28万元，主要用于以下方面：社会保障和就业支出517.01万元，占1</w:t>
      </w:r>
      <w:r>
        <w:rPr>
          <w:rFonts w:hint="eastAsia" w:eastAsia="仿宋_GB2312" w:cs="Times New Roman"/>
          <w:sz w:val="32"/>
          <w:szCs w:val="32"/>
          <w:lang w:val="en-US" w:eastAsia="zh-CN"/>
        </w:rPr>
        <w:t>0.62</w:t>
      </w:r>
      <w:r>
        <w:rPr>
          <w:rFonts w:hint="default" w:ascii="Times New Roman" w:hAnsi="Times New Roman" w:eastAsia="仿宋_GB2312" w:cs="Times New Roman"/>
          <w:sz w:val="32"/>
          <w:szCs w:val="32"/>
        </w:rPr>
        <w:t>%；卫生健康支出</w:t>
      </w:r>
      <w:r>
        <w:rPr>
          <w:rFonts w:hint="eastAsia" w:eastAsia="仿宋_GB2312" w:cs="Times New Roman"/>
          <w:sz w:val="32"/>
          <w:szCs w:val="32"/>
          <w:lang w:val="en-US" w:eastAsia="zh-CN"/>
        </w:rPr>
        <w:t>99.77</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2.05</w:t>
      </w:r>
      <w:r>
        <w:rPr>
          <w:rFonts w:hint="default" w:ascii="Times New Roman" w:hAnsi="Times New Roman" w:eastAsia="仿宋_GB2312" w:cs="Times New Roman"/>
          <w:sz w:val="32"/>
          <w:szCs w:val="32"/>
        </w:rPr>
        <w:t>%；节能环保支出</w:t>
      </w:r>
      <w:r>
        <w:rPr>
          <w:rFonts w:hint="eastAsia" w:eastAsia="仿宋_GB2312" w:cs="Times New Roman"/>
          <w:sz w:val="32"/>
          <w:szCs w:val="32"/>
          <w:lang w:val="en-US" w:eastAsia="zh-CN"/>
        </w:rPr>
        <w:t>4114.2</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84.49</w:t>
      </w:r>
      <w:r>
        <w:rPr>
          <w:rFonts w:hint="default" w:ascii="Times New Roman" w:hAnsi="Times New Roman" w:eastAsia="仿宋_GB2312" w:cs="Times New Roman"/>
          <w:sz w:val="32"/>
          <w:szCs w:val="32"/>
        </w:rPr>
        <w:t>%；住房保障支出</w:t>
      </w:r>
      <w:r>
        <w:rPr>
          <w:rFonts w:hint="eastAsia" w:eastAsia="仿宋_GB2312" w:cs="Times New Roman"/>
          <w:sz w:val="32"/>
          <w:szCs w:val="32"/>
          <w:lang w:val="en-US" w:eastAsia="zh-CN"/>
        </w:rPr>
        <w:t>138.3</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2.84</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left="0" w:firstLine="420" w:firstLineChars="200"/>
        <w:jc w:val="left"/>
        <w:textAlignment w:val="auto"/>
        <w:rPr>
          <w:rFonts w:hint="default" w:ascii="Times New Roman" w:hAnsi="Times New Roman" w:eastAsia="仿宋_GB2312" w:cs="Times New Roman"/>
          <w:sz w:val="32"/>
          <w:szCs w:val="32"/>
        </w:rPr>
      </w:pPr>
      <w:r>
        <w:drawing>
          <wp:anchor distT="0" distB="0" distL="114300" distR="114300" simplePos="0" relativeHeight="251663360" behindDoc="0" locked="0" layoutInCell="1" allowOverlap="1">
            <wp:simplePos x="0" y="0"/>
            <wp:positionH relativeFrom="column">
              <wp:posOffset>452120</wp:posOffset>
            </wp:positionH>
            <wp:positionV relativeFrom="paragraph">
              <wp:posOffset>127635</wp:posOffset>
            </wp:positionV>
            <wp:extent cx="4476750" cy="2619375"/>
            <wp:effectExtent l="4445" t="4445" r="14605" b="5080"/>
            <wp:wrapNone/>
            <wp:docPr id="71977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jc w:val="lef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jc w:val="left"/>
        <w:textAlignment w:val="auto"/>
        <w:rPr>
          <w:rFonts w:hint="default"/>
        </w:rPr>
      </w:pPr>
    </w:p>
    <w:p>
      <w:pPr>
        <w:pStyle w:val="2"/>
        <w:pageBreakBefore w:val="0"/>
        <w:kinsoku/>
        <w:wordWrap/>
        <w:overflowPunct/>
        <w:topLinePunct w:val="0"/>
        <w:autoSpaceDE/>
        <w:autoSpaceDN/>
        <w:bidi w:val="0"/>
        <w:jc w:val="left"/>
        <w:textAlignment w:val="auto"/>
        <w:rPr>
          <w:rFonts w:hint="default"/>
        </w:rPr>
      </w:pPr>
    </w:p>
    <w:p>
      <w:pPr>
        <w:pageBreakBefore w:val="0"/>
        <w:kinsoku/>
        <w:wordWrap/>
        <w:overflowPunct/>
        <w:topLinePunct w:val="0"/>
        <w:autoSpaceDE/>
        <w:autoSpaceDN/>
        <w:bidi w:val="0"/>
        <w:jc w:val="left"/>
        <w:textAlignment w:val="auto"/>
        <w:rPr>
          <w:rFonts w:hint="default"/>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图6：一般公共预算财政拨款支出决算结构（单位：万元）</w:t>
      </w:r>
    </w:p>
    <w:p>
      <w:pPr>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outlineLvl w:val="2"/>
        <w:rPr>
          <w:rFonts w:hint="default" w:ascii="Times New Roman" w:hAnsi="Times New Roman" w:eastAsia="楷体_GB2312" w:cs="Times New Roman"/>
          <w:b/>
          <w:sz w:val="32"/>
          <w:szCs w:val="32"/>
        </w:rPr>
      </w:pPr>
      <w:bookmarkStart w:id="26" w:name="_Toc15377212"/>
      <w:r>
        <w:rPr>
          <w:rFonts w:hint="default" w:ascii="Times New Roman" w:hAnsi="Times New Roman" w:eastAsia="楷体_GB2312" w:cs="Times New Roman"/>
          <w:b/>
          <w:sz w:val="32"/>
          <w:szCs w:val="32"/>
        </w:rPr>
        <w:t>（三）一般公共预算财政拨款支出决算具体情况</w:t>
      </w:r>
      <w:bookmarkEnd w:id="26"/>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bookmarkStart w:id="27" w:name="_Toc15377213"/>
      <w:bookmarkStart w:id="28" w:name="_Toc15378460"/>
      <w:bookmarkStart w:id="29" w:name="_Toc15377444"/>
      <w:r>
        <w:rPr>
          <w:rFonts w:hint="default" w:ascii="Times New Roman" w:hAnsi="Times New Roman" w:eastAsia="仿宋_GB2312" w:cs="Times New Roman"/>
          <w:sz w:val="32"/>
          <w:szCs w:val="32"/>
        </w:rPr>
        <w:t>2024年度一般公共预算财政拨款支出决算数为4869.28</w:t>
      </w:r>
      <w:r>
        <w:rPr>
          <w:rFonts w:hint="eastAsia" w:eastAsia="仿宋_GB2312" w:cs="Times New Roman"/>
          <w:sz w:val="32"/>
          <w:szCs w:val="32"/>
          <w:lang w:eastAsia="zh-CN"/>
        </w:rPr>
        <w:t>万元</w:t>
      </w:r>
      <w:r>
        <w:rPr>
          <w:rFonts w:hint="default" w:ascii="Times New Roman" w:hAnsi="Times New Roman" w:eastAsia="仿宋_GB2312" w:cs="Times New Roman"/>
          <w:sz w:val="32"/>
          <w:szCs w:val="32"/>
        </w:rPr>
        <w:t>，完成预算</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%。其中：</w:t>
      </w:r>
      <w:bookmarkEnd w:id="27"/>
      <w:bookmarkEnd w:id="28"/>
      <w:bookmarkEnd w:id="29"/>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1.社会保障和就业</w:t>
      </w:r>
      <w:r>
        <w:rPr>
          <w:rFonts w:hint="eastAsia" w:eastAsia="仿宋_GB2312" w:cs="Times New Roman"/>
          <w:sz w:val="32"/>
          <w:szCs w:val="32"/>
          <w:lang w:eastAsia="zh-CN"/>
        </w:rPr>
        <w:t>支出</w:t>
      </w:r>
      <w:r>
        <w:rPr>
          <w:rFonts w:hint="default" w:ascii="Times New Roman" w:hAnsi="Times New Roman" w:eastAsia="仿宋_GB2312" w:cs="Times New Roman"/>
          <w:sz w:val="32"/>
          <w:szCs w:val="32"/>
        </w:rPr>
        <w:t>（类）人力资源和社会保障管理事务（款）其他人力资源和社会保障管理事务支出（项）：支出决算为</w:t>
      </w:r>
      <w:r>
        <w:rPr>
          <w:rFonts w:hint="eastAsia" w:eastAsia="仿宋_GB2312" w:cs="Times New Roman"/>
          <w:sz w:val="32"/>
          <w:szCs w:val="32"/>
          <w:lang w:val="en-US" w:eastAsia="zh-CN"/>
        </w:rPr>
        <w:t>9.61</w:t>
      </w:r>
      <w:r>
        <w:rPr>
          <w:rFonts w:hint="default" w:ascii="Times New Roman" w:hAnsi="Times New Roman" w:eastAsia="仿宋_GB2312" w:cs="Times New Roman"/>
          <w:sz w:val="32"/>
          <w:szCs w:val="32"/>
        </w:rPr>
        <w:t>万元，完成预算100%。</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行政事业单位养老支出（款）行政单位离退休（项）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支出决算为</w:t>
      </w:r>
      <w:r>
        <w:rPr>
          <w:rFonts w:hint="eastAsia" w:eastAsia="仿宋_GB2312" w:cs="Times New Roman"/>
          <w:sz w:val="32"/>
          <w:szCs w:val="32"/>
          <w:lang w:val="en-US" w:eastAsia="zh-CN"/>
        </w:rPr>
        <w:t>122.96</w:t>
      </w:r>
      <w:r>
        <w:rPr>
          <w:rFonts w:hint="default" w:ascii="Times New Roman" w:hAnsi="Times New Roman" w:eastAsia="仿宋_GB2312" w:cs="Times New Roman"/>
          <w:sz w:val="32"/>
          <w:szCs w:val="32"/>
        </w:rPr>
        <w:t>万元，完成预算100%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事业单位离退休（项）支出决算为</w:t>
      </w:r>
      <w:r>
        <w:rPr>
          <w:rFonts w:hint="eastAsia" w:eastAsia="仿宋_GB2312" w:cs="Times New Roman"/>
          <w:sz w:val="32"/>
          <w:szCs w:val="32"/>
          <w:lang w:val="en-US" w:eastAsia="zh-CN"/>
        </w:rPr>
        <w:t>137.13</w:t>
      </w:r>
      <w:r>
        <w:rPr>
          <w:rFonts w:hint="default" w:ascii="Times New Roman" w:hAnsi="Times New Roman" w:eastAsia="仿宋_GB2312" w:cs="Times New Roman"/>
          <w:sz w:val="32"/>
          <w:szCs w:val="32"/>
        </w:rPr>
        <w:t>万元，完成预算100%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机关事业单位基本养老保险缴费支出（项）支出决算为</w:t>
      </w:r>
      <w:r>
        <w:rPr>
          <w:rFonts w:hint="eastAsia" w:eastAsia="仿宋_GB2312" w:cs="Times New Roman"/>
          <w:sz w:val="32"/>
          <w:szCs w:val="32"/>
          <w:lang w:val="en-US" w:eastAsia="zh-CN"/>
        </w:rPr>
        <w:t>165.93</w:t>
      </w:r>
      <w:r>
        <w:rPr>
          <w:rFonts w:hint="default" w:ascii="Times New Roman" w:hAnsi="Times New Roman" w:eastAsia="仿宋_GB2312" w:cs="Times New Roman"/>
          <w:sz w:val="32"/>
          <w:szCs w:val="32"/>
        </w:rPr>
        <w:t>万元，完成预算100%；机关事业单位职业年金缴费支出（项）支出决算为</w:t>
      </w:r>
      <w:r>
        <w:rPr>
          <w:rFonts w:hint="eastAsia" w:eastAsia="仿宋_GB2312" w:cs="Times New Roman"/>
          <w:sz w:val="32"/>
          <w:szCs w:val="32"/>
          <w:lang w:val="en-US" w:eastAsia="zh-CN"/>
        </w:rPr>
        <w:t>32.66</w:t>
      </w:r>
      <w:r>
        <w:rPr>
          <w:rFonts w:hint="default" w:ascii="Times New Roman" w:hAnsi="Times New Roman" w:eastAsia="仿宋_GB2312" w:cs="Times New Roman"/>
          <w:sz w:val="32"/>
          <w:szCs w:val="32"/>
        </w:rPr>
        <w:t>万元，完成预算100%。</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抚恤（款）死亡抚恤（项）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支出决算为</w:t>
      </w:r>
      <w:r>
        <w:rPr>
          <w:rFonts w:hint="eastAsia" w:eastAsia="仿宋_GB2312" w:cs="Times New Roman"/>
          <w:sz w:val="32"/>
          <w:szCs w:val="32"/>
          <w:lang w:val="en-US" w:eastAsia="zh-CN"/>
        </w:rPr>
        <w:t>48.71</w:t>
      </w:r>
      <w:r>
        <w:rPr>
          <w:rFonts w:hint="default" w:ascii="Times New Roman" w:hAnsi="Times New Roman" w:eastAsia="仿宋_GB2312" w:cs="Times New Roman"/>
          <w:sz w:val="32"/>
          <w:szCs w:val="32"/>
        </w:rPr>
        <w:t>万元，完成预算100%。</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卫生健康支出（类）行政事业单位医疗（款）行政单位医疗（项）：支出决算为</w:t>
      </w:r>
      <w:r>
        <w:rPr>
          <w:rFonts w:hint="eastAsia" w:ascii="Times New Roman" w:hAnsi="Times New Roman" w:eastAsia="仿宋_GB2312" w:cs="Times New Roman"/>
          <w:sz w:val="32"/>
          <w:szCs w:val="32"/>
          <w:lang w:val="en-US" w:eastAsia="zh-CN"/>
        </w:rPr>
        <w:t>66.52</w:t>
      </w:r>
      <w:r>
        <w:rPr>
          <w:rFonts w:hint="default" w:ascii="Times New Roman" w:hAnsi="Times New Roman" w:eastAsia="仿宋_GB2312" w:cs="Times New Roman"/>
          <w:sz w:val="32"/>
          <w:szCs w:val="32"/>
        </w:rPr>
        <w:t>万元，完成预算100%；事业单位医疗（项）：支出决算为</w:t>
      </w:r>
      <w:r>
        <w:rPr>
          <w:rFonts w:hint="eastAsia" w:ascii="Times New Roman" w:hAnsi="Times New Roman" w:eastAsia="仿宋_GB2312" w:cs="Times New Roman"/>
          <w:sz w:val="32"/>
          <w:szCs w:val="32"/>
          <w:lang w:val="en-US" w:eastAsia="zh-CN"/>
        </w:rPr>
        <w:t>22.98</w:t>
      </w:r>
      <w:r>
        <w:rPr>
          <w:rFonts w:hint="default" w:ascii="Times New Roman" w:hAnsi="Times New Roman" w:eastAsia="仿宋_GB2312" w:cs="Times New Roman"/>
          <w:sz w:val="32"/>
          <w:szCs w:val="32"/>
        </w:rPr>
        <w:t>万元，完成预算100%；公务员医疗补助（项）：支出决算为</w:t>
      </w:r>
      <w:r>
        <w:rPr>
          <w:rFonts w:hint="eastAsia" w:ascii="Times New Roman" w:hAnsi="Times New Roman" w:eastAsia="仿宋_GB2312" w:cs="Times New Roman"/>
          <w:sz w:val="32"/>
          <w:szCs w:val="32"/>
          <w:lang w:val="en-US" w:eastAsia="zh-CN"/>
        </w:rPr>
        <w:t>10.09</w:t>
      </w:r>
      <w:r>
        <w:rPr>
          <w:rFonts w:hint="default" w:ascii="Times New Roman" w:hAnsi="Times New Roman" w:eastAsia="仿宋_GB2312" w:cs="Times New Roman"/>
          <w:sz w:val="32"/>
          <w:szCs w:val="32"/>
        </w:rPr>
        <w:t>万元，完成预算100%。</w:t>
      </w:r>
    </w:p>
    <w:p>
      <w:pPr>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其他卫生健康支出（款）其他卫生健康支出（项）：支出决算为</w:t>
      </w:r>
      <w:r>
        <w:rPr>
          <w:rFonts w:hint="eastAsia" w:eastAsia="仿宋_GB2312" w:cs="Times New Roman"/>
          <w:sz w:val="32"/>
          <w:szCs w:val="32"/>
          <w:lang w:val="en-US" w:eastAsia="zh-CN"/>
        </w:rPr>
        <w:t>0.18</w:t>
      </w:r>
      <w:r>
        <w:rPr>
          <w:rFonts w:hint="default" w:ascii="Times New Roman" w:hAnsi="Times New Roman" w:eastAsia="仿宋_GB2312" w:cs="Times New Roman"/>
          <w:sz w:val="32"/>
          <w:szCs w:val="32"/>
        </w:rPr>
        <w:t>万元，完成预算100%。</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.节能环保</w:t>
      </w:r>
      <w:r>
        <w:rPr>
          <w:rFonts w:hint="eastAsia" w:eastAsia="仿宋_GB2312" w:cs="Times New Roman"/>
          <w:sz w:val="32"/>
          <w:szCs w:val="32"/>
          <w:lang w:eastAsia="zh-CN"/>
        </w:rPr>
        <w:t>支出</w:t>
      </w:r>
      <w:r>
        <w:rPr>
          <w:rFonts w:hint="default" w:ascii="Times New Roman" w:hAnsi="Times New Roman" w:eastAsia="仿宋_GB2312" w:cs="Times New Roman"/>
          <w:sz w:val="32"/>
          <w:szCs w:val="32"/>
        </w:rPr>
        <w:t>（类）环境保护管理事务（款）行政运行（项）:支出决算为</w:t>
      </w:r>
      <w:r>
        <w:rPr>
          <w:rFonts w:hint="eastAsia" w:eastAsia="仿宋_GB2312" w:cs="Times New Roman"/>
          <w:sz w:val="32"/>
          <w:szCs w:val="32"/>
          <w:lang w:val="en-US" w:eastAsia="zh-CN"/>
        </w:rPr>
        <w:t>1130.78</w:t>
      </w:r>
      <w:r>
        <w:rPr>
          <w:rFonts w:hint="default" w:ascii="Times New Roman" w:hAnsi="Times New Roman" w:eastAsia="仿宋_GB2312" w:cs="Times New Roman"/>
          <w:sz w:val="32"/>
          <w:szCs w:val="32"/>
        </w:rPr>
        <w:t>万元，完成预算100%；其他环境保护管理事务支出（项）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支出决算为</w:t>
      </w:r>
      <w:r>
        <w:rPr>
          <w:rFonts w:hint="eastAsia" w:eastAsia="仿宋_GB2312" w:cs="Times New Roman"/>
          <w:sz w:val="32"/>
          <w:szCs w:val="32"/>
          <w:lang w:val="en-US" w:eastAsia="zh-CN"/>
        </w:rPr>
        <w:t>380.24</w:t>
      </w:r>
      <w:r>
        <w:rPr>
          <w:rFonts w:hint="default" w:ascii="Times New Roman" w:hAnsi="Times New Roman" w:eastAsia="仿宋_GB2312" w:cs="Times New Roman"/>
          <w:sz w:val="32"/>
          <w:szCs w:val="32"/>
        </w:rPr>
        <w:t>万元，完成预算100%。</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污染防治（款）其他污染防治支出（项）：支出决算为</w:t>
      </w:r>
      <w:r>
        <w:rPr>
          <w:rFonts w:hint="eastAsia" w:eastAsia="仿宋_GB2312" w:cs="Times New Roman"/>
          <w:sz w:val="32"/>
          <w:szCs w:val="32"/>
          <w:lang w:val="en-US" w:eastAsia="zh-CN"/>
        </w:rPr>
        <w:t>2119.67</w:t>
      </w:r>
      <w:r>
        <w:rPr>
          <w:rFonts w:hint="default" w:ascii="Times New Roman" w:hAnsi="Times New Roman" w:eastAsia="仿宋_GB2312" w:cs="Times New Roman"/>
          <w:sz w:val="32"/>
          <w:szCs w:val="32"/>
        </w:rPr>
        <w:t>万元，完成预算100%；</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其他节能环保支出（款）其他节能环保支出（项）:支出决算为</w:t>
      </w:r>
      <w:r>
        <w:rPr>
          <w:rFonts w:hint="eastAsia" w:eastAsia="仿宋_GB2312" w:cs="Times New Roman"/>
          <w:sz w:val="32"/>
          <w:szCs w:val="32"/>
          <w:lang w:val="en-US" w:eastAsia="zh-CN"/>
        </w:rPr>
        <w:t>483.52</w:t>
      </w:r>
      <w:r>
        <w:rPr>
          <w:rFonts w:hint="default" w:ascii="Times New Roman" w:hAnsi="Times New Roman" w:eastAsia="仿宋_GB2312" w:cs="Times New Roman"/>
          <w:sz w:val="32"/>
          <w:szCs w:val="32"/>
        </w:rPr>
        <w:t>万元，完成预算100%。</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住房保障</w:t>
      </w:r>
      <w:r>
        <w:rPr>
          <w:rFonts w:hint="eastAsia" w:eastAsia="仿宋_GB2312" w:cs="Times New Roman"/>
          <w:sz w:val="32"/>
          <w:szCs w:val="32"/>
          <w:lang w:eastAsia="zh-CN"/>
        </w:rPr>
        <w:t>支出</w:t>
      </w:r>
      <w:r>
        <w:rPr>
          <w:rFonts w:hint="default" w:ascii="Times New Roman" w:hAnsi="Times New Roman" w:eastAsia="仿宋_GB2312" w:cs="Times New Roman"/>
          <w:sz w:val="32"/>
          <w:szCs w:val="32"/>
        </w:rPr>
        <w:t>（类）住房</w:t>
      </w:r>
      <w:r>
        <w:rPr>
          <w:rFonts w:hint="eastAsia" w:eastAsia="仿宋_GB2312" w:cs="Times New Roman"/>
          <w:sz w:val="32"/>
          <w:szCs w:val="32"/>
          <w:lang w:eastAsia="zh-CN"/>
        </w:rPr>
        <w:t>改革</w:t>
      </w:r>
      <w:r>
        <w:rPr>
          <w:rFonts w:hint="default" w:ascii="Times New Roman" w:hAnsi="Times New Roman" w:eastAsia="仿宋_GB2312" w:cs="Times New Roman"/>
          <w:sz w:val="32"/>
          <w:szCs w:val="32"/>
        </w:rPr>
        <w:t>支出（款）住房公积金（项）:支出决算为</w:t>
      </w:r>
      <w:r>
        <w:rPr>
          <w:rFonts w:hint="eastAsia" w:eastAsia="仿宋_GB2312" w:cs="Times New Roman"/>
          <w:sz w:val="32"/>
          <w:szCs w:val="32"/>
          <w:lang w:val="en-US" w:eastAsia="zh-CN"/>
        </w:rPr>
        <w:t>138.3</w:t>
      </w:r>
      <w:r>
        <w:rPr>
          <w:rFonts w:hint="default" w:ascii="Times New Roman" w:hAnsi="Times New Roman" w:eastAsia="仿宋_GB2312" w:cs="Times New Roman"/>
          <w:sz w:val="32"/>
          <w:szCs w:val="32"/>
        </w:rPr>
        <w:t>万元，完成预算100%。</w:t>
      </w:r>
    </w:p>
    <w:p>
      <w:pPr>
        <w:pageBreakBefore w:val="0"/>
        <w:widowControl w:val="0"/>
        <w:tabs>
          <w:tab w:val="right" w:pos="8306"/>
        </w:tabs>
        <w:kinsoku/>
        <w:wordWrap/>
        <w:overflowPunct/>
        <w:topLinePunct w:val="0"/>
        <w:autoSpaceDE/>
        <w:autoSpaceDN/>
        <w:bidi w:val="0"/>
        <w:adjustRightInd/>
        <w:snapToGrid/>
        <w:spacing w:line="560" w:lineRule="exact"/>
        <w:ind w:left="0" w:firstLine="640" w:firstLineChars="200"/>
        <w:jc w:val="left"/>
        <w:textAlignment w:val="auto"/>
        <w:outlineLvl w:val="1"/>
        <w:rPr>
          <w:rStyle w:val="29"/>
          <w:rFonts w:hint="default" w:ascii="Times New Roman" w:hAnsi="Times New Roman" w:cs="Times New Roman"/>
        </w:rPr>
      </w:pPr>
      <w:bookmarkStart w:id="30" w:name="_Toc15377214"/>
      <w:bookmarkStart w:id="31"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般公共预算财政拨款基本支出决算情况说明</w:t>
      </w:r>
      <w:bookmarkEnd w:id="30"/>
      <w:bookmarkEnd w:id="31"/>
      <w:r>
        <w:rPr>
          <w:rStyle w:val="29"/>
          <w:rFonts w:hint="default" w:ascii="Times New Roman" w:hAnsi="Times New Roman" w:eastAsia="黑体" w:cs="Times New Roman"/>
          <w:b w:val="0"/>
        </w:rPr>
        <w:tab/>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2024年度一般公共预算财政拨款基本支出2233.3</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万元，其中：</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人员经费1954.5</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万元，主要包括：基本工资、津贴补贴、奖金、绩效工资、机关事业单位基本养老保险缴费、职业年金缴费、职工基本医疗保险缴费、公务员医疗补助缴费、其他社会保障缴费、住房公积金、抚恤金、生活补助、医疗费补助、其他对个人和家庭的补助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公用经费278.74万元，主要包括：办公费、水费、电费、邮电费、差旅费、培训费、公务接待费、工会经费、福利费、公务用车运行维护费、其他交通费、其他商品和服务支出。</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Style w:val="29"/>
          <w:rFonts w:hint="default" w:ascii="Times New Roman" w:hAnsi="Times New Roman" w:eastAsia="黑体" w:cs="Times New Roman"/>
          <w:b w:val="0"/>
        </w:rPr>
      </w:pPr>
      <w:bookmarkStart w:id="32" w:name="_Toc15396609"/>
      <w:bookmarkStart w:id="33" w:name="_Toc15377215"/>
      <w:r>
        <w:rPr>
          <w:rFonts w:hint="default" w:ascii="Times New Roman" w:hAnsi="Times New Roman" w:eastAsia="黑体" w:cs="Times New Roman"/>
          <w:sz w:val="32"/>
          <w:szCs w:val="32"/>
        </w:rPr>
        <w:t>七、</w:t>
      </w:r>
      <w:r>
        <w:rPr>
          <w:rStyle w:val="29"/>
          <w:rFonts w:hint="default" w:ascii="Times New Roman" w:hAnsi="Times New Roman" w:eastAsia="黑体" w:cs="Times New Roman"/>
          <w:b w:val="0"/>
        </w:rPr>
        <w:t>财政拨款</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三公”经费支出决算情况说明</w:t>
      </w:r>
      <w:bookmarkEnd w:id="32"/>
      <w:bookmarkEnd w:id="33"/>
    </w:p>
    <w:p>
      <w:pPr>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outlineLvl w:val="2"/>
        <w:rPr>
          <w:rFonts w:hint="default" w:ascii="Times New Roman" w:hAnsi="Times New Roman" w:eastAsia="楷体_GB2312" w:cs="Times New Roman"/>
          <w:b/>
          <w:sz w:val="32"/>
          <w:szCs w:val="32"/>
        </w:rPr>
      </w:pPr>
      <w:bookmarkStart w:id="34" w:name="_Toc15377216"/>
      <w:r>
        <w:rPr>
          <w:rFonts w:hint="default" w:ascii="Times New Roman" w:hAnsi="Times New Roman" w:eastAsia="楷体_GB2312" w:cs="Times New Roman"/>
          <w:b/>
          <w:sz w:val="32"/>
          <w:szCs w:val="32"/>
        </w:rPr>
        <w:t>（一）“三公”经费财政拨款支出决算总体情况说明</w:t>
      </w:r>
      <w:bookmarkEnd w:id="34"/>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2024年度“三公”经费财政拨款支出决算为74.33万元，完成预算100%，较上年度</w:t>
      </w:r>
      <w:r>
        <w:rPr>
          <w:rFonts w:hint="eastAsia" w:eastAsia="仿宋_GB2312" w:cs="Times New Roman"/>
          <w:sz w:val="32"/>
          <w:szCs w:val="32"/>
          <w:lang w:eastAsia="zh-CN"/>
        </w:rPr>
        <w:t>（</w:t>
      </w:r>
      <w:r>
        <w:rPr>
          <w:rFonts w:hint="default" w:ascii="Times New Roman" w:hAnsi="Times New Roman" w:eastAsia="仿宋" w:cs="Times New Roman"/>
          <w:b w:val="0"/>
          <w:bCs w:val="0"/>
          <w:sz w:val="32"/>
          <w:szCs w:val="32"/>
        </w:rPr>
        <w:t>73.61万元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减少</w:t>
      </w:r>
      <w:r>
        <w:rPr>
          <w:rFonts w:hint="eastAsia" w:eastAsia="仿宋_GB2312" w:cs="Times New Roman"/>
          <w:sz w:val="32"/>
          <w:szCs w:val="32"/>
          <w:lang w:val="en-US" w:eastAsia="zh-CN"/>
        </w:rPr>
        <w:t>0.72</w:t>
      </w:r>
      <w:r>
        <w:rPr>
          <w:rFonts w:hint="default" w:ascii="Times New Roman" w:hAnsi="Times New Roman" w:eastAsia="仿宋_GB2312" w:cs="Times New Roman"/>
          <w:sz w:val="32"/>
          <w:szCs w:val="32"/>
        </w:rPr>
        <w:t>万元，下降</w:t>
      </w:r>
      <w:r>
        <w:rPr>
          <w:rFonts w:hint="eastAsia" w:eastAsia="仿宋_GB2312" w:cs="Times New Roman"/>
          <w:sz w:val="32"/>
          <w:szCs w:val="32"/>
          <w:lang w:val="en-US" w:eastAsia="zh-CN"/>
        </w:rPr>
        <w:t>0.97</w:t>
      </w:r>
      <w:r>
        <w:rPr>
          <w:rFonts w:hint="default" w:ascii="Times New Roman" w:hAnsi="Times New Roman" w:eastAsia="仿宋_GB2312" w:cs="Times New Roman"/>
          <w:sz w:val="32"/>
          <w:szCs w:val="32"/>
        </w:rPr>
        <w:t>%。决算数等于预算数的主要原因是严格按照预算执行。</w:t>
      </w:r>
    </w:p>
    <w:p>
      <w:pPr>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outlineLvl w:val="2"/>
        <w:rPr>
          <w:rFonts w:hint="default" w:ascii="Times New Roman" w:hAnsi="Times New Roman" w:eastAsia="楷体_GB2312" w:cs="Times New Roman"/>
          <w:b/>
          <w:sz w:val="32"/>
          <w:szCs w:val="32"/>
        </w:rPr>
      </w:pPr>
      <w:bookmarkStart w:id="35" w:name="_Toc15377217"/>
      <w:r>
        <w:rPr>
          <w:rFonts w:hint="default" w:ascii="Times New Roman" w:hAnsi="Times New Roman" w:eastAsia="楷体_GB2312" w:cs="Times New Roman"/>
          <w:b/>
          <w:sz w:val="32"/>
          <w:szCs w:val="32"/>
        </w:rPr>
        <w:t>（二）“三公”经费财政拨款支出决算具体情况说明</w:t>
      </w:r>
      <w:bookmarkEnd w:id="35"/>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2024年度“三公”经费财政拨款支出决算中，因公出国（境）费支出决算0万元，占</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%；公务用车购置及运行维护费支出决算73.24万元，占</w:t>
      </w:r>
      <w:r>
        <w:rPr>
          <w:rFonts w:hint="eastAsia" w:eastAsia="仿宋_GB2312" w:cs="Times New Roman"/>
          <w:sz w:val="32"/>
          <w:szCs w:val="32"/>
          <w:lang w:val="en-US" w:eastAsia="zh-CN"/>
        </w:rPr>
        <w:t>98.53</w:t>
      </w:r>
      <w:r>
        <w:rPr>
          <w:rFonts w:hint="default" w:ascii="Times New Roman" w:hAnsi="Times New Roman" w:eastAsia="仿宋_GB2312" w:cs="Times New Roman"/>
          <w:sz w:val="32"/>
          <w:szCs w:val="32"/>
        </w:rPr>
        <w:t>%；公务接待费支出决算1.09万元，占</w:t>
      </w:r>
      <w:r>
        <w:rPr>
          <w:rFonts w:hint="eastAsia" w:eastAsia="仿宋_GB2312" w:cs="Times New Roman"/>
          <w:sz w:val="32"/>
          <w:szCs w:val="32"/>
          <w:lang w:val="en-US" w:eastAsia="zh-CN"/>
        </w:rPr>
        <w:t>1.47</w:t>
      </w:r>
      <w:r>
        <w:rPr>
          <w:rFonts w:hint="default" w:ascii="Times New Roman" w:hAnsi="Times New Roman" w:eastAsia="仿宋_GB2312" w:cs="Times New Roman"/>
          <w:sz w:val="32"/>
          <w:szCs w:val="32"/>
        </w:rPr>
        <w:t>%。具体情况如下：</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jc w:val="lef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jc w:val="left"/>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jc w:val="left"/>
        <w:textAlignment w:val="auto"/>
        <w:rPr>
          <w:rFonts w:hint="default"/>
        </w:rPr>
      </w:pPr>
      <w:r>
        <w:drawing>
          <wp:anchor distT="0" distB="0" distL="114300" distR="114300" simplePos="0" relativeHeight="251664384" behindDoc="0" locked="0" layoutInCell="1" allowOverlap="1">
            <wp:simplePos x="0" y="0"/>
            <wp:positionH relativeFrom="column">
              <wp:posOffset>537845</wp:posOffset>
            </wp:positionH>
            <wp:positionV relativeFrom="paragraph">
              <wp:posOffset>2540</wp:posOffset>
            </wp:positionV>
            <wp:extent cx="4181475" cy="2428875"/>
            <wp:effectExtent l="4445" t="4445" r="5080" b="5080"/>
            <wp:wrapNone/>
            <wp:docPr id="71977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pStyle w:val="2"/>
        <w:pageBreakBefore w:val="0"/>
        <w:kinsoku/>
        <w:wordWrap/>
        <w:overflowPunct/>
        <w:topLinePunct w:val="0"/>
        <w:autoSpaceDE/>
        <w:autoSpaceDN/>
        <w:bidi w:val="0"/>
        <w:jc w:val="left"/>
        <w:textAlignment w:val="auto"/>
        <w:rPr>
          <w:rFonts w:hint="default"/>
        </w:rPr>
      </w:pPr>
    </w:p>
    <w:p>
      <w:pPr>
        <w:rPr>
          <w:rFonts w:hint="default"/>
        </w:rPr>
      </w:pPr>
    </w:p>
    <w:p>
      <w:pPr>
        <w:pStyle w:val="2"/>
        <w:rPr>
          <w:rFonts w:hint="default"/>
        </w:rPr>
      </w:pPr>
    </w:p>
    <w:p>
      <w:pPr>
        <w:rPr>
          <w:rFonts w:hint="default"/>
        </w:rPr>
      </w:pPr>
    </w:p>
    <w:p>
      <w:pPr>
        <w:pStyle w:val="2"/>
        <w:rPr>
          <w:rFonts w:hint="default"/>
        </w:rPr>
      </w:pP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图7：“三公”经费财政拨款支出结构 （单位：万元）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1.因公出国（境）经费支出</w:t>
      </w:r>
      <w:r>
        <w:rPr>
          <w:rFonts w:hint="eastAsia" w:eastAsia="仿宋_GB2312" w:cs="Times New Roman"/>
          <w:b/>
          <w:bCs/>
          <w:sz w:val="32"/>
          <w:szCs w:val="32"/>
          <w:lang w:val="en-US" w:eastAsia="zh-CN"/>
        </w:rPr>
        <w:t>0</w:t>
      </w:r>
      <w:r>
        <w:rPr>
          <w:rFonts w:hint="default" w:ascii="Times New Roman" w:hAnsi="Times New Roman" w:eastAsia="仿宋_GB2312" w:cs="Times New Roman"/>
          <w:b/>
          <w:bCs/>
          <w:sz w:val="32"/>
          <w:szCs w:val="32"/>
        </w:rPr>
        <w:t>万元，完成预算</w:t>
      </w:r>
      <w:r>
        <w:rPr>
          <w:rFonts w:hint="eastAsia"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全年安排因公出国（境）团组0次，出国（境）0人。因公出国（境）支出决算比202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年度持平。</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2.公务用车购置及运行维护费支出73.24万元，完成预算</w:t>
      </w:r>
      <w:r>
        <w:rPr>
          <w:rFonts w:hint="eastAsia"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公务用车购置及运行维护费支出决算比2023年度</w:t>
      </w:r>
      <w:r>
        <w:rPr>
          <w:rFonts w:hint="eastAsia" w:eastAsia="仿宋_GB2312" w:cs="Times New Roman"/>
          <w:sz w:val="32"/>
          <w:szCs w:val="32"/>
          <w:lang w:eastAsia="zh-CN"/>
        </w:rPr>
        <w:t>（</w:t>
      </w:r>
      <w:r>
        <w:rPr>
          <w:rFonts w:hint="eastAsia" w:eastAsia="仿宋_GB2312" w:cs="Times New Roman"/>
          <w:sz w:val="32"/>
          <w:szCs w:val="32"/>
          <w:lang w:val="en-US" w:eastAsia="zh-CN"/>
        </w:rPr>
        <w:t>70.08万元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增加</w:t>
      </w:r>
      <w:r>
        <w:rPr>
          <w:rFonts w:hint="eastAsia" w:eastAsia="仿宋_GB2312" w:cs="Times New Roman"/>
          <w:sz w:val="32"/>
          <w:szCs w:val="32"/>
          <w:lang w:val="en-US" w:eastAsia="zh-CN"/>
        </w:rPr>
        <w:t>3.16</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公务用车车型变化导致运维增加。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其中：公务用车购置支出0万元。全年按规定更新购置公务用车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截至2024年12月31日，单位共有公务用车</w:t>
      </w:r>
      <w:r>
        <w:rPr>
          <w:rFonts w:hint="eastAsia"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辆，其中：轿车</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辆、越野车</w:t>
      </w:r>
      <w:r>
        <w:rPr>
          <w:rFonts w:hint="eastAsia"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辆、其他专用车辆</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公务用车运行维护费支出73.24万元。主要用于环境监察执法检查、污染物减排核查、大气环境质量专项检查、环保督察等所需的公务用车燃料费、维修费、过路过桥费、保险费等支出。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3.公务接待费支出1.09万元，完成预算</w:t>
      </w:r>
      <w:r>
        <w:rPr>
          <w:rFonts w:hint="eastAsia"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公务接待费支出决算比2023年度</w:t>
      </w:r>
      <w:r>
        <w:rPr>
          <w:rFonts w:hint="eastAsia" w:eastAsia="仿宋_GB2312" w:cs="Times New Roman"/>
          <w:sz w:val="32"/>
          <w:szCs w:val="32"/>
          <w:lang w:eastAsia="zh-CN"/>
        </w:rPr>
        <w:t>（2.81万元）</w:t>
      </w:r>
      <w:r>
        <w:rPr>
          <w:rFonts w:hint="default" w:ascii="Times New Roman" w:hAnsi="Times New Roman" w:eastAsia="仿宋_GB2312" w:cs="Times New Roman"/>
          <w:sz w:val="32"/>
          <w:szCs w:val="32"/>
        </w:rPr>
        <w:t>减少</w:t>
      </w:r>
      <w:r>
        <w:rPr>
          <w:rFonts w:hint="eastAsia" w:eastAsia="仿宋_GB2312" w:cs="Times New Roman"/>
          <w:sz w:val="32"/>
          <w:szCs w:val="32"/>
          <w:lang w:val="en-US" w:eastAsia="zh-CN"/>
        </w:rPr>
        <w:t>1.72</w:t>
      </w:r>
      <w:r>
        <w:rPr>
          <w:rFonts w:hint="default" w:ascii="Times New Roman" w:hAnsi="Times New Roman" w:eastAsia="仿宋_GB2312" w:cs="Times New Roman"/>
          <w:sz w:val="32"/>
          <w:szCs w:val="32"/>
        </w:rPr>
        <w:t>万元，下降</w:t>
      </w:r>
      <w:r>
        <w:rPr>
          <w:rFonts w:hint="eastAsia" w:eastAsia="仿宋_GB2312" w:cs="Times New Roman"/>
          <w:sz w:val="32"/>
          <w:szCs w:val="32"/>
          <w:lang w:val="en-US" w:eastAsia="zh-CN"/>
        </w:rPr>
        <w:t>61.21</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坚持党政机关过紧日子要求，厉行节约</w:t>
      </w:r>
      <w:r>
        <w:rPr>
          <w:rFonts w:hint="default" w:ascii="Times New Roman" w:hAnsi="Times New Roman" w:eastAsia="仿宋_GB2312" w:cs="Times New Roman"/>
          <w:sz w:val="32"/>
          <w:szCs w:val="32"/>
        </w:rPr>
        <w:t>。其中：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国内公务接待支出1.09万元，主要用于美丽河湖建设现场核查组用餐费</w:t>
      </w:r>
      <w:r>
        <w:rPr>
          <w:rFonts w:hint="eastAsia" w:eastAsia="仿宋_GB2312" w:cs="Times New Roman"/>
          <w:sz w:val="32"/>
          <w:szCs w:val="32"/>
          <w:lang w:eastAsia="zh-CN"/>
        </w:rPr>
        <w:t>、省厅地干处来攀人员</w:t>
      </w:r>
      <w:r>
        <w:rPr>
          <w:rFonts w:hint="default" w:ascii="Times New Roman" w:hAnsi="Times New Roman" w:eastAsia="仿宋_GB2312" w:cs="Times New Roman"/>
          <w:sz w:val="32"/>
          <w:szCs w:val="32"/>
        </w:rPr>
        <w:t>用餐费</w:t>
      </w:r>
      <w:r>
        <w:rPr>
          <w:rFonts w:hint="eastAsia" w:eastAsia="仿宋_GB2312" w:cs="Times New Roman"/>
          <w:sz w:val="32"/>
          <w:szCs w:val="32"/>
          <w:lang w:eastAsia="zh-CN"/>
        </w:rPr>
        <w:t>、省环保突出问题整改督导组</w:t>
      </w:r>
      <w:r>
        <w:rPr>
          <w:rFonts w:hint="default" w:ascii="Times New Roman" w:hAnsi="Times New Roman" w:eastAsia="仿宋_GB2312" w:cs="Times New Roman"/>
          <w:sz w:val="32"/>
          <w:szCs w:val="32"/>
        </w:rPr>
        <w:t>用餐费</w:t>
      </w:r>
      <w:r>
        <w:rPr>
          <w:rFonts w:hint="eastAsia" w:eastAsia="仿宋_GB2312" w:cs="Times New Roman"/>
          <w:sz w:val="32"/>
          <w:szCs w:val="32"/>
          <w:lang w:eastAsia="zh-CN"/>
        </w:rPr>
        <w:t>等。</w:t>
      </w:r>
      <w:r>
        <w:rPr>
          <w:rFonts w:hint="default" w:ascii="Times New Roman" w:hAnsi="Times New Roman" w:eastAsia="仿宋_GB2312" w:cs="Times New Roman"/>
          <w:color w:val="auto"/>
          <w:sz w:val="32"/>
          <w:szCs w:val="32"/>
        </w:rPr>
        <w:t>国内公务接待15批次，55人次（不包括陪同人员），共计支出</w:t>
      </w:r>
      <w:r>
        <w:rPr>
          <w:rFonts w:hint="eastAsia" w:eastAsia="仿宋_GB2312" w:cs="Times New Roman"/>
          <w:color w:val="auto"/>
          <w:sz w:val="32"/>
          <w:szCs w:val="32"/>
          <w:lang w:val="en-US" w:eastAsia="zh-CN"/>
        </w:rPr>
        <w:t>1.09</w:t>
      </w:r>
      <w:r>
        <w:rPr>
          <w:rFonts w:hint="default" w:ascii="Times New Roman" w:hAnsi="Times New Roman" w:eastAsia="仿宋_GB2312" w:cs="Times New Roman"/>
          <w:color w:val="auto"/>
          <w:sz w:val="32"/>
          <w:szCs w:val="32"/>
        </w:rPr>
        <w:t>万元，具体内容包括：三峡公司来攀人员费用</w:t>
      </w:r>
      <w:r>
        <w:rPr>
          <w:rFonts w:hint="eastAsia" w:eastAsia="仿宋_GB2312" w:cs="Times New Roman"/>
          <w:color w:val="auto"/>
          <w:sz w:val="32"/>
          <w:szCs w:val="32"/>
          <w:lang w:val="en-US" w:eastAsia="zh-CN"/>
        </w:rPr>
        <w:t>840元、美丽河湖建设现场核查组费用611元、凉山州来攀人员费用852元、省厅辐射现场核查人员费用658元、重点流域水生态环境保护规划实施情况调研组费用840元、一河一策一图方案现场复核组费用327元、审计发现问题专项督查调研组费用1068元、清洁生产省级审核组接待费390元、土壤重点工作省级抽查组费用356.94元、省厅纪检组来攀培训人员费用912元、省厅地干处来攀人员费用1209元、省环保突出问题整改督导组费用943元、尾矿库和危废防治省级督导组费用696元、危废经营许可专家评审组费用596元、辐射安全与防护专场考核组费用634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外事接待支出0万元，外事接待0批次，0人次（不包括陪同人员），共计支出0万元。</w:t>
      </w:r>
      <w:bookmarkStart w:id="36" w:name="_Toc15377218"/>
      <w:bookmarkStart w:id="37" w:name="_Toc1539661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Style w:val="29"/>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2024年度政府性基金预算财政拨款支出834.77万元，占本年支出合计的14.63%。与2023年度</w:t>
      </w:r>
      <w:r>
        <w:rPr>
          <w:rFonts w:hint="eastAsia" w:eastAsia="仿宋_GB2312" w:cs="Times New Roman"/>
          <w:sz w:val="32"/>
          <w:szCs w:val="32"/>
          <w:lang w:eastAsia="zh-CN"/>
        </w:rPr>
        <w:t>（436.54万元）</w:t>
      </w:r>
      <w:r>
        <w:rPr>
          <w:rFonts w:hint="default" w:ascii="Times New Roman" w:hAnsi="Times New Roman" w:eastAsia="仿宋_GB2312" w:cs="Times New Roman"/>
          <w:sz w:val="32"/>
          <w:szCs w:val="32"/>
        </w:rPr>
        <w:t>相比，政府性基金预算财政拨款支出减少</w:t>
      </w:r>
      <w:r>
        <w:rPr>
          <w:rFonts w:hint="eastAsia" w:eastAsia="仿宋_GB2312" w:cs="Times New Roman"/>
          <w:sz w:val="32"/>
          <w:szCs w:val="32"/>
          <w:lang w:val="en-US" w:eastAsia="zh-CN"/>
        </w:rPr>
        <w:t>398.23</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增加</w:t>
      </w:r>
      <w:r>
        <w:rPr>
          <w:rFonts w:hint="eastAsia" w:eastAsia="仿宋_GB2312" w:cs="Times New Roman"/>
          <w:sz w:val="32"/>
          <w:szCs w:val="32"/>
          <w:lang w:val="en-US" w:eastAsia="zh-CN"/>
        </w:rPr>
        <w:t>91.22</w:t>
      </w:r>
      <w:r>
        <w:rPr>
          <w:rFonts w:hint="default" w:ascii="Times New Roman" w:hAnsi="Times New Roman" w:eastAsia="仿宋_GB2312" w:cs="Times New Roman"/>
          <w:sz w:val="32"/>
          <w:szCs w:val="32"/>
        </w:rPr>
        <w:t>%。主要变动原因是</w:t>
      </w:r>
      <w:r>
        <w:rPr>
          <w:rFonts w:hint="eastAsia" w:eastAsia="仿宋_GB2312" w:cs="Times New Roman"/>
          <w:sz w:val="32"/>
          <w:szCs w:val="32"/>
          <w:lang w:eastAsia="zh-CN"/>
        </w:rPr>
        <w:t>项目费用支出增加。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Style w:val="29"/>
          <w:rFonts w:hint="default" w:ascii="Times New Roman" w:hAnsi="Times New Roman" w:eastAsia="黑体" w:cs="Times New Roman"/>
          <w:b w:val="0"/>
        </w:rPr>
      </w:pPr>
      <w:bookmarkStart w:id="38" w:name="_Toc15377219"/>
      <w:bookmarkStart w:id="39" w:name="_Toc15396611"/>
      <w:r>
        <w:rPr>
          <w:rStyle w:val="29"/>
          <w:rFonts w:hint="default" w:ascii="Times New Roman" w:hAnsi="Times New Roman" w:eastAsia="黑体" w:cs="Times New Roman"/>
          <w:b w:val="0"/>
        </w:rPr>
        <w:t>九、国有资本经营预算支出决算情况说明</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2024年度国有资本经营预算财政拨款支出0万元，占本年支出合计的0%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与2023年度</w:t>
      </w:r>
      <w:r>
        <w:rPr>
          <w:rFonts w:hint="eastAsia" w:eastAsia="仿宋_GB2312" w:cs="Times New Roman"/>
          <w:sz w:val="32"/>
          <w:szCs w:val="32"/>
          <w:lang w:eastAsia="zh-CN"/>
        </w:rPr>
        <w:t>持平。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1"/>
        <w:rPr>
          <w:rStyle w:val="29"/>
          <w:rFonts w:hint="default" w:ascii="Times New Roman" w:hAnsi="Times New Roman" w:eastAsia="黑体" w:cs="Times New Roman"/>
          <w:b w:val="0"/>
        </w:rPr>
      </w:pPr>
      <w:bookmarkStart w:id="40" w:name="_Toc15396612"/>
      <w:bookmarkStart w:id="41" w:name="_Toc15377221"/>
      <w:r>
        <w:rPr>
          <w:rStyle w:val="29"/>
          <w:rFonts w:hint="default" w:ascii="Times New Roman" w:hAnsi="Times New Roman" w:eastAsia="黑体" w:cs="Times New Roman"/>
          <w:b w:val="0"/>
        </w:rPr>
        <w:t>十、其他重要事项的情况说明</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outlineLvl w:val="2"/>
        <w:rPr>
          <w:rFonts w:hint="default" w:ascii="Times New Roman" w:hAnsi="Times New Roman" w:eastAsia="楷体_GB2312" w:cs="Times New Roman"/>
          <w:b/>
          <w:sz w:val="32"/>
          <w:szCs w:val="32"/>
        </w:rPr>
      </w:pPr>
      <w:bookmarkStart w:id="42" w:name="_Toc15377222"/>
      <w:r>
        <w:rPr>
          <w:rFonts w:hint="default" w:ascii="Times New Roman" w:hAnsi="Times New Roman" w:eastAsia="楷体_GB2312" w:cs="Times New Roman"/>
          <w:b/>
          <w:sz w:val="32"/>
          <w:szCs w:val="32"/>
        </w:rPr>
        <w:t>（一）机关运行经费支出情况</w:t>
      </w:r>
      <w:bookmarkEnd w:id="4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2024年度，攀枝花市生态环境局机关运行经费支出278.74万元，比2023年度</w:t>
      </w:r>
      <w:r>
        <w:rPr>
          <w:rFonts w:hint="eastAsia" w:eastAsia="仿宋_GB2312" w:cs="Times New Roman"/>
          <w:sz w:val="32"/>
          <w:szCs w:val="32"/>
          <w:lang w:eastAsia="zh-CN"/>
        </w:rPr>
        <w:t>（262.77万元）</w:t>
      </w:r>
      <w:r>
        <w:rPr>
          <w:rFonts w:hint="default" w:ascii="Times New Roman" w:hAnsi="Times New Roman" w:eastAsia="仿宋_GB2312" w:cs="Times New Roman"/>
          <w:sz w:val="32"/>
          <w:szCs w:val="32"/>
        </w:rPr>
        <w:t>增加</w:t>
      </w:r>
      <w:r>
        <w:rPr>
          <w:rFonts w:hint="eastAsia" w:eastAsia="仿宋_GB2312" w:cs="Times New Roman"/>
          <w:sz w:val="32"/>
          <w:szCs w:val="32"/>
          <w:lang w:val="en-US" w:eastAsia="zh-CN"/>
        </w:rPr>
        <w:t>15.97</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6.08</w:t>
      </w:r>
      <w:r>
        <w:rPr>
          <w:rFonts w:hint="default" w:ascii="Times New Roman" w:hAnsi="Times New Roman" w:eastAsia="仿宋_GB2312" w:cs="Times New Roman"/>
          <w:sz w:val="32"/>
          <w:szCs w:val="32"/>
        </w:rPr>
        <w:t>%。主要原因是202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年部分办公费在202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年列支。</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outlineLvl w:val="2"/>
        <w:rPr>
          <w:rFonts w:hint="default" w:ascii="Times New Roman" w:hAnsi="Times New Roman" w:eastAsia="楷体_GB2312" w:cs="Times New Roman"/>
          <w:b/>
          <w:sz w:val="32"/>
          <w:szCs w:val="32"/>
        </w:rPr>
      </w:pPr>
      <w:bookmarkStart w:id="43" w:name="_Toc15377223"/>
      <w:r>
        <w:rPr>
          <w:rFonts w:hint="default" w:ascii="Times New Roman" w:hAnsi="Times New Roman" w:eastAsia="楷体_GB2312" w:cs="Times New Roman"/>
          <w:b/>
          <w:sz w:val="32"/>
          <w:szCs w:val="32"/>
        </w:rPr>
        <w:t>（二）政府采购支出情况</w:t>
      </w:r>
      <w:bookmarkEnd w:id="4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2024年度，攀枝花市生态环境局政府采购支出总额719.39万元，其中：政府采购货物支出235.6万元、政府采购工程支出0万元、政府采购服务支出483.8万元。主要用于攀枝花市大气复合型颗粒物及光化学组分站建设项目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攀枝花生态环境保护综合行政执法业务能力标准化建设</w:t>
      </w:r>
      <w:r>
        <w:rPr>
          <w:rFonts w:hint="eastAsia" w:eastAsia="仿宋_GB2312" w:cs="Times New Roman"/>
          <w:sz w:val="32"/>
          <w:szCs w:val="32"/>
          <w:lang w:eastAsia="zh-CN"/>
        </w:rPr>
        <w:t>项目、重点污染源自动监控系统运维等</w:t>
      </w:r>
      <w:r>
        <w:rPr>
          <w:rFonts w:hint="default" w:ascii="Times New Roman" w:hAnsi="Times New Roman" w:eastAsia="仿宋_GB2312" w:cs="Times New Roman"/>
          <w:sz w:val="32"/>
          <w:szCs w:val="32"/>
        </w:rPr>
        <w:t>。授予中小企业合同金额675.31万元，占政府采购支出总额的93.87%，其中：授予小微企业合同金额424.7万元，占政府采购支出总额的59.03%。</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outlineLvl w:val="2"/>
        <w:rPr>
          <w:rFonts w:hint="default" w:ascii="Times New Roman" w:hAnsi="Times New Roman" w:eastAsia="楷体_GB2312" w:cs="Times New Roman"/>
          <w:b/>
          <w:sz w:val="32"/>
          <w:szCs w:val="32"/>
        </w:rPr>
      </w:pPr>
      <w:bookmarkStart w:id="44" w:name="_Toc15377224"/>
      <w:r>
        <w:rPr>
          <w:rFonts w:hint="default" w:ascii="Times New Roman" w:hAnsi="Times New Roman" w:eastAsia="楷体_GB2312" w:cs="Times New Roman"/>
          <w:b/>
          <w:sz w:val="32"/>
          <w:szCs w:val="32"/>
        </w:rPr>
        <w:t>（三）国有资产占有使用情况</w:t>
      </w:r>
      <w:bookmarkEnd w:id="4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截至2024年12月31日，攀枝花市生态环境局共有车辆31辆，其中：主要负责人用车0辆、机要通信用车0辆、应急保障用车1辆、特种专业技术用车</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辆。单价100万元（含）以上设备（不含车辆）12台（套）。</w:t>
      </w:r>
    </w:p>
    <w:p>
      <w:pPr>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（四）预算绩效管理情况</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根据预算绩效管理要求，攀枝花市生态环境局在2024年度预算编制阶段，组织对地下水环境调查评估与能力建设项目（二期）攀枝花监测项目等</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个项目开展了预算事前绩效评估，对</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个项目编制了绩效目标，预算执行过程中，选取</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个项目开展绩效监控。绩效自评表详见第四部分附件。</w:t>
      </w:r>
    </w:p>
    <w:p>
      <w:pPr>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eastAsia="仿宋_GB2312" w:cs="Times New Roman"/>
          <w:b/>
          <w:bCs/>
          <w:color w:val="FF0000"/>
          <w:sz w:val="32"/>
          <w:szCs w:val="32"/>
        </w:rPr>
      </w:pPr>
    </w:p>
    <w:p>
      <w:pPr>
        <w:pStyle w:val="2"/>
        <w:pageBreakBefore w:val="0"/>
        <w:kinsoku/>
        <w:wordWrap/>
        <w:overflowPunct/>
        <w:topLinePunct w:val="0"/>
        <w:autoSpaceDE/>
        <w:autoSpaceDN/>
        <w:bidi w:val="0"/>
        <w:jc w:val="left"/>
        <w:textAlignment w:val="auto"/>
        <w:rPr>
          <w:rFonts w:hint="default" w:ascii="Times New Roman" w:hAnsi="Times New Roman" w:eastAsia="仿宋_GB2312" w:cs="Times New Roman"/>
          <w:b/>
          <w:bCs/>
          <w:color w:val="FF0000"/>
          <w:sz w:val="32"/>
          <w:szCs w:val="32"/>
        </w:rPr>
      </w:pPr>
    </w:p>
    <w:p>
      <w:pPr>
        <w:pageBreakBefore w:val="0"/>
        <w:kinsoku/>
        <w:wordWrap/>
        <w:overflowPunct/>
        <w:topLinePunct w:val="0"/>
        <w:autoSpaceDE/>
        <w:autoSpaceDN/>
        <w:bidi w:val="0"/>
        <w:jc w:val="left"/>
        <w:textAlignment w:val="auto"/>
        <w:rPr>
          <w:rFonts w:hint="default" w:ascii="Times New Roman" w:hAnsi="Times New Roman" w:eastAsia="仿宋_GB2312" w:cs="Times New Roman"/>
          <w:b/>
          <w:bCs/>
          <w:color w:val="FF0000"/>
          <w:sz w:val="32"/>
          <w:szCs w:val="32"/>
        </w:rPr>
      </w:pPr>
    </w:p>
    <w:p>
      <w:pPr>
        <w:pStyle w:val="2"/>
        <w:pageBreakBefore w:val="0"/>
        <w:kinsoku/>
        <w:wordWrap/>
        <w:overflowPunct/>
        <w:topLinePunct w:val="0"/>
        <w:autoSpaceDE/>
        <w:autoSpaceDN/>
        <w:bidi w:val="0"/>
        <w:jc w:val="left"/>
        <w:textAlignment w:val="auto"/>
        <w:rPr>
          <w:rFonts w:hint="default" w:ascii="Times New Roman" w:hAnsi="Times New Roman" w:eastAsia="仿宋_GB2312" w:cs="Times New Roman"/>
          <w:b/>
          <w:bCs/>
          <w:color w:val="FF0000"/>
          <w:sz w:val="32"/>
          <w:szCs w:val="32"/>
        </w:rPr>
      </w:pPr>
    </w:p>
    <w:p>
      <w:pPr>
        <w:pageBreakBefore w:val="0"/>
        <w:kinsoku/>
        <w:wordWrap/>
        <w:overflowPunct/>
        <w:topLinePunct w:val="0"/>
        <w:autoSpaceDE/>
        <w:autoSpaceDN/>
        <w:bidi w:val="0"/>
        <w:jc w:val="left"/>
        <w:textAlignment w:val="auto"/>
        <w:rPr>
          <w:rFonts w:hint="default" w:ascii="Times New Roman" w:hAnsi="Times New Roman" w:eastAsia="仿宋_GB2312" w:cs="Times New Roman"/>
          <w:b/>
          <w:bCs/>
          <w:color w:val="FF0000"/>
          <w:sz w:val="32"/>
          <w:szCs w:val="32"/>
        </w:rPr>
      </w:pPr>
    </w:p>
    <w:p>
      <w:pPr>
        <w:pStyle w:val="2"/>
        <w:pageBreakBefore w:val="0"/>
        <w:kinsoku/>
        <w:wordWrap/>
        <w:overflowPunct/>
        <w:topLinePunct w:val="0"/>
        <w:autoSpaceDE/>
        <w:autoSpaceDN/>
        <w:bidi w:val="0"/>
        <w:jc w:val="left"/>
        <w:textAlignment w:val="auto"/>
        <w:rPr>
          <w:rFonts w:hint="default" w:ascii="Times New Roman" w:hAnsi="Times New Roman" w:eastAsia="仿宋_GB2312" w:cs="Times New Roman"/>
          <w:b/>
          <w:bCs/>
          <w:color w:val="FF0000"/>
          <w:sz w:val="32"/>
          <w:szCs w:val="32"/>
        </w:rPr>
      </w:pPr>
    </w:p>
    <w:p>
      <w:pPr>
        <w:pageBreakBefore w:val="0"/>
        <w:kinsoku/>
        <w:wordWrap/>
        <w:overflowPunct/>
        <w:topLinePunct w:val="0"/>
        <w:autoSpaceDE/>
        <w:autoSpaceDN/>
        <w:bidi w:val="0"/>
        <w:jc w:val="left"/>
        <w:textAlignment w:val="auto"/>
        <w:rPr>
          <w:rFonts w:hint="default" w:ascii="Times New Roman" w:hAnsi="Times New Roman" w:eastAsia="仿宋_GB2312" w:cs="Times New Roman"/>
          <w:b/>
          <w:bCs/>
          <w:color w:val="FF0000"/>
          <w:sz w:val="32"/>
          <w:szCs w:val="32"/>
        </w:rPr>
      </w:pPr>
    </w:p>
    <w:p>
      <w:pPr>
        <w:pStyle w:val="2"/>
        <w:pageBreakBefore w:val="0"/>
        <w:kinsoku/>
        <w:wordWrap/>
        <w:overflowPunct/>
        <w:topLinePunct w:val="0"/>
        <w:autoSpaceDE/>
        <w:autoSpaceDN/>
        <w:bidi w:val="0"/>
        <w:jc w:val="left"/>
        <w:textAlignment w:val="auto"/>
        <w:rPr>
          <w:rFonts w:hint="default"/>
        </w:rPr>
      </w:pPr>
    </w:p>
    <w:p>
      <w:pPr>
        <w:pageBreakBefore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sz w:val="32"/>
          <w:szCs w:val="32"/>
        </w:rPr>
      </w:pPr>
    </w:p>
    <w:p>
      <w:pPr>
        <w:pStyle w:val="2"/>
        <w:pageBreakBefore w:val="0"/>
        <w:kinsoku/>
        <w:wordWrap/>
        <w:overflowPunct/>
        <w:topLinePunct w:val="0"/>
        <w:autoSpaceDE/>
        <w:autoSpaceDN/>
        <w:bidi w:val="0"/>
        <w:jc w:val="left"/>
        <w:textAlignment w:val="auto"/>
        <w:rPr>
          <w:rFonts w:hint="default"/>
        </w:rPr>
      </w:pPr>
    </w:p>
    <w:p>
      <w:pPr>
        <w:pStyle w:val="2"/>
        <w:pageBreakBefore w:val="0"/>
        <w:kinsoku/>
        <w:wordWrap/>
        <w:overflowPunct/>
        <w:topLinePunct w:val="0"/>
        <w:autoSpaceDE/>
        <w:autoSpaceDN/>
        <w:bidi w:val="0"/>
        <w:jc w:val="lef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jc w:val="left"/>
        <w:textAlignment w:val="auto"/>
        <w:rPr>
          <w:rFonts w:hint="default"/>
        </w:rPr>
      </w:pPr>
    </w:p>
    <w:p>
      <w:pPr>
        <w:pageBreakBefore w:val="0"/>
        <w:kinsoku/>
        <w:wordWrap/>
        <w:overflowPunct/>
        <w:topLinePunct w:val="0"/>
        <w:autoSpaceDE/>
        <w:autoSpaceDN/>
        <w:bidi w:val="0"/>
        <w:spacing w:line="600" w:lineRule="exact"/>
        <w:jc w:val="center"/>
        <w:textAlignment w:val="auto"/>
        <w:outlineLvl w:val="0"/>
        <w:rPr>
          <w:rFonts w:hint="default" w:ascii="Times New Roman" w:hAnsi="Times New Roman" w:eastAsia="黑体" w:cs="Times New Roman"/>
          <w:sz w:val="44"/>
          <w:szCs w:val="44"/>
        </w:rPr>
      </w:pPr>
      <w:bookmarkStart w:id="45" w:name="_Toc15377225"/>
      <w:bookmarkStart w:id="46" w:name="_Toc15396613"/>
      <w:r>
        <w:rPr>
          <w:rFonts w:hint="default" w:ascii="Times New Roman" w:hAnsi="Times New Roman" w:eastAsia="黑体" w:cs="Times New Roman"/>
          <w:sz w:val="44"/>
          <w:szCs w:val="44"/>
        </w:rPr>
        <w:t>第三部分  名词解释</w:t>
      </w:r>
      <w:bookmarkEnd w:id="45"/>
      <w:bookmarkEnd w:id="46"/>
    </w:p>
    <w:p>
      <w:pPr>
        <w:pageBreakBefore w:val="0"/>
        <w:kinsoku/>
        <w:wordWrap/>
        <w:overflowPunct/>
        <w:topLinePunct w:val="0"/>
        <w:autoSpaceDE/>
        <w:autoSpaceDN/>
        <w:bidi w:val="0"/>
        <w:spacing w:line="600" w:lineRule="exact"/>
        <w:jc w:val="left"/>
        <w:textAlignment w:val="auto"/>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bookmarkStart w:id="47" w:name="_Toc15377226"/>
      <w:r>
        <w:rPr>
          <w:rFonts w:hint="default" w:ascii="Times New Roman" w:hAnsi="Times New Roman" w:eastAsia="仿宋_GB2312" w:cs="Times New Roman"/>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2.其他收入：指单位取得的除上述收入以外的各项收入。主要是利息收入、上级下达环保专项资金收入等。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3.使用非财政拨款结余（含专用结余）：指事业单位使用以前年度积累的非财政拨款结余弥补当年收支差额的金额。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7.社会保障和就业（类）行政事业单位养老支出（款）行政单位离退休（项）：反映行政单位（包括实行公务员管理的事业单位）开支的离退休经费。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社会保障和就业（类）行政事业单位养老支出（款）事业单位离退休（项）：反映事业单位开支的离退休经费。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9.社会保障和就业（类）行政事业单位养老支出（款）机关事业单位基本养老保险缴费支出（项）：反映机关事业单位实施养老保险制度由单位缴纳的基本养老保险费支出。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10.社会保障和就业（类）抚恤（款）死亡抚恤（项）：反映按规定用于烈士和牺牲、病故人员家属的一次性和定期抚恤金、丧葬补助费以及烈士褒扬金。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11.节能环保（类）环境保护管理事务（款）行政运行（项）：反映行政单位（包括实行公务员管理的事业单位）的基本支出。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12.节能环保（类）环境保护管理事务（款）一般行政管理事务（项）：反映行政单位（包括实行公务员管理的事业单位）未单独设置项级科目的其他项目支出。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13.节能环保（类）环境保护管理事务（款）其他环境保护管理事务支出（项）：反映其他用于环境保护管理事务方面的支出。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14.节能环保（类）污染防治（款）大气（项）：反映政府在治理空气污染、汽车尾气、酸雨、二氧化硫、沙尘暴等方面的支出。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15.节能环保（类）污染防治（款）水体（项）：反映政府在排水、污水处理、水污染防治、湖库生态环境保护、水源地保护、国土江河综合整治、河流治理与保护、地下水修复与保护等方面的支出。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16.节能环保（类）污染防治（款）其他污染防治支出（项）：反映其他用于污染防治方面的支出。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17.城乡社区支出（类）国有土地使用权出让收入安排的支出（款）土地开发支出（项）：反映新疆生产建设兵团和地方政府用于前期土地开发性支出以及与前期土地开发相关的费用等支出。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18.城乡社区支出（类）城市基础设施配套费安排的支出（款）其他城市基础设施配套费安排的支出（项）：反映其他城市基础设施配套费支出。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19.住房保障支出（类）住房改革支出（款）住房公积金（项）：反映行政事业单位按人力资源和社会保障部、财政部规定的基本工资和津补贴以及规定比例为职工缴纳的住房公积金。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21.项目支出：指在基本支出之外为完成特定行政任务和事业发展目标所发生的支出。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Style w:val="28"/>
          <w:rFonts w:hint="default" w:ascii="Times New Roman" w:hAnsi="Times New Roman" w:eastAsia="黑体" w:cs="Times New Roman"/>
          <w:b w:val="0"/>
        </w:rPr>
      </w:pPr>
      <w:r>
        <w:rPr>
          <w:rFonts w:hint="default" w:ascii="Times New Roman" w:hAnsi="Times New Roman" w:eastAsia="仿宋_GB2312" w:cs="Times New Roman"/>
          <w:sz w:val="32"/>
          <w:szCs w:val="32"/>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default" w:ascii="Times New Roman" w:hAnsi="Times New Roman" w:eastAsia="仿宋_GB2312" w:cs="Times New Roman"/>
          <w:sz w:val="32"/>
          <w:szCs w:val="32"/>
        </w:rPr>
        <w:br w:type="page"/>
      </w:r>
      <w:bookmarkStart w:id="48" w:name="_Toc15396614"/>
      <w:r>
        <w:rPr>
          <w:rFonts w:hint="default" w:ascii="Times New Roman" w:hAnsi="Times New Roman" w:eastAsia="黑体" w:cs="Times New Roman"/>
          <w:sz w:val="44"/>
          <w:szCs w:val="44"/>
        </w:rPr>
        <w:t>第四部分  附件</w:t>
      </w:r>
      <w:bookmarkEnd w:id="48"/>
    </w:p>
    <w:p>
      <w:pPr>
        <w:pageBreakBefore w:val="0"/>
        <w:kinsoku/>
        <w:wordWrap/>
        <w:overflowPunct/>
        <w:topLinePunct w:val="0"/>
        <w:autoSpaceDE/>
        <w:autoSpaceDN/>
        <w:bidi w:val="0"/>
        <w:spacing w:line="572" w:lineRule="exact"/>
        <w:jc w:val="center"/>
        <w:textAlignment w:val="auto"/>
        <w:outlineLvl w:val="0"/>
        <w:rPr>
          <w:rFonts w:hint="default" w:ascii="Times New Roman" w:hAnsi="Times New Roman" w:eastAsia="黑体" w:cs="Times New Roman"/>
          <w:color w:val="FF0000"/>
          <w:sz w:val="32"/>
          <w:szCs w:val="32"/>
        </w:rPr>
      </w:pPr>
    </w:p>
    <w:p>
      <w:pPr>
        <w:pageBreakBefore w:val="0"/>
        <w:widowControl/>
        <w:kinsoku/>
        <w:wordWrap/>
        <w:overflowPunct/>
        <w:topLinePunct w:val="0"/>
        <w:autoSpaceDE/>
        <w:autoSpaceDN/>
        <w:bidi w:val="0"/>
        <w:spacing w:line="578" w:lineRule="exact"/>
        <w:contextualSpacing/>
        <w:jc w:val="center"/>
        <w:textAlignment w:val="auto"/>
        <w:rPr>
          <w:rFonts w:hint="eastAsia"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rPr>
        <w:t>部门预算项目支出绩效自评表（2024年度）见附件</w:t>
      </w:r>
      <w:r>
        <w:rPr>
          <w:rFonts w:hint="eastAsia" w:eastAsia="仿宋_GB2312" w:cs="Times New Roman"/>
          <w:sz w:val="32"/>
          <w:szCs w:val="32"/>
          <w:shd w:val="clear" w:color="auto" w:fill="FFFFFF"/>
          <w:lang w:eastAsia="zh-CN"/>
        </w:rPr>
        <w:t>。</w:t>
      </w:r>
      <w:bookmarkStart w:id="63" w:name="_GoBack"/>
      <w:bookmarkEnd w:id="63"/>
    </w:p>
    <w:p>
      <w:pPr>
        <w:pStyle w:val="2"/>
        <w:pageBreakBefore w:val="0"/>
        <w:kinsoku/>
        <w:wordWrap/>
        <w:overflowPunct/>
        <w:topLinePunct w:val="0"/>
        <w:autoSpaceDE/>
        <w:autoSpaceDN/>
        <w:bidi w:val="0"/>
        <w:jc w:val="left"/>
        <w:textAlignment w:val="auto"/>
        <w:rPr>
          <w:rFonts w:hint="default"/>
        </w:rPr>
      </w:pPr>
    </w:p>
    <w:p>
      <w:pPr>
        <w:pStyle w:val="8"/>
        <w:pageBreakBefore w:val="0"/>
        <w:kinsoku/>
        <w:wordWrap/>
        <w:overflowPunct/>
        <w:topLinePunct w:val="0"/>
        <w:autoSpaceDE/>
        <w:autoSpaceDN/>
        <w:bidi w:val="0"/>
        <w:spacing w:line="560" w:lineRule="exact"/>
        <w:ind w:left="0" w:leftChars="0" w:firstLine="640"/>
        <w:jc w:val="left"/>
        <w:textAlignment w:val="auto"/>
        <w:rPr>
          <w:rFonts w:hint="default" w:ascii="Times New Roman" w:hAnsi="Times New Roman" w:eastAsia="仿宋_GB2312" w:cs="Times New Roman"/>
          <w:sz w:val="32"/>
          <w:lang w:val="zh-CN"/>
        </w:rPr>
      </w:pPr>
    </w:p>
    <w:p>
      <w:pPr>
        <w:pStyle w:val="8"/>
        <w:pageBreakBefore w:val="0"/>
        <w:kinsoku/>
        <w:wordWrap/>
        <w:overflowPunct/>
        <w:topLinePunct w:val="0"/>
        <w:autoSpaceDE/>
        <w:autoSpaceDN/>
        <w:bidi w:val="0"/>
        <w:spacing w:line="560" w:lineRule="exact"/>
        <w:ind w:left="0" w:leftChars="0" w:firstLine="640"/>
        <w:jc w:val="left"/>
        <w:textAlignment w:val="auto"/>
        <w:rPr>
          <w:rFonts w:hint="default" w:ascii="Times New Roman" w:hAnsi="Times New Roman" w:eastAsia="仿宋_GB2312" w:cs="Times New Roman"/>
          <w:sz w:val="32"/>
          <w:lang w:val="zh-CN"/>
        </w:rPr>
      </w:pPr>
    </w:p>
    <w:p>
      <w:pPr>
        <w:pStyle w:val="8"/>
        <w:pageBreakBefore w:val="0"/>
        <w:kinsoku/>
        <w:wordWrap/>
        <w:overflowPunct/>
        <w:topLinePunct w:val="0"/>
        <w:autoSpaceDE/>
        <w:autoSpaceDN/>
        <w:bidi w:val="0"/>
        <w:spacing w:line="560" w:lineRule="exact"/>
        <w:ind w:left="0" w:leftChars="0" w:firstLine="0" w:firstLineChars="0"/>
        <w:jc w:val="left"/>
        <w:textAlignment w:val="auto"/>
        <w:rPr>
          <w:rFonts w:hint="default" w:ascii="Times New Roman" w:hAnsi="Times New Roman" w:cs="Times New Roman"/>
          <w:sz w:val="32"/>
          <w:highlight w:val="yellow"/>
          <w:lang w:val="zh-CN"/>
        </w:rPr>
      </w:pPr>
    </w:p>
    <w:p>
      <w:pPr>
        <w:pStyle w:val="6"/>
        <w:pageBreakBefore w:val="0"/>
        <w:kinsoku/>
        <w:wordWrap/>
        <w:overflowPunct/>
        <w:topLinePunct w:val="0"/>
        <w:autoSpaceDE/>
        <w:autoSpaceDN/>
        <w:bidi w:val="0"/>
        <w:spacing w:before="93"/>
        <w:jc w:val="left"/>
        <w:textAlignment w:val="auto"/>
        <w:rPr>
          <w:rFonts w:hint="default" w:ascii="Times New Roman" w:hAnsi="Times New Roman" w:cs="Times New Roman"/>
          <w:color w:val="FF0000"/>
          <w:sz w:val="32"/>
          <w:szCs w:val="32"/>
          <w:highlight w:val="yellow"/>
          <w:shd w:val="clear" w:color="auto" w:fill="FFFFFF"/>
          <w:lang w:val="zh-CN"/>
        </w:rPr>
      </w:pPr>
    </w:p>
    <w:p>
      <w:pPr>
        <w:pageBreakBefore w:val="0"/>
        <w:kinsoku/>
        <w:wordWrap/>
        <w:overflowPunct/>
        <w:topLinePunct w:val="0"/>
        <w:autoSpaceDE/>
        <w:autoSpaceDN/>
        <w:bidi w:val="0"/>
        <w:jc w:val="left"/>
        <w:textAlignment w:val="auto"/>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lang w:val="zh-CN"/>
        </w:rPr>
        <w:br w:type="page"/>
      </w:r>
    </w:p>
    <w:p>
      <w:pPr>
        <w:pageBreakBefore w:val="0"/>
        <w:widowControl/>
        <w:kinsoku/>
        <w:wordWrap/>
        <w:overflowPunct/>
        <w:topLinePunct w:val="0"/>
        <w:autoSpaceDE/>
        <w:autoSpaceDN/>
        <w:bidi w:val="0"/>
        <w:jc w:val="center"/>
        <w:textAlignment w:val="auto"/>
        <w:rPr>
          <w:rFonts w:hint="default" w:ascii="Times New Roman" w:hAnsi="Times New Roman" w:eastAsia="仿宋" w:cs="Times New Roman"/>
        </w:rPr>
      </w:pPr>
      <w:bookmarkStart w:id="49" w:name="_Toc15396618"/>
      <w:r>
        <w:rPr>
          <w:rFonts w:hint="default" w:ascii="Times New Roman" w:hAnsi="Times New Roman" w:eastAsia="黑体" w:cs="Times New Roman"/>
          <w:sz w:val="44"/>
          <w:szCs w:val="44"/>
        </w:rPr>
        <w:t>第</w:t>
      </w:r>
      <w:r>
        <w:rPr>
          <w:rStyle w:val="28"/>
          <w:rFonts w:hint="default" w:ascii="Times New Roman" w:hAnsi="Times New Roman" w:eastAsia="黑体" w:cs="Times New Roman"/>
          <w:b w:val="0"/>
        </w:rPr>
        <w:t>五部分 附表</w:t>
      </w:r>
      <w:bookmarkEnd w:id="47"/>
      <w:bookmarkEnd w:id="49"/>
      <w:bookmarkStart w:id="50" w:name="_Toc15396619"/>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bookmarkEnd w:id="50"/>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bookmarkStart w:id="51" w:name="_Toc15396620"/>
      <w:r>
        <w:rPr>
          <w:rFonts w:hint="default" w:ascii="Times New Roman" w:hAnsi="Times New Roman" w:eastAsia="仿宋_GB2312" w:cs="Times New Roman"/>
          <w:sz w:val="32"/>
          <w:szCs w:val="32"/>
        </w:rPr>
        <w:t>二、收入决算表</w:t>
      </w:r>
      <w:bookmarkEnd w:id="51"/>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bookmarkStart w:id="52" w:name="_Toc15396621"/>
      <w:r>
        <w:rPr>
          <w:rFonts w:hint="default" w:ascii="Times New Roman" w:hAnsi="Times New Roman" w:eastAsia="仿宋_GB2312" w:cs="Times New Roman"/>
          <w:sz w:val="32"/>
          <w:szCs w:val="32"/>
        </w:rPr>
        <w:t>三、支出决算表</w:t>
      </w:r>
      <w:bookmarkEnd w:id="52"/>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bookmarkStart w:id="53" w:name="_Toc15396622"/>
      <w:r>
        <w:rPr>
          <w:rFonts w:hint="default" w:ascii="Times New Roman" w:hAnsi="Times New Roman" w:eastAsia="仿宋_GB2312" w:cs="Times New Roman"/>
          <w:sz w:val="32"/>
          <w:szCs w:val="32"/>
        </w:rPr>
        <w:t>四、财政拨款收入支出决算总表</w:t>
      </w:r>
      <w:bookmarkEnd w:id="53"/>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bookmarkStart w:id="54" w:name="_Toc15396623"/>
      <w:r>
        <w:rPr>
          <w:rFonts w:hint="default" w:ascii="Times New Roman" w:hAnsi="Times New Roman" w:eastAsia="仿宋_GB2312" w:cs="Times New Roman"/>
          <w:sz w:val="32"/>
          <w:szCs w:val="32"/>
        </w:rPr>
        <w:t>五、财政拨款支出决算明细表</w:t>
      </w:r>
      <w:bookmarkEnd w:id="54"/>
      <w:bookmarkStart w:id="55" w:name="_Toc15396624"/>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bookmarkEnd w:id="55"/>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bookmarkStart w:id="56" w:name="_Toc15396625"/>
      <w:r>
        <w:rPr>
          <w:rFonts w:hint="default" w:ascii="Times New Roman" w:hAnsi="Times New Roman" w:eastAsia="仿宋_GB2312" w:cs="Times New Roman"/>
          <w:sz w:val="32"/>
          <w:szCs w:val="32"/>
        </w:rPr>
        <w:t>七、一般公共预算财政拨款支出决算明细表</w:t>
      </w:r>
      <w:bookmarkEnd w:id="56"/>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bookmarkStart w:id="57" w:name="_Toc15396626"/>
      <w:r>
        <w:rPr>
          <w:rFonts w:hint="default" w:ascii="Times New Roman" w:hAnsi="Times New Roman" w:eastAsia="仿宋_GB2312" w:cs="Times New Roman"/>
          <w:sz w:val="32"/>
          <w:szCs w:val="32"/>
        </w:rPr>
        <w:t>八、一般公共预算财政拨款基本支出决算表</w:t>
      </w:r>
      <w:bookmarkEnd w:id="57"/>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bookmarkStart w:id="58" w:name="_Toc15396627"/>
      <w:r>
        <w:rPr>
          <w:rFonts w:hint="default" w:ascii="Times New Roman" w:hAnsi="Times New Roman" w:eastAsia="仿宋_GB2312" w:cs="Times New Roman"/>
          <w:sz w:val="32"/>
          <w:szCs w:val="32"/>
        </w:rPr>
        <w:t>九、一般公共预算财政拨款项目支出决算表</w:t>
      </w:r>
      <w:bookmarkEnd w:id="58"/>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bookmarkStart w:id="59" w:name="_Toc15396628"/>
      <w:r>
        <w:rPr>
          <w:rFonts w:hint="default" w:ascii="Times New Roman" w:hAnsi="Times New Roman" w:eastAsia="仿宋_GB2312" w:cs="Times New Roman"/>
          <w:sz w:val="32"/>
          <w:szCs w:val="32"/>
        </w:rPr>
        <w:t>十、</w:t>
      </w:r>
      <w:bookmarkEnd w:id="59"/>
      <w:r>
        <w:rPr>
          <w:rFonts w:hint="default" w:ascii="Times New Roman" w:hAnsi="Times New Roman" w:eastAsia="仿宋_GB2312" w:cs="Times New Roman"/>
          <w:sz w:val="32"/>
          <w:szCs w:val="32"/>
        </w:rPr>
        <w:t>政府性基金预算财政拨款收入支出决算表</w:t>
      </w:r>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bookmarkStart w:id="60" w:name="_Toc15396629"/>
      <w:r>
        <w:rPr>
          <w:rFonts w:hint="default" w:ascii="Times New Roman" w:hAnsi="Times New Roman" w:eastAsia="仿宋_GB2312" w:cs="Times New Roman"/>
          <w:sz w:val="32"/>
          <w:szCs w:val="32"/>
        </w:rPr>
        <w:t>十一、</w:t>
      </w:r>
      <w:bookmarkEnd w:id="60"/>
      <w:r>
        <w:rPr>
          <w:rFonts w:hint="default" w:ascii="Times New Roman" w:hAnsi="Times New Roman" w:eastAsia="仿宋_GB2312" w:cs="Times New Roman"/>
          <w:sz w:val="32"/>
          <w:szCs w:val="32"/>
        </w:rPr>
        <w:t>国有资本经营预算财政拨款收入支出决算表</w:t>
      </w:r>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bookmarkStart w:id="61" w:name="_Toc15396630"/>
      <w:r>
        <w:rPr>
          <w:rFonts w:hint="default" w:ascii="Times New Roman" w:hAnsi="Times New Roman" w:eastAsia="仿宋_GB2312" w:cs="Times New Roman"/>
          <w:sz w:val="32"/>
          <w:szCs w:val="32"/>
        </w:rPr>
        <w:t>十二、</w:t>
      </w:r>
      <w:bookmarkEnd w:id="61"/>
      <w:r>
        <w:rPr>
          <w:rFonts w:hint="default" w:ascii="Times New Roman" w:hAnsi="Times New Roman" w:eastAsia="仿宋_GB2312" w:cs="Times New Roman"/>
          <w:sz w:val="32"/>
          <w:szCs w:val="32"/>
        </w:rPr>
        <w:t>国有资本经营预算财政拨款支出决算表</w:t>
      </w:r>
    </w:p>
    <w:p>
      <w:pPr>
        <w:pStyle w:val="15"/>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rPr>
      </w:pPr>
      <w:bookmarkStart w:id="62" w:name="_Toc15396631"/>
      <w:r>
        <w:rPr>
          <w:rFonts w:hint="default" w:ascii="Times New Roman" w:hAnsi="Times New Roman" w:eastAsia="仿宋_GB2312" w:cs="Times New Roman"/>
          <w:sz w:val="32"/>
          <w:szCs w:val="32"/>
        </w:rPr>
        <w:t>十三、</w:t>
      </w:r>
      <w:bookmarkEnd w:id="62"/>
      <w:r>
        <w:rPr>
          <w:rFonts w:hint="default" w:ascii="Times New Roman" w:hAnsi="Times New Roman" w:eastAsia="仿宋_GB2312" w:cs="Times New Roman"/>
          <w:sz w:val="32"/>
          <w:szCs w:val="32"/>
        </w:rPr>
        <w:t>财政拨款“三公”经费支出决算表</w:t>
      </w:r>
    </w:p>
    <w:p>
      <w:pPr>
        <w:pageBreakBefore w:val="0"/>
        <w:kinsoku/>
        <w:wordWrap/>
        <w:overflowPunct/>
        <w:topLinePunct w:val="0"/>
        <w:autoSpaceDE/>
        <w:autoSpaceDN/>
        <w:bidi w:val="0"/>
        <w:jc w:val="left"/>
        <w:textAlignment w:val="auto"/>
        <w:rPr>
          <w:rFonts w:hint="default" w:ascii="Times New Roman" w:hAnsi="Times New Roman" w:cs="Times New Roman"/>
        </w:rPr>
      </w:pPr>
    </w:p>
    <w:sectPr>
      <w:footerReference r:id="rId11" w:type="first"/>
      <w:footerReference r:id="rId10"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0" o:spid="_x0000_s2050" o:spt="202" type="#_x0000_t202" style="position:absolute;left:0pt;margin-left:402.7pt;margin-top:0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2051" o:spid="_x0000_s205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p>
            </w:txbxContent>
          </v:textbox>
        </v:shape>
      </w:pic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2" o:spid="_x0000_s2052"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2053" o:spid="_x0000_s2053"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4" o:spid="_x0000_s2054" o:spt="202" type="#_x0000_t202" style="position:absolute;left:0pt;margin-top:0pt;height:144pt;width:144pt;mso-position-horizontal:right;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- 1 -</w:t>
                </w:r>
                <w:r>
                  <w:rPr>
                    <w:rFonts w:hint="eastAsia" w:asciiTheme="minorEastAsia" w:hAnsiTheme="minorEastAsia" w:eastAsiaTheme="minorEastAsia" w:cstheme="minorEastAsia"/>
                    <w:sz w:val="21"/>
                    <w:szCs w:val="21"/>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6674"/>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33F84"/>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5E61"/>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3238"/>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5EE1"/>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A7C58"/>
    <w:rsid w:val="012A5EC2"/>
    <w:rsid w:val="015975B8"/>
    <w:rsid w:val="020C23AE"/>
    <w:rsid w:val="022A5A70"/>
    <w:rsid w:val="02917606"/>
    <w:rsid w:val="02FEBE30"/>
    <w:rsid w:val="03073867"/>
    <w:rsid w:val="03606DA3"/>
    <w:rsid w:val="036C6223"/>
    <w:rsid w:val="03C74B7A"/>
    <w:rsid w:val="04425F26"/>
    <w:rsid w:val="04916428"/>
    <w:rsid w:val="04916F1E"/>
    <w:rsid w:val="04B55261"/>
    <w:rsid w:val="06152096"/>
    <w:rsid w:val="061E35DE"/>
    <w:rsid w:val="064A073F"/>
    <w:rsid w:val="066E0107"/>
    <w:rsid w:val="071977A6"/>
    <w:rsid w:val="07996F6E"/>
    <w:rsid w:val="07A576DC"/>
    <w:rsid w:val="07DFD8BA"/>
    <w:rsid w:val="08353B0A"/>
    <w:rsid w:val="083A2289"/>
    <w:rsid w:val="08751590"/>
    <w:rsid w:val="08B9721C"/>
    <w:rsid w:val="09867E8F"/>
    <w:rsid w:val="09934D03"/>
    <w:rsid w:val="0A2032A3"/>
    <w:rsid w:val="0A676742"/>
    <w:rsid w:val="0AB441BA"/>
    <w:rsid w:val="0B2406D3"/>
    <w:rsid w:val="0B471D91"/>
    <w:rsid w:val="0B873171"/>
    <w:rsid w:val="0C080D88"/>
    <w:rsid w:val="0C154EC9"/>
    <w:rsid w:val="0C8C1019"/>
    <w:rsid w:val="0CA8290A"/>
    <w:rsid w:val="0CE20E94"/>
    <w:rsid w:val="0D35B1ED"/>
    <w:rsid w:val="0DC63DFB"/>
    <w:rsid w:val="0E0F16EF"/>
    <w:rsid w:val="0E254B6B"/>
    <w:rsid w:val="0F98263C"/>
    <w:rsid w:val="0FD81DE6"/>
    <w:rsid w:val="101860EC"/>
    <w:rsid w:val="101F47CC"/>
    <w:rsid w:val="104A457F"/>
    <w:rsid w:val="10C055FF"/>
    <w:rsid w:val="10D94200"/>
    <w:rsid w:val="11694EBD"/>
    <w:rsid w:val="11772AA4"/>
    <w:rsid w:val="118107EC"/>
    <w:rsid w:val="11BC54C3"/>
    <w:rsid w:val="12540F9B"/>
    <w:rsid w:val="12A63126"/>
    <w:rsid w:val="12DE08F1"/>
    <w:rsid w:val="12E24EE2"/>
    <w:rsid w:val="12F86D7C"/>
    <w:rsid w:val="139A259C"/>
    <w:rsid w:val="13D50BC4"/>
    <w:rsid w:val="13DD6935"/>
    <w:rsid w:val="142C4DEF"/>
    <w:rsid w:val="14B17F78"/>
    <w:rsid w:val="15655E04"/>
    <w:rsid w:val="15C06617"/>
    <w:rsid w:val="165E0673"/>
    <w:rsid w:val="16A333B9"/>
    <w:rsid w:val="16B831D5"/>
    <w:rsid w:val="16BB723D"/>
    <w:rsid w:val="173B7298"/>
    <w:rsid w:val="1773537E"/>
    <w:rsid w:val="17A96619"/>
    <w:rsid w:val="17C67F3D"/>
    <w:rsid w:val="17E50567"/>
    <w:rsid w:val="182C6891"/>
    <w:rsid w:val="186504BB"/>
    <w:rsid w:val="19A445FC"/>
    <w:rsid w:val="19DA356C"/>
    <w:rsid w:val="19E00F0A"/>
    <w:rsid w:val="19F347E2"/>
    <w:rsid w:val="1A820C1D"/>
    <w:rsid w:val="1AEB11E2"/>
    <w:rsid w:val="1B2127C0"/>
    <w:rsid w:val="1B737ED3"/>
    <w:rsid w:val="1B876EA1"/>
    <w:rsid w:val="1BE8440E"/>
    <w:rsid w:val="1BFF6117"/>
    <w:rsid w:val="1C325A26"/>
    <w:rsid w:val="1C3E5046"/>
    <w:rsid w:val="1C6B1829"/>
    <w:rsid w:val="1CCD2845"/>
    <w:rsid w:val="1D0211FE"/>
    <w:rsid w:val="1D155CEE"/>
    <w:rsid w:val="1D1638FE"/>
    <w:rsid w:val="1DB91F75"/>
    <w:rsid w:val="1E312DEB"/>
    <w:rsid w:val="1E740ACF"/>
    <w:rsid w:val="1EEA1800"/>
    <w:rsid w:val="1FF35744"/>
    <w:rsid w:val="1FF6BC77"/>
    <w:rsid w:val="2036683E"/>
    <w:rsid w:val="206D5B3D"/>
    <w:rsid w:val="20874168"/>
    <w:rsid w:val="20AB72E7"/>
    <w:rsid w:val="20C373F5"/>
    <w:rsid w:val="20D90448"/>
    <w:rsid w:val="210B59BE"/>
    <w:rsid w:val="21127605"/>
    <w:rsid w:val="213E31D9"/>
    <w:rsid w:val="214F25DD"/>
    <w:rsid w:val="2186353C"/>
    <w:rsid w:val="22F651BF"/>
    <w:rsid w:val="234F7A35"/>
    <w:rsid w:val="2367570F"/>
    <w:rsid w:val="23860B96"/>
    <w:rsid w:val="2399301F"/>
    <w:rsid w:val="24025168"/>
    <w:rsid w:val="240371BF"/>
    <w:rsid w:val="244F3473"/>
    <w:rsid w:val="246350B8"/>
    <w:rsid w:val="24A979DA"/>
    <w:rsid w:val="24C07014"/>
    <w:rsid w:val="24C97D99"/>
    <w:rsid w:val="2524525C"/>
    <w:rsid w:val="25397367"/>
    <w:rsid w:val="254676E8"/>
    <w:rsid w:val="256A341C"/>
    <w:rsid w:val="25A718F0"/>
    <w:rsid w:val="25BB59F6"/>
    <w:rsid w:val="26070FCF"/>
    <w:rsid w:val="260F557C"/>
    <w:rsid w:val="264D4536"/>
    <w:rsid w:val="26970054"/>
    <w:rsid w:val="274A523D"/>
    <w:rsid w:val="2764205A"/>
    <w:rsid w:val="277B40E6"/>
    <w:rsid w:val="27963E0A"/>
    <w:rsid w:val="27BF134D"/>
    <w:rsid w:val="27D4456D"/>
    <w:rsid w:val="27E61D11"/>
    <w:rsid w:val="281408E2"/>
    <w:rsid w:val="28441099"/>
    <w:rsid w:val="28634922"/>
    <w:rsid w:val="28836789"/>
    <w:rsid w:val="28882B58"/>
    <w:rsid w:val="28955A77"/>
    <w:rsid w:val="28A65B12"/>
    <w:rsid w:val="28AE2213"/>
    <w:rsid w:val="28EB79E8"/>
    <w:rsid w:val="29FD04D3"/>
    <w:rsid w:val="2A1968D3"/>
    <w:rsid w:val="2A1D34A5"/>
    <w:rsid w:val="2ACD5691"/>
    <w:rsid w:val="2BFF7BC6"/>
    <w:rsid w:val="2C8A61B5"/>
    <w:rsid w:val="2CD26D9D"/>
    <w:rsid w:val="2D240532"/>
    <w:rsid w:val="2D3872A6"/>
    <w:rsid w:val="2DF04E50"/>
    <w:rsid w:val="2E586DFA"/>
    <w:rsid w:val="2E8C0AD3"/>
    <w:rsid w:val="2F040D46"/>
    <w:rsid w:val="2F066294"/>
    <w:rsid w:val="2F6B035B"/>
    <w:rsid w:val="2F950179"/>
    <w:rsid w:val="2FAE5751"/>
    <w:rsid w:val="2FB1A395"/>
    <w:rsid w:val="2FD9A7D8"/>
    <w:rsid w:val="2FDA448B"/>
    <w:rsid w:val="2FDBF714"/>
    <w:rsid w:val="300F333A"/>
    <w:rsid w:val="308C78BA"/>
    <w:rsid w:val="30AB6865"/>
    <w:rsid w:val="30F45BD9"/>
    <w:rsid w:val="30FE4E04"/>
    <w:rsid w:val="310D2757"/>
    <w:rsid w:val="316C08C6"/>
    <w:rsid w:val="319F7F4E"/>
    <w:rsid w:val="32474DFB"/>
    <w:rsid w:val="32792F32"/>
    <w:rsid w:val="32904197"/>
    <w:rsid w:val="32BD1EF1"/>
    <w:rsid w:val="3304709D"/>
    <w:rsid w:val="33280F92"/>
    <w:rsid w:val="335E1B1F"/>
    <w:rsid w:val="33A773CB"/>
    <w:rsid w:val="33BA5DD5"/>
    <w:rsid w:val="349D6851"/>
    <w:rsid w:val="34D3076D"/>
    <w:rsid w:val="34F73507"/>
    <w:rsid w:val="366C3534"/>
    <w:rsid w:val="36AA5135"/>
    <w:rsid w:val="36BE0DA7"/>
    <w:rsid w:val="36BF3F9D"/>
    <w:rsid w:val="373605A8"/>
    <w:rsid w:val="376B6AA6"/>
    <w:rsid w:val="376D39B2"/>
    <w:rsid w:val="37E16F03"/>
    <w:rsid w:val="37F53A3B"/>
    <w:rsid w:val="389B6C89"/>
    <w:rsid w:val="38D469F0"/>
    <w:rsid w:val="38D8764E"/>
    <w:rsid w:val="39627CCD"/>
    <w:rsid w:val="397BAF1F"/>
    <w:rsid w:val="3A0F5DA6"/>
    <w:rsid w:val="3AB79AF3"/>
    <w:rsid w:val="3AC01A56"/>
    <w:rsid w:val="3AE834C0"/>
    <w:rsid w:val="3B163AE9"/>
    <w:rsid w:val="3B7EF35A"/>
    <w:rsid w:val="3B9FDB6C"/>
    <w:rsid w:val="3BB33564"/>
    <w:rsid w:val="3BF5BC2F"/>
    <w:rsid w:val="3C3942E9"/>
    <w:rsid w:val="3C4810EA"/>
    <w:rsid w:val="3C711A95"/>
    <w:rsid w:val="3CEBA265"/>
    <w:rsid w:val="3CEF278E"/>
    <w:rsid w:val="3CEF72D9"/>
    <w:rsid w:val="3D98207C"/>
    <w:rsid w:val="3DEE7CF3"/>
    <w:rsid w:val="3DF51BE3"/>
    <w:rsid w:val="3E235D6A"/>
    <w:rsid w:val="3E3F72E4"/>
    <w:rsid w:val="3E740A63"/>
    <w:rsid w:val="3E78745D"/>
    <w:rsid w:val="3E972882"/>
    <w:rsid w:val="3EA10063"/>
    <w:rsid w:val="3EDF637C"/>
    <w:rsid w:val="3EE17838"/>
    <w:rsid w:val="3F2823C7"/>
    <w:rsid w:val="3F55381A"/>
    <w:rsid w:val="3F7F7599"/>
    <w:rsid w:val="3FF4CAE0"/>
    <w:rsid w:val="3FF7B227"/>
    <w:rsid w:val="407459E3"/>
    <w:rsid w:val="407B1B95"/>
    <w:rsid w:val="416A2C79"/>
    <w:rsid w:val="419B00E8"/>
    <w:rsid w:val="427307E3"/>
    <w:rsid w:val="435F32F3"/>
    <w:rsid w:val="44301D70"/>
    <w:rsid w:val="447F19A4"/>
    <w:rsid w:val="44882E93"/>
    <w:rsid w:val="44E268DA"/>
    <w:rsid w:val="45051E48"/>
    <w:rsid w:val="450D13D7"/>
    <w:rsid w:val="45506656"/>
    <w:rsid w:val="45CC2A39"/>
    <w:rsid w:val="45F16845"/>
    <w:rsid w:val="46066ED5"/>
    <w:rsid w:val="466C4A66"/>
    <w:rsid w:val="47EC214D"/>
    <w:rsid w:val="486A6C7A"/>
    <w:rsid w:val="48A70CBF"/>
    <w:rsid w:val="48CF4015"/>
    <w:rsid w:val="48E46D1F"/>
    <w:rsid w:val="49152A49"/>
    <w:rsid w:val="49361BF7"/>
    <w:rsid w:val="495C0073"/>
    <w:rsid w:val="49B83F6B"/>
    <w:rsid w:val="4A627F82"/>
    <w:rsid w:val="4AD27D76"/>
    <w:rsid w:val="4B0E749A"/>
    <w:rsid w:val="4B2477C4"/>
    <w:rsid w:val="4B4F25DA"/>
    <w:rsid w:val="4B6148F2"/>
    <w:rsid w:val="4BCC2A00"/>
    <w:rsid w:val="4BE068DB"/>
    <w:rsid w:val="4C1D31CE"/>
    <w:rsid w:val="4D577224"/>
    <w:rsid w:val="4D954FBF"/>
    <w:rsid w:val="4DA612D6"/>
    <w:rsid w:val="4DAF316A"/>
    <w:rsid w:val="4DBF1CEB"/>
    <w:rsid w:val="4DF0007C"/>
    <w:rsid w:val="4E634B31"/>
    <w:rsid w:val="4E93305D"/>
    <w:rsid w:val="4EAB630A"/>
    <w:rsid w:val="4ECE2238"/>
    <w:rsid w:val="4EEE28AB"/>
    <w:rsid w:val="4F754F68"/>
    <w:rsid w:val="4F833267"/>
    <w:rsid w:val="4FE9BD67"/>
    <w:rsid w:val="4FF13882"/>
    <w:rsid w:val="4FFB052F"/>
    <w:rsid w:val="500A5C45"/>
    <w:rsid w:val="50861522"/>
    <w:rsid w:val="51251756"/>
    <w:rsid w:val="512B4988"/>
    <w:rsid w:val="51945424"/>
    <w:rsid w:val="51B25AAC"/>
    <w:rsid w:val="521A7CF2"/>
    <w:rsid w:val="537E6D0A"/>
    <w:rsid w:val="53D168EB"/>
    <w:rsid w:val="53F74C96"/>
    <w:rsid w:val="54912487"/>
    <w:rsid w:val="55170BA8"/>
    <w:rsid w:val="55245864"/>
    <w:rsid w:val="553218C9"/>
    <w:rsid w:val="55BE638E"/>
    <w:rsid w:val="55D876E9"/>
    <w:rsid w:val="56652934"/>
    <w:rsid w:val="567E1AA5"/>
    <w:rsid w:val="56B80021"/>
    <w:rsid w:val="56E47B74"/>
    <w:rsid w:val="57175D52"/>
    <w:rsid w:val="57214F4E"/>
    <w:rsid w:val="57BD3DD4"/>
    <w:rsid w:val="57C816E4"/>
    <w:rsid w:val="57EC675E"/>
    <w:rsid w:val="5978632B"/>
    <w:rsid w:val="597B58EB"/>
    <w:rsid w:val="59C973C6"/>
    <w:rsid w:val="59D431FE"/>
    <w:rsid w:val="5A0C64B5"/>
    <w:rsid w:val="5A5E4135"/>
    <w:rsid w:val="5AED7722"/>
    <w:rsid w:val="5AF92295"/>
    <w:rsid w:val="5B250254"/>
    <w:rsid w:val="5B97448F"/>
    <w:rsid w:val="5BDD79E6"/>
    <w:rsid w:val="5BF561CA"/>
    <w:rsid w:val="5BFF5DFC"/>
    <w:rsid w:val="5C7473BA"/>
    <w:rsid w:val="5C8F4B29"/>
    <w:rsid w:val="5CD71FC4"/>
    <w:rsid w:val="5D1F11B5"/>
    <w:rsid w:val="5D4E765B"/>
    <w:rsid w:val="5D695134"/>
    <w:rsid w:val="5D851ED9"/>
    <w:rsid w:val="5DAE1B18"/>
    <w:rsid w:val="5DE7D9E5"/>
    <w:rsid w:val="5E1A7F20"/>
    <w:rsid w:val="5E387BA7"/>
    <w:rsid w:val="5ECEC941"/>
    <w:rsid w:val="5EFF71F2"/>
    <w:rsid w:val="5F313A53"/>
    <w:rsid w:val="5F48704B"/>
    <w:rsid w:val="5FBF9FF3"/>
    <w:rsid w:val="5FC12DE3"/>
    <w:rsid w:val="5FCD4E2C"/>
    <w:rsid w:val="5FEF394A"/>
    <w:rsid w:val="5FF67715"/>
    <w:rsid w:val="60142374"/>
    <w:rsid w:val="612F31BA"/>
    <w:rsid w:val="613F4DE9"/>
    <w:rsid w:val="618A14B4"/>
    <w:rsid w:val="628A45DE"/>
    <w:rsid w:val="62BF3928"/>
    <w:rsid w:val="63B3701E"/>
    <w:rsid w:val="64560DED"/>
    <w:rsid w:val="647F5392"/>
    <w:rsid w:val="64C84D1C"/>
    <w:rsid w:val="64D64278"/>
    <w:rsid w:val="64DE2BBC"/>
    <w:rsid w:val="65AE6757"/>
    <w:rsid w:val="65E66580"/>
    <w:rsid w:val="664B1D71"/>
    <w:rsid w:val="664B4E8E"/>
    <w:rsid w:val="667F2BB7"/>
    <w:rsid w:val="67277B67"/>
    <w:rsid w:val="6791322F"/>
    <w:rsid w:val="67AA3209"/>
    <w:rsid w:val="68005F69"/>
    <w:rsid w:val="68A25FA0"/>
    <w:rsid w:val="68AA5209"/>
    <w:rsid w:val="68C377E0"/>
    <w:rsid w:val="698D0931"/>
    <w:rsid w:val="69980AB4"/>
    <w:rsid w:val="69C77612"/>
    <w:rsid w:val="6A042666"/>
    <w:rsid w:val="6A223C90"/>
    <w:rsid w:val="6A3F53A8"/>
    <w:rsid w:val="6A4A0EF0"/>
    <w:rsid w:val="6A5E0E3F"/>
    <w:rsid w:val="6A7FE5F3"/>
    <w:rsid w:val="6B053271"/>
    <w:rsid w:val="6B33228B"/>
    <w:rsid w:val="6BCC465B"/>
    <w:rsid w:val="6BDD78B3"/>
    <w:rsid w:val="6C4A05C8"/>
    <w:rsid w:val="6C7A6E78"/>
    <w:rsid w:val="6C8742B8"/>
    <w:rsid w:val="6C986575"/>
    <w:rsid w:val="6DBF5E93"/>
    <w:rsid w:val="6DFF077E"/>
    <w:rsid w:val="6E103313"/>
    <w:rsid w:val="6E5F356A"/>
    <w:rsid w:val="6E714EF0"/>
    <w:rsid w:val="6E7E3605"/>
    <w:rsid w:val="6E7FDCC7"/>
    <w:rsid w:val="6EB54E3A"/>
    <w:rsid w:val="6ED6A62E"/>
    <w:rsid w:val="6EE00B15"/>
    <w:rsid w:val="6F0064E6"/>
    <w:rsid w:val="6F6FB3EB"/>
    <w:rsid w:val="6F8731EA"/>
    <w:rsid w:val="6FCB7ADB"/>
    <w:rsid w:val="6FCE6052"/>
    <w:rsid w:val="6FD57C00"/>
    <w:rsid w:val="6FD9324E"/>
    <w:rsid w:val="6FEFFFD8"/>
    <w:rsid w:val="6FF5CC65"/>
    <w:rsid w:val="6FFB47EC"/>
    <w:rsid w:val="6FFF034A"/>
    <w:rsid w:val="70484440"/>
    <w:rsid w:val="70703249"/>
    <w:rsid w:val="707F543D"/>
    <w:rsid w:val="712A28F1"/>
    <w:rsid w:val="715C0E4B"/>
    <w:rsid w:val="71992E7C"/>
    <w:rsid w:val="71D555A4"/>
    <w:rsid w:val="720A0B11"/>
    <w:rsid w:val="72233669"/>
    <w:rsid w:val="72734D90"/>
    <w:rsid w:val="727C41FC"/>
    <w:rsid w:val="73160E6D"/>
    <w:rsid w:val="7332FE48"/>
    <w:rsid w:val="73670435"/>
    <w:rsid w:val="73AB61DA"/>
    <w:rsid w:val="73AD73D5"/>
    <w:rsid w:val="73B6EB34"/>
    <w:rsid w:val="73FA497D"/>
    <w:rsid w:val="742D5504"/>
    <w:rsid w:val="743F5630"/>
    <w:rsid w:val="744731E5"/>
    <w:rsid w:val="74B341E7"/>
    <w:rsid w:val="74BBD01D"/>
    <w:rsid w:val="74ED5379"/>
    <w:rsid w:val="75160400"/>
    <w:rsid w:val="75873FAA"/>
    <w:rsid w:val="75DEEEC2"/>
    <w:rsid w:val="75E32345"/>
    <w:rsid w:val="762C54C6"/>
    <w:rsid w:val="7634713A"/>
    <w:rsid w:val="76D90C70"/>
    <w:rsid w:val="76E3355F"/>
    <w:rsid w:val="76E44CED"/>
    <w:rsid w:val="76FF5125"/>
    <w:rsid w:val="776F6FFA"/>
    <w:rsid w:val="778769C8"/>
    <w:rsid w:val="77A75DCA"/>
    <w:rsid w:val="77DC22F5"/>
    <w:rsid w:val="783E271A"/>
    <w:rsid w:val="78616DE9"/>
    <w:rsid w:val="78DF7F46"/>
    <w:rsid w:val="78E875D7"/>
    <w:rsid w:val="79086DAD"/>
    <w:rsid w:val="790F2609"/>
    <w:rsid w:val="79994F21"/>
    <w:rsid w:val="79C93527"/>
    <w:rsid w:val="79D7FD79"/>
    <w:rsid w:val="79EE5BA4"/>
    <w:rsid w:val="7A7E5313"/>
    <w:rsid w:val="7A894339"/>
    <w:rsid w:val="7AB00FCC"/>
    <w:rsid w:val="7AD284E8"/>
    <w:rsid w:val="7AF06A1F"/>
    <w:rsid w:val="7AFF7572"/>
    <w:rsid w:val="7B6C7DFB"/>
    <w:rsid w:val="7B916066"/>
    <w:rsid w:val="7B9768C6"/>
    <w:rsid w:val="7BBF1DA6"/>
    <w:rsid w:val="7BBFBED0"/>
    <w:rsid w:val="7BC3E394"/>
    <w:rsid w:val="7C1F3737"/>
    <w:rsid w:val="7C315D4C"/>
    <w:rsid w:val="7C6B3ED9"/>
    <w:rsid w:val="7CA647CD"/>
    <w:rsid w:val="7CBFC87B"/>
    <w:rsid w:val="7CFE0F48"/>
    <w:rsid w:val="7D272ABC"/>
    <w:rsid w:val="7D3508B6"/>
    <w:rsid w:val="7D3A66BB"/>
    <w:rsid w:val="7D7EC23E"/>
    <w:rsid w:val="7D962A63"/>
    <w:rsid w:val="7DB21B97"/>
    <w:rsid w:val="7DF13096"/>
    <w:rsid w:val="7E5A6A55"/>
    <w:rsid w:val="7E6D156A"/>
    <w:rsid w:val="7E8ADEBF"/>
    <w:rsid w:val="7EA7177F"/>
    <w:rsid w:val="7EA778D4"/>
    <w:rsid w:val="7EAF602B"/>
    <w:rsid w:val="7EC840A3"/>
    <w:rsid w:val="7EEF11D3"/>
    <w:rsid w:val="7EEF312E"/>
    <w:rsid w:val="7EFE4840"/>
    <w:rsid w:val="7F0971A6"/>
    <w:rsid w:val="7F1D62E7"/>
    <w:rsid w:val="7F3662ED"/>
    <w:rsid w:val="7F3F679B"/>
    <w:rsid w:val="7F4FC4EF"/>
    <w:rsid w:val="7F5E4D54"/>
    <w:rsid w:val="7F6E0135"/>
    <w:rsid w:val="7F79F205"/>
    <w:rsid w:val="7FA30C79"/>
    <w:rsid w:val="7FA79C44"/>
    <w:rsid w:val="7FAF8ABF"/>
    <w:rsid w:val="7FB7269E"/>
    <w:rsid w:val="7FC96657"/>
    <w:rsid w:val="7FCD173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4&#24180;&#20915;&#31639;&#20844;&#24320;\&#22270;&#34920;&#65288;&#26412;&#3242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'[图表（本级）.xls]市本级'!$C$57:$D$57</c:f>
              <c:strCache>
                <c:ptCount val="2"/>
                <c:pt idx="0">
                  <c:v>2023年</c:v>
                </c:pt>
                <c:pt idx="1">
                  <c:v>2024年</c:v>
                </c:pt>
              </c:strCache>
            </c:strRef>
          </c:cat>
          <c:val>
            <c:numRef>
              <c:f>'[图表（本级）.xls]市本级'!$C$58:$D$58</c:f>
              <c:numCache>
                <c:formatCode>General</c:formatCode>
                <c:ptCount val="2"/>
                <c:pt idx="0">
                  <c:v>4594.75</c:v>
                </c:pt>
                <c:pt idx="1">
                  <c:v>5704.05</c:v>
                </c:pt>
              </c:numCache>
            </c:numRef>
          </c:val>
        </c:ser>
        <c:dLbls>
          <c:showLegendKey val="0"/>
          <c:showVal val="0"/>
          <c:showCatName val="0"/>
          <c:showSerName val="0"/>
          <c:showPercent val="0"/>
          <c:showBubbleSize val="0"/>
        </c:dLbls>
        <c:gapWidth val="150"/>
        <c:overlap val="0"/>
        <c:axId val="333935600"/>
        <c:axId val="308286084"/>
      </c:barChart>
      <c:catAx>
        <c:axId val="3339356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8286084"/>
        <c:crosses val="autoZero"/>
        <c:auto val="1"/>
        <c:lblAlgn val="ctr"/>
        <c:lblOffset val="100"/>
        <c:noMultiLvlLbl val="0"/>
      </c:catAx>
      <c:valAx>
        <c:axId val="3082860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3935600"/>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rgbClr val="00B0F0"/>
              </a:solidFill>
            </c:spPr>
          </c:dPt>
          <c:dPt>
            <c:idx val="1"/>
            <c:bubble3D val="0"/>
            <c:explosion val="0"/>
          </c:dPt>
          <c:dPt>
            <c:idx val="2"/>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'[图表（本级）.xls]市本级'!$C$20:$C$22</c:f>
              <c:strCache>
                <c:ptCount val="3"/>
                <c:pt idx="0">
                  <c:v>一般公共预算财政拨款</c:v>
                </c:pt>
                <c:pt idx="1">
                  <c:v>政府性基金财政拨款</c:v>
                </c:pt>
                <c:pt idx="2">
                  <c:v>其他收入</c:v>
                </c:pt>
              </c:strCache>
            </c:strRef>
          </c:cat>
          <c:val>
            <c:numRef>
              <c:f>'[图表（本级）.xls]市本级'!$D$20:$D$22</c:f>
              <c:numCache>
                <c:formatCode>General</c:formatCode>
                <c:ptCount val="3"/>
                <c:pt idx="0">
                  <c:v>4869.28</c:v>
                </c:pt>
                <c:pt idx="1">
                  <c:v>834.77</c:v>
                </c:pt>
                <c:pt idx="2">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7070866141732"/>
          <c:y val="0.503590696996209"/>
          <c:w val="0.24"/>
          <c:h val="0.448"/>
        </c:manualLayout>
      </c:layout>
      <c:overlay val="0"/>
      <c:spPr>
        <a:ln>
          <a:solidFill>
            <a:schemeClr val="accent1"/>
          </a:solid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explosion val="0"/>
          <c:dPt>
            <c:idx val="0"/>
            <c:bubble3D val="0"/>
            <c:explosion val="0"/>
          </c:dPt>
          <c:dPt>
            <c:idx val="1"/>
            <c:bubble3D val="0"/>
            <c:explosion val="0"/>
            <c:spPr>
              <a:solidFill>
                <a:srgbClr val="00B0F0"/>
              </a:solidFill>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'[图表（本级）.xls]市本级'!$C$40:$C$41</c:f>
              <c:strCache>
                <c:ptCount val="2"/>
                <c:pt idx="0">
                  <c:v>基本支出</c:v>
                </c:pt>
                <c:pt idx="1">
                  <c:v>项目支出</c:v>
                </c:pt>
              </c:strCache>
            </c:strRef>
          </c:cat>
          <c:val>
            <c:numRef>
              <c:f>'[图表（本级）.xls]市本级'!$D$40:$D$41</c:f>
              <c:numCache>
                <c:formatCode>General</c:formatCode>
                <c:ptCount val="2"/>
                <c:pt idx="0">
                  <c:v>2233.33</c:v>
                </c:pt>
                <c:pt idx="1">
                  <c:v>3470.73</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'[图表（本级）.xls]市本级'!$C$57:$D$57</c:f>
              <c:strCache>
                <c:ptCount val="2"/>
                <c:pt idx="0">
                  <c:v>2023年</c:v>
                </c:pt>
                <c:pt idx="1">
                  <c:v>2024年</c:v>
                </c:pt>
              </c:strCache>
            </c:strRef>
          </c:cat>
          <c:val>
            <c:numRef>
              <c:f>'[图表（本级）.xls]市本级'!$C$58:$D$58</c:f>
              <c:numCache>
                <c:formatCode>General</c:formatCode>
                <c:ptCount val="2"/>
                <c:pt idx="0">
                  <c:v>4594.75</c:v>
                </c:pt>
                <c:pt idx="1">
                  <c:v>5704.05</c:v>
                </c:pt>
              </c:numCache>
            </c:numRef>
          </c:val>
        </c:ser>
        <c:dLbls>
          <c:showLegendKey val="0"/>
          <c:showVal val="0"/>
          <c:showCatName val="0"/>
          <c:showSerName val="0"/>
          <c:showPercent val="0"/>
          <c:showBubbleSize val="0"/>
        </c:dLbls>
        <c:gapWidth val="150"/>
        <c:overlap val="0"/>
        <c:axId val="333935600"/>
        <c:axId val="308286084"/>
      </c:barChart>
      <c:catAx>
        <c:axId val="3339356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8286084"/>
        <c:crosses val="autoZero"/>
        <c:auto val="1"/>
        <c:lblAlgn val="ctr"/>
        <c:lblOffset val="100"/>
        <c:noMultiLvlLbl val="0"/>
      </c:catAx>
      <c:valAx>
        <c:axId val="3082860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3935600"/>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'[图表（本级）.xls]市本级'!$C$75:$D$75</c:f>
              <c:strCache>
                <c:ptCount val="2"/>
                <c:pt idx="0">
                  <c:v>2023年</c:v>
                </c:pt>
                <c:pt idx="1">
                  <c:v>2024年</c:v>
                </c:pt>
              </c:strCache>
            </c:strRef>
          </c:cat>
          <c:val>
            <c:numRef>
              <c:f>'[图表（本级）.xls]市本级'!$C$76:$D$76</c:f>
              <c:numCache>
                <c:formatCode>General</c:formatCode>
                <c:ptCount val="2"/>
                <c:pt idx="0">
                  <c:v>4158.21</c:v>
                </c:pt>
                <c:pt idx="1">
                  <c:v>4869.28</c:v>
                </c:pt>
              </c:numCache>
            </c:numRef>
          </c:val>
        </c:ser>
        <c:dLbls>
          <c:showLegendKey val="0"/>
          <c:showVal val="0"/>
          <c:showCatName val="0"/>
          <c:showSerName val="0"/>
          <c:showPercent val="0"/>
          <c:showBubbleSize val="0"/>
        </c:dLbls>
        <c:gapWidth val="150"/>
        <c:overlap val="0"/>
        <c:axId val="398506148"/>
        <c:axId val="386369179"/>
      </c:barChart>
      <c:catAx>
        <c:axId val="3985061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6369179"/>
        <c:crosses val="autoZero"/>
        <c:auto val="1"/>
        <c:lblAlgn val="ctr"/>
        <c:lblOffset val="100"/>
        <c:noMultiLvlLbl val="0"/>
      </c:catAx>
      <c:valAx>
        <c:axId val="386369179"/>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8506148"/>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0"/>
          <c:dPt>
            <c:idx val="0"/>
            <c:bubble3D val="0"/>
            <c:explosion val="0"/>
          </c:dPt>
          <c:dPt>
            <c:idx val="1"/>
            <c:bubble3D val="0"/>
            <c:explosion val="0"/>
          </c:dPt>
          <c:dPt>
            <c:idx val="2"/>
            <c:bubble3D val="0"/>
            <c:explosion val="0"/>
          </c:dPt>
          <c:dPt>
            <c:idx val="3"/>
            <c:bubble3D val="0"/>
            <c:explosion val="0"/>
            <c:spPr>
              <a:solidFill>
                <a:srgbClr val="00B0F0"/>
              </a:solidFill>
            </c:spPr>
          </c:dPt>
          <c:dPt>
            <c:idx val="4"/>
            <c:bubble3D val="0"/>
            <c:explosion val="0"/>
          </c:dPt>
          <c:dLbls>
            <c:dLbl>
              <c:idx val="0"/>
              <c:layout>
                <c:manualLayout>
                  <c:x val="0.00284292821606254"/>
                  <c:y val="-0.0468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68585643212509"/>
                  <c:y val="0.026041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36170212765957"/>
                  <c:y val="-0.006759667831137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'[图表（本级）.xls]市本级'!$B$96:$B$100</c:f>
              <c:strCache>
                <c:ptCount val="5"/>
                <c:pt idx="0">
                  <c:v>一般公共服务支出</c:v>
                </c:pt>
                <c:pt idx="1">
                  <c:v>社会保障和就业支出</c:v>
                </c:pt>
                <c:pt idx="2">
                  <c:v>卫生健康支出</c:v>
                </c:pt>
                <c:pt idx="3">
                  <c:v>节能环保支出</c:v>
                </c:pt>
                <c:pt idx="4">
                  <c:v>住房保障支出</c:v>
                </c:pt>
              </c:strCache>
            </c:strRef>
          </c:cat>
          <c:val>
            <c:numRef>
              <c:f>'[图表（本级）.xls]市本级'!$C$96:$C$100</c:f>
              <c:numCache>
                <c:formatCode>General</c:formatCode>
                <c:ptCount val="5"/>
                <c:pt idx="0">
                  <c:v>0</c:v>
                </c:pt>
                <c:pt idx="1">
                  <c:v>517.01</c:v>
                </c:pt>
                <c:pt idx="2">
                  <c:v>99.77</c:v>
                </c:pt>
                <c:pt idx="3">
                  <c:v>4114.2</c:v>
                </c:pt>
                <c:pt idx="4">
                  <c:v>138.3</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3602795919167"/>
          <c:y val="0.353128690944882"/>
          <c:w val="0.23475"/>
          <c:h val="0.651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0"/>
          <c:dPt>
            <c:idx val="0"/>
            <c:bubble3D val="0"/>
            <c:explosion val="0"/>
          </c:dPt>
          <c:dPt>
            <c:idx val="1"/>
            <c:bubble3D val="0"/>
            <c:explosion val="0"/>
            <c:spPr>
              <a:solidFill>
                <a:srgbClr val="00B0F0"/>
              </a:solidFill>
            </c:spPr>
          </c:dPt>
          <c:dPt>
            <c:idx val="2"/>
            <c:bubble3D val="0"/>
            <c:explosion val="0"/>
          </c:dPt>
          <c:dLbls>
            <c:dLbl>
              <c:idx val="2"/>
              <c:layout>
                <c:manualLayout>
                  <c:x val="0.0780487804878049"/>
                  <c:y val="-0.0056497175141242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'[图表（本级）.xls]市本级'!$B$113:$B$115</c:f>
              <c:strCache>
                <c:ptCount val="3"/>
                <c:pt idx="0">
                  <c:v>因公出国（境）费</c:v>
                </c:pt>
                <c:pt idx="1">
                  <c:v>公务用车购置及运行维护费</c:v>
                </c:pt>
                <c:pt idx="2">
                  <c:v>公务接待费</c:v>
                </c:pt>
              </c:strCache>
            </c:strRef>
          </c:cat>
          <c:val>
            <c:numRef>
              <c:f>'[图表（本级）.xls]市本级'!$C$113:$C$115</c:f>
              <c:numCache>
                <c:formatCode>General</c:formatCode>
                <c:ptCount val="3"/>
                <c:pt idx="0">
                  <c:v>0</c:v>
                </c:pt>
                <c:pt idx="1">
                  <c:v>73.24</c:v>
                </c:pt>
                <c:pt idx="2">
                  <c:v>1.09</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4648598879582"/>
          <c:y val="0.542055890072564"/>
          <c:w val="0.3255"/>
          <c:h val="0.451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1303</Words>
  <Characters>7429</Characters>
  <Lines>61</Lines>
  <Paragraphs>17</Paragraphs>
  <TotalTime>86</TotalTime>
  <ScaleCrop>false</ScaleCrop>
  <LinksUpToDate>false</LinksUpToDate>
  <CharactersWithSpaces>8715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2025-09-04T12:40:00Z</dcterms:created>
  <dc:creator>曹颖</dc:creator>
  <cp:lastModifiedBy>王顺莉</cp:lastModifiedBy>
  <cp:lastPrinted>2025-09-07T07:39:00Z</cp:lastPrinted>
  <dcterms:modified xsi:type="dcterms:W3CDTF">2025-09-11T03:40:15Z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04787F2533EB45DC91BCDE4AB213247F</vt:lpwstr>
  </property>
</Properties>
</file>