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beforeLines="0"/>
        <w:rPr>
          <w:rFonts w:hint="default" w:ascii="Times New Roman" w:hAnsi="Times New Roman" w:eastAsia="方正小标宋简体" w:cs="Times New Roman"/>
          <w:kern w:val="2"/>
          <w:sz w:val="72"/>
          <w:szCs w:val="72"/>
        </w:rPr>
      </w:pPr>
      <w:bookmarkStart w:id="0" w:name="_Toc15377425"/>
      <w:bookmarkStart w:id="1" w:name="_Toc15378441"/>
      <w:bookmarkStart w:id="2" w:name="_Toc15377193"/>
      <w:bookmarkStart w:id="3" w:name="_Toc15396597"/>
      <w:bookmarkStart w:id="4" w:name="_Toc15306267"/>
      <w:bookmarkStart w:id="5" w:name="_Toc15396475"/>
    </w:p>
    <w:p>
      <w:pPr>
        <w:pStyle w:val="8"/>
        <w:spacing w:before="93" w:beforeLines="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2024年度攀枝花市西区生态环境局</w:t>
      </w:r>
    </w:p>
    <w:p>
      <w:pPr>
        <w:pStyle w:val="8"/>
        <w:spacing w:before="93" w:beforeLines="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_GBK" w:cs="Times New Roman"/>
          <w:kern w:val="2"/>
          <w:sz w:val="44"/>
          <w:szCs w:val="44"/>
        </w:rPr>
        <w:t>单位决算公开</w:t>
      </w:r>
      <w:r>
        <w:rPr>
          <w:rFonts w:hint="default" w:ascii="Times New Roman" w:hAnsi="Times New Roman" w:eastAsia="方正小标宋_GBK" w:cs="Times New Roman"/>
          <w:kern w:val="2"/>
          <w:sz w:val="44"/>
          <w:szCs w:val="44"/>
          <w:lang w:eastAsia="zh-CN"/>
        </w:rPr>
        <w:t>文字</w:t>
      </w:r>
      <w:r>
        <w:rPr>
          <w:rFonts w:hint="default" w:ascii="Times New Roman" w:hAnsi="Times New Roman" w:eastAsia="方正小标宋_GBK" w:cs="Times New Roman"/>
          <w:kern w:val="2"/>
          <w:sz w:val="44"/>
          <w:szCs w:val="44"/>
        </w:rPr>
        <w:t>说明</w:t>
      </w:r>
    </w:p>
    <w:p>
      <w:pPr>
        <w:spacing w:line="600" w:lineRule="exact"/>
        <w:jc w:val="center"/>
        <w:outlineLvl w:val="0"/>
        <w:rPr>
          <w:rFonts w:hint="default" w:ascii="Times New Roman" w:hAnsi="Times New Roman" w:eastAsia="方正小标宋简体" w:cs="Times New Roman"/>
          <w:sz w:val="72"/>
          <w:szCs w:val="72"/>
        </w:rPr>
      </w:pPr>
    </w:p>
    <w:p>
      <w:pPr>
        <w:pStyle w:val="17"/>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bookmarkEnd w:id="0"/>
    <w:bookmarkEnd w:id="1"/>
    <w:bookmarkEnd w:id="2"/>
    <w:bookmarkEnd w:id="3"/>
    <w:bookmarkEnd w:id="4"/>
    <w:bookmarkEnd w:id="5"/>
    <w:p>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公开时间：2025年9月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rPr>
          <w:rFonts w:hint="default" w:ascii="Times New Roman" w:hAnsi="Times New Roman" w:cs="Times New Roman"/>
        </w:rPr>
      </w:pPr>
    </w:p>
    <w:p>
      <w:pPr>
        <w:pStyle w:val="13"/>
        <w:adjustRightInd w:val="0"/>
        <w:snapToGrid w:val="0"/>
        <w:spacing w:before="0"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第一部分 </w:t>
      </w:r>
      <w:r>
        <w:rPr>
          <w:rFonts w:hint="default" w:ascii="Times New Roman" w:hAnsi="Times New Roman" w:eastAsia="黑体" w:cs="Times New Roman"/>
          <w:sz w:val="32"/>
          <w:szCs w:val="32"/>
          <w:lang w:eastAsia="zh-CN"/>
        </w:rPr>
        <w:t>单位</w:t>
      </w:r>
      <w:r>
        <w:rPr>
          <w:rFonts w:hint="default" w:ascii="Times New Roman" w:hAnsi="Times New Roman" w:eastAsia="黑体" w:cs="Times New Roman"/>
          <w:sz w:val="32"/>
          <w:szCs w:val="32"/>
        </w:rPr>
        <w:t>概况</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职责</w:t>
      </w:r>
      <w:r>
        <w:rPr>
          <w:rFonts w:hint="default" w:ascii="Times New Roman" w:hAnsi="Times New Roman" w:cs="Times New Roman"/>
          <w:color w:val="auto"/>
          <w:sz w:val="24"/>
          <w:szCs w:val="24"/>
          <w:lang w:bidi="ar-SA"/>
        </w:rPr>
        <w:tab/>
      </w:r>
      <w:r>
        <w:rPr>
          <w:rFonts w:hint="default" w:ascii="Times New Roman" w:hAnsi="Times New Roman" w:eastAsia="仿宋_GB2312" w:cs="Times New Roman"/>
          <w:sz w:val="32"/>
          <w:szCs w:val="32"/>
        </w:rPr>
        <w:t>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二、机构设置</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5</w:t>
      </w:r>
    </w:p>
    <w:p>
      <w:pPr>
        <w:pStyle w:val="13"/>
        <w:adjustRightInd w:val="0"/>
        <w:snapToGrid w:val="0"/>
        <w:spacing w:before="0" w:line="560" w:lineRule="exact"/>
        <w:jc w:val="lef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rPr>
        <w:t>第二部分 2024年度</w:t>
      </w:r>
      <w:r>
        <w:rPr>
          <w:rFonts w:hint="default" w:ascii="Times New Roman" w:hAnsi="Times New Roman" w:eastAsia="黑体" w:cs="Times New Roman"/>
          <w:sz w:val="32"/>
          <w:szCs w:val="32"/>
          <w:lang w:eastAsia="zh-CN"/>
        </w:rPr>
        <w:t>单位</w:t>
      </w:r>
      <w:r>
        <w:rPr>
          <w:rFonts w:hint="default" w:ascii="Times New Roman" w:hAnsi="Times New Roman" w:eastAsia="黑体" w:cs="Times New Roman"/>
          <w:sz w:val="32"/>
          <w:szCs w:val="32"/>
        </w:rPr>
        <w:t>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6</w:t>
      </w:r>
    </w:p>
    <w:p>
      <w:pPr>
        <w:pStyle w:val="14"/>
        <w:numPr>
          <w:ilvl w:val="0"/>
          <w:numId w:val="1"/>
        </w:numPr>
        <w:adjustRightInd w:val="0"/>
        <w:snapToGrid w:val="0"/>
        <w:spacing w:line="560" w:lineRule="exact"/>
        <w:ind w:left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收入支出决算总体情况说明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6</w:t>
      </w:r>
    </w:p>
    <w:p>
      <w:pPr>
        <w:pStyle w:val="14"/>
        <w:numPr>
          <w:ilvl w:val="0"/>
          <w:numId w:val="1"/>
        </w:numPr>
        <w:adjustRightInd w:val="0"/>
        <w:snapToGrid w:val="0"/>
        <w:spacing w:line="560" w:lineRule="exact"/>
        <w:ind w:leftChars="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收入决算情况说明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6</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三、支出决算情况说明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7</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四、财政拨款收入支出决算总体情况说明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8</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五、一般公共预算财政拨款支出决算情况说明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8</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六、一般公共预算财政拨款基本支出决算情况说明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11</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七、财政拨款“三公”经费支出决算情况说明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11</w:t>
      </w:r>
    </w:p>
    <w:p>
      <w:pPr>
        <w:pStyle w:val="14"/>
        <w:adjustRightInd w:val="0"/>
        <w:snapToGrid w:val="0"/>
        <w:spacing w:line="560" w:lineRule="exact"/>
        <w:ind w:left="0" w:leftChars="0" w:firstLine="640" w:firstLineChars="200"/>
        <w:jc w:val="left"/>
        <w:rPr>
          <w:rFonts w:hint="default" w:ascii="Times New Roman" w:hAnsi="Times New Roman" w:cs="Times New Roman"/>
          <w:color w:val="auto"/>
          <w:sz w:val="32"/>
          <w:szCs w:val="32"/>
          <w:lang w:bidi="ar-SA"/>
        </w:rPr>
      </w:pPr>
      <w:r>
        <w:rPr>
          <w:rFonts w:hint="default" w:ascii="Times New Roman" w:hAnsi="Times New Roman" w:eastAsia="仿宋_GB2312" w:cs="Times New Roman"/>
          <w:sz w:val="32"/>
          <w:szCs w:val="32"/>
        </w:rPr>
        <w:t>八、政府性基金预算支出决算情况说明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13</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九、国有资本经营预算支出决算情况说明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13</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u w:val="dotted"/>
        </w:rPr>
      </w:pPr>
      <w:r>
        <w:rPr>
          <w:rFonts w:hint="default" w:ascii="Times New Roman" w:hAnsi="Times New Roman" w:eastAsia="仿宋_GB2312" w:cs="Times New Roman"/>
          <w:sz w:val="32"/>
          <w:szCs w:val="32"/>
        </w:rPr>
        <w:t>十、其他重要事项的情况说明</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13</w:t>
      </w:r>
    </w:p>
    <w:p>
      <w:pPr>
        <w:pStyle w:val="13"/>
        <w:adjustRightInd w:val="0"/>
        <w:snapToGrid w:val="0"/>
        <w:spacing w:before="0" w:line="560" w:lineRule="exact"/>
        <w:jc w:val="left"/>
        <w:rPr>
          <w:rFonts w:hint="default" w:ascii="Times New Roman" w:hAnsi="Times New Roman" w:eastAsia="黑体" w:cs="Times New Roman"/>
          <w:sz w:val="32"/>
          <w:szCs w:val="32"/>
          <w:u w:val="dotted"/>
        </w:rPr>
      </w:pPr>
      <w:r>
        <w:rPr>
          <w:rFonts w:hint="default" w:ascii="Times New Roman" w:hAnsi="Times New Roman" w:eastAsia="黑体" w:cs="Times New Roman"/>
          <w:sz w:val="32"/>
          <w:szCs w:val="32"/>
        </w:rPr>
        <w:t>第三部分 名词解释</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15</w:t>
      </w:r>
    </w:p>
    <w:p>
      <w:pPr>
        <w:pStyle w:val="13"/>
        <w:adjustRightInd w:val="0"/>
        <w:snapToGrid w:val="0"/>
        <w:spacing w:before="0" w:line="560" w:lineRule="exact"/>
        <w:jc w:val="left"/>
        <w:rPr>
          <w:rFonts w:hint="default" w:ascii="Times New Roman" w:hAnsi="Times New Roman" w:eastAsia="黑体" w:cs="Times New Roman"/>
          <w:sz w:val="32"/>
          <w:szCs w:val="32"/>
          <w:u w:val="dotted"/>
        </w:rPr>
      </w:pPr>
      <w:r>
        <w:rPr>
          <w:rFonts w:hint="default" w:ascii="Times New Roman" w:hAnsi="Times New Roman" w:eastAsia="黑体" w:cs="Times New Roman"/>
          <w:sz w:val="32"/>
          <w:szCs w:val="32"/>
        </w:rPr>
        <w:t>第四部分 附件</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bidi="ar-SA"/>
        </w:rPr>
        <w:t>18</w:t>
      </w:r>
    </w:p>
    <w:p>
      <w:pPr>
        <w:pStyle w:val="13"/>
        <w:adjustRightInd w:val="0"/>
        <w:snapToGrid w:val="0"/>
        <w:spacing w:before="0" w:line="560" w:lineRule="exact"/>
        <w:jc w:val="left"/>
        <w:rPr>
          <w:rFonts w:hint="default" w:ascii="Times New Roman" w:hAnsi="Times New Roman" w:eastAsia="仿宋" w:cs="Times New Roman"/>
          <w:sz w:val="32"/>
          <w:szCs w:val="32"/>
          <w:u w:val="dotted"/>
          <w:lang w:val="en-US" w:eastAsia="zh-CN"/>
        </w:rPr>
      </w:pPr>
      <w:r>
        <w:rPr>
          <w:rFonts w:hint="default" w:ascii="Times New Roman" w:hAnsi="Times New Roman" w:eastAsia="黑体" w:cs="Times New Roman"/>
          <w:sz w:val="32"/>
          <w:szCs w:val="32"/>
        </w:rPr>
        <w:t>第五部分 附表</w:t>
      </w:r>
      <w:r>
        <w:rPr>
          <w:rFonts w:hint="default" w:ascii="Times New Roman" w:hAnsi="Times New Roman" w:cs="Times New Roman"/>
          <w:color w:val="auto"/>
          <w:sz w:val="32"/>
          <w:szCs w:val="32"/>
          <w:lang w:bidi="ar-SA"/>
        </w:rPr>
        <w:tab/>
      </w:r>
      <w:r>
        <w:rPr>
          <w:rFonts w:hint="default" w:ascii="Times New Roman" w:hAnsi="Times New Roman" w:cs="Times New Roman"/>
          <w:color w:val="auto"/>
          <w:sz w:val="32"/>
          <w:szCs w:val="32"/>
          <w:lang w:val="en-US" w:eastAsia="zh-CN" w:bidi="ar-SA"/>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一、收入支出决算总表</w:t>
      </w:r>
      <w:r>
        <w:rPr>
          <w:rFonts w:hint="default" w:ascii="Times New Roman" w:hAnsi="Times New Roman" w:eastAsia="仿宋" w:cs="Times New Roman"/>
          <w:color w:val="auto"/>
          <w:kern w:val="2"/>
          <w:sz w:val="32"/>
          <w:szCs w:val="32"/>
          <w:lang w:val="en-US" w:eastAsia="zh-CN" w:bidi="ar-SA"/>
        </w:rPr>
        <w:tab/>
      </w:r>
      <w:r>
        <w:rPr>
          <w:rFonts w:hint="default" w:ascii="Times New Roman" w:hAnsi="Times New Roman" w:eastAsia="仿宋" w:cs="Times New Roman"/>
          <w:color w:val="auto"/>
          <w:kern w:val="2"/>
          <w:sz w:val="32"/>
          <w:szCs w:val="32"/>
          <w:lang w:val="en-US" w:eastAsia="zh-CN" w:bidi="ar-SA"/>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二、收入决算表</w:t>
      </w:r>
      <w:r>
        <w:rPr>
          <w:rFonts w:hint="default" w:ascii="Times New Roman" w:hAnsi="Times New Roman" w:eastAsia="仿宋" w:cs="Times New Roman"/>
          <w:color w:val="auto"/>
          <w:kern w:val="2"/>
          <w:sz w:val="32"/>
          <w:szCs w:val="32"/>
          <w:lang w:val="en-US" w:eastAsia="zh-CN" w:bidi="ar-SA"/>
        </w:rPr>
        <w:tab/>
      </w:r>
      <w:r>
        <w:rPr>
          <w:rFonts w:hint="default" w:ascii="Times New Roman" w:hAnsi="Times New Roman" w:eastAsia="仿宋" w:cs="Times New Roman"/>
          <w:color w:val="auto"/>
          <w:kern w:val="2"/>
          <w:sz w:val="32"/>
          <w:szCs w:val="32"/>
          <w:lang w:val="en-US" w:eastAsia="zh-CN" w:bidi="ar-SA"/>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三、支出决算表</w:t>
      </w:r>
      <w:r>
        <w:rPr>
          <w:rFonts w:hint="default" w:ascii="Times New Roman" w:hAnsi="Times New Roman" w:eastAsia="仿宋" w:cs="Times New Roman"/>
          <w:color w:val="auto"/>
          <w:kern w:val="2"/>
          <w:sz w:val="32"/>
          <w:szCs w:val="32"/>
          <w:lang w:val="en-US" w:eastAsia="zh-CN" w:bidi="ar-SA"/>
        </w:rPr>
        <w:tab/>
      </w:r>
      <w:r>
        <w:rPr>
          <w:rFonts w:hint="default" w:ascii="Times New Roman" w:hAnsi="Times New Roman" w:eastAsia="仿宋" w:cs="Times New Roman"/>
          <w:color w:val="auto"/>
          <w:kern w:val="2"/>
          <w:sz w:val="32"/>
          <w:szCs w:val="32"/>
          <w:lang w:val="en-US" w:eastAsia="zh-CN" w:bidi="ar-SA"/>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四、财政拨款收入支出决算总表</w:t>
      </w:r>
      <w:r>
        <w:rPr>
          <w:rFonts w:hint="default" w:ascii="Times New Roman" w:hAnsi="Times New Roman" w:eastAsia="仿宋" w:cs="Times New Roman"/>
          <w:color w:val="auto"/>
          <w:kern w:val="2"/>
          <w:sz w:val="32"/>
          <w:szCs w:val="32"/>
          <w:lang w:val="en-US" w:eastAsia="zh-CN" w:bidi="ar-SA"/>
        </w:rPr>
        <w:tab/>
      </w:r>
      <w:r>
        <w:rPr>
          <w:rFonts w:hint="default" w:ascii="Times New Roman" w:hAnsi="Times New Roman" w:eastAsia="仿宋" w:cs="Times New Roman"/>
          <w:color w:val="auto"/>
          <w:kern w:val="2"/>
          <w:sz w:val="32"/>
          <w:szCs w:val="32"/>
          <w:lang w:val="en-US" w:eastAsia="zh-CN" w:bidi="ar-SA"/>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五、财政拨款支出决算明细表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七、一般公共预算财政拨款支出决算明细表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八、一般公共预算财政拨款基本支出决算明细表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九、一般公共预算财政拨款项目支出决算表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十、政府性基金预算财政拨款收入支出决算表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十一、国有资本经营预算财政拨款收入支出决算表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十二、国有资本经营预算财政拨款支出决算表</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十三、财政拨款“三公”经费支出决算表</w:t>
      </w:r>
      <w:bookmarkStart w:id="6" w:name="_Toc15377196"/>
      <w:bookmarkStart w:id="7" w:name="_Toc15396599"/>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19</w:t>
      </w:r>
    </w:p>
    <w:p>
      <w:pPr>
        <w:pStyle w:val="14"/>
        <w:adjustRightInd w:val="0"/>
        <w:snapToGrid w:val="0"/>
        <w:spacing w:line="560" w:lineRule="exact"/>
        <w:ind w:left="0" w:leftChars="0" w:firstLine="420" w:firstLineChars="200"/>
        <w:jc w:val="left"/>
        <w:rPr>
          <w:rFonts w:hint="default" w:ascii="Times New Roman" w:hAnsi="Times New Roman" w:eastAsia="方正小标宋简体" w:cs="Times New Roman"/>
          <w:b w:val="0"/>
          <w:lang w:val="en-US" w:eastAsia="zh-CN"/>
        </w:rPr>
        <w:sectPr>
          <w:footerReference r:id="rId5" w:type="default"/>
          <w:footerReference r:id="rId6" w:type="even"/>
          <w:pgSz w:w="11906" w:h="16838"/>
          <w:pgMar w:top="1440" w:right="1800" w:bottom="1440" w:left="1800" w:header="851" w:footer="992" w:gutter="0"/>
          <w:pgNumType w:start="1"/>
          <w:cols w:space="720" w:num="1"/>
          <w:docGrid w:type="lines" w:linePitch="312" w:charSpace="0"/>
        </w:sectPr>
      </w:pPr>
    </w:p>
    <w:p>
      <w:pPr>
        <w:pStyle w:val="5"/>
        <w:jc w:val="center"/>
        <w:rPr>
          <w:rStyle w:val="22"/>
          <w:rFonts w:hint="default" w:ascii="Times New Roman" w:hAnsi="Times New Roman" w:eastAsia="方正小标宋简体" w:cs="Times New Roman"/>
          <w:b/>
          <w:bCs w:val="0"/>
        </w:rPr>
      </w:pPr>
      <w:r>
        <w:rPr>
          <w:rFonts w:hint="default" w:ascii="Times New Roman" w:hAnsi="Times New Roman" w:eastAsia="方正小标宋简体" w:cs="Times New Roman"/>
          <w:b w:val="0"/>
        </w:rPr>
        <w:t xml:space="preserve">第一部分  </w:t>
      </w:r>
      <w:r>
        <w:rPr>
          <w:rStyle w:val="22"/>
          <w:rFonts w:hint="default" w:ascii="Times New Roman" w:hAnsi="Times New Roman" w:eastAsia="方正小标宋简体" w:cs="Times New Roman"/>
          <w:b w:val="0"/>
          <w:bCs w:val="0"/>
        </w:rPr>
        <w:t>单位概况</w:t>
      </w:r>
      <w:bookmarkEnd w:id="6"/>
      <w:bookmarkEnd w:id="7"/>
    </w:p>
    <w:p>
      <w:pPr>
        <w:bidi w:val="0"/>
        <w:ind w:firstLine="640" w:firstLineChars="200"/>
        <w:rPr>
          <w:rFonts w:hint="default" w:ascii="Times New Roman" w:hAnsi="Times New Roman" w:eastAsia="方正黑体_GBK" w:cs="Times New Roman"/>
          <w:sz w:val="32"/>
          <w:szCs w:val="32"/>
        </w:rPr>
      </w:pPr>
      <w:bookmarkStart w:id="8" w:name="_Toc15377197"/>
      <w:bookmarkEnd w:id="8"/>
      <w:bookmarkStart w:id="9" w:name="_Toc15396600"/>
      <w:bookmarkEnd w:id="9"/>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单位职责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负责建立健全并执行各项生态环境基本制度。贯彻执行国家、省、市有关法律、法规、规章和政策，会同有关单位拟订并组织实施区域内生态环境政策、规划。组织编制环境功能区划，会同有关单位编制并监督实施重点区域、流域、饮用水水源地生态环境规划和水功能区划，参与制定与区域内生态环境相关的经济、技术、资源配置和产业政策。参与拟订并贯彻执行区域内主体功能区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负责监督管理区域内减排目标的落实。组织实施区域内各类污染物排放总量控制和排污许可证制度，提出实施总量控制的污染物控制指标，督查、督办、核查污染物减排任务完成情况。实施生态环境目标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（四）负责提出区域内生态环境领域财政专项资金安排的建议。参与指导推动区域内循环经济和生态环保产业发展。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单位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（八）负责区域内生态环境准入的监督管理。根据授权对建设项目环境影响评价文件进行审批，按规定审查开发建设区域、规划、项目环境影响评价文件。组织实施区域内生态环境准入清单。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九）负责区域内生态环境监测、统计和信息发布工作。监督执行国家、省颁布的各类环境标准，组织实施环境监测制度和规范相关工作。会同有关单位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（十）负责应对气候变化工作。组织实施国家、省应对气候变化及温室气体减排重大战略、规划和政策，组织实施区域内应对气候变化的规划和政策措施。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（十一）组织开展中央、省环保督察反馈问题的整改。贯彻执行中央、省生态环境保护督察制度。督促协调产业园区、乡镇（街道）和区域内有关单位整改突出环境问题。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（十二）负责区域内生态环境监督执法。组织开展区域内生态环境保护执法检查，根据授权查处生态环境违法问题。监督实施建设项目生态环境保护设施“三同时”制度。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三）组织指导和协调区域内生态环境宣传教育工作。制定并组织实施区域内生态环境保护宣传教育有关规划和计划。推动社会组织和公众参与生态环境保护。会同有关单位依法对区域内保护和改善生态环境有显著成绩的单位和个人给予表扬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（十四）开展生态环境科技工作。管理区域内生态环境保护科技成果并推广应用。组织开展生态环境重大科学研究和技术工程示范，推动生态环境技术管理体系建设。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（十五）负责职责范围内安全生产和职业健康等工作。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六）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bidi w:val="0"/>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攀枝花市西区生态环境局属二级预算单位，内设机构为办公室、综合业务股、督察股。共核定行政编制职数7名，科级领导职数4名。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纳入西区生态环境局2024年度单位决算编制范围的独立编制机构包括：1.攀枝花市西区生态环境局；2.攀枝花市生态环境保护综合行政执法支队西区大队。</w:t>
      </w:r>
    </w:p>
    <w:p>
      <w:pPr>
        <w:bidi w:val="0"/>
        <w:rPr>
          <w:rFonts w:hint="default" w:ascii="Times New Roman" w:hAnsi="Times New Roman" w:eastAsia="方正仿宋_GBK" w:cs="Times New Roman"/>
          <w:sz w:val="32"/>
          <w:szCs w:val="32"/>
        </w:rPr>
      </w:pPr>
      <w:bookmarkStart w:id="10" w:name="_Toc15396602"/>
      <w:bookmarkStart w:id="11" w:name="_Toc15377204"/>
    </w:p>
    <w:p>
      <w:pPr>
        <w:bidi w:val="0"/>
        <w:rPr>
          <w:rFonts w:hint="default" w:ascii="Times New Roman" w:hAnsi="Times New Roman" w:eastAsia="方正仿宋_GBK"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5"/>
        <w:jc w:val="center"/>
        <w:rPr>
          <w:rFonts w:hint="default" w:ascii="Times New Roman" w:hAnsi="Times New Roman" w:eastAsia="方正小标宋简体" w:cs="Times New Roman"/>
          <w:b w:val="0"/>
        </w:rPr>
      </w:pPr>
      <w:r>
        <w:rPr>
          <w:rFonts w:hint="default" w:ascii="Times New Roman" w:hAnsi="Times New Roman" w:eastAsia="方正小标宋简体" w:cs="Times New Roman"/>
          <w:b w:val="0"/>
        </w:rPr>
        <w:t>第二部分  2024年度</w:t>
      </w:r>
      <w:r>
        <w:rPr>
          <w:rFonts w:hint="default" w:ascii="Times New Roman" w:hAnsi="Times New Roman" w:eastAsia="方正小标宋简体" w:cs="Times New Roman"/>
          <w:b w:val="0"/>
          <w:lang w:eastAsia="zh-CN"/>
        </w:rPr>
        <w:t>单位</w:t>
      </w:r>
      <w:r>
        <w:rPr>
          <w:rFonts w:hint="default" w:ascii="Times New Roman" w:hAnsi="Times New Roman" w:eastAsia="方正小标宋简体" w:cs="Times New Roman"/>
          <w:b w:val="0"/>
        </w:rPr>
        <w:t>决算情况说明</w:t>
      </w:r>
      <w:bookmarkEnd w:id="10"/>
      <w:bookmarkEnd w:id="11"/>
    </w:p>
    <w:p>
      <w:pPr>
        <w:rPr>
          <w:rFonts w:hint="default" w:ascii="Times New Roman" w:hAnsi="Times New Roman" w:cs="Times New Roman"/>
        </w:rPr>
      </w:pPr>
    </w:p>
    <w:p>
      <w:pPr>
        <w:pStyle w:val="27"/>
        <w:spacing w:line="600" w:lineRule="exact"/>
        <w:outlineLvl w:val="1"/>
        <w:rPr>
          <w:rStyle w:val="23"/>
          <w:rFonts w:hint="default" w:ascii="Times New Roman" w:hAnsi="Times New Roman" w:eastAsia="黑体" w:cs="Times New Roman"/>
          <w:b w:val="0"/>
        </w:rPr>
      </w:pPr>
      <w:bookmarkStart w:id="12" w:name="_Toc15396603"/>
      <w:bookmarkStart w:id="13" w:name="_Toc15377205"/>
      <w:r>
        <w:rPr>
          <w:rFonts w:hint="default" w:ascii="Times New Roman" w:hAnsi="Times New Roman" w:eastAsia="黑体" w:cs="Times New Roman"/>
          <w:sz w:val="32"/>
          <w:szCs w:val="32"/>
        </w:rPr>
        <w:t>一、收</w:t>
      </w:r>
      <w:r>
        <w:rPr>
          <w:rStyle w:val="23"/>
          <w:rFonts w:hint="default" w:ascii="Times New Roman" w:hAnsi="Times New Roman" w:eastAsia="黑体" w:cs="Times New Roman"/>
          <w:b w:val="0"/>
        </w:rPr>
        <w:t>入支出决算总体情况说明</w:t>
      </w:r>
      <w:bookmarkEnd w:id="12"/>
      <w:bookmarkEnd w:id="13"/>
    </w:p>
    <w:p>
      <w:pPr>
        <w:pStyle w:val="27"/>
        <w:spacing w:line="600" w:lineRule="exac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2024年度收入、支出总计均为1099.9万元。与2023年度（921.03万元）相比，收入、支出总计各增加178.87万元，增长19.42%。主要变动原因是</w:t>
      </w:r>
      <w:r>
        <w:rPr>
          <w:rFonts w:hint="default" w:ascii="Times New Roman" w:hAnsi="Times New Roman" w:eastAsia="仿宋" w:cs="Times New Roman"/>
          <w:color w:val="auto"/>
          <w:sz w:val="32"/>
          <w:szCs w:val="32"/>
          <w:highlight w:val="none"/>
          <w:lang w:eastAsia="zh-CN" w:bidi="ar-SA"/>
        </w:rPr>
        <w:t>生态环境保护项目支出增加。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84455" distR="84455">
            <wp:extent cx="4580890" cy="2752090"/>
            <wp:effectExtent l="0" t="0" r="7" b="21"/>
            <wp:docPr id="1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pic:cNvPicPr>
                      <a:picLocks noChangeAspect="1"/>
                    </pic:cNvPicPr>
                  </pic:nvPicPr>
                  <pic:blipFill>
                    <a:blip r:embed="rId10"/>
                    <a:stretch>
                      <a:fillRect/>
                    </a:stretch>
                  </pic:blipFill>
                  <pic:spPr>
                    <a:xfrm>
                      <a:off x="0" y="0"/>
                      <a:ext cx="4580890" cy="2752090"/>
                    </a:xfrm>
                    <a:prstGeom prst="rect">
                      <a:avLst/>
                    </a:prstGeom>
                    <a:noFill/>
                    <a:ln w="9525" cap="flat" cmpd="sng">
                      <a:noFill/>
                      <a:prstDash val="solid"/>
                      <a:miter/>
                    </a:ln>
                  </pic:spPr>
                </pic:pic>
              </a:graphicData>
            </a:graphic>
          </wp:inline>
        </w:drawing>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图1：收入、支出决算总计变动情况图（单位：万元）</w:t>
      </w:r>
    </w:p>
    <w:p>
      <w:pPr>
        <w:pStyle w:val="27"/>
        <w:spacing w:line="600" w:lineRule="exact"/>
        <w:outlineLvl w:val="1"/>
        <w:rPr>
          <w:rFonts w:hint="default" w:ascii="Times New Roman" w:hAnsi="Times New Roman" w:eastAsia="黑体" w:cs="Times New Roman"/>
          <w:sz w:val="32"/>
          <w:szCs w:val="32"/>
        </w:rPr>
      </w:pPr>
      <w:bookmarkStart w:id="14" w:name="_Toc15396604"/>
      <w:bookmarkStart w:id="15" w:name="_Toc15377206"/>
      <w:r>
        <w:rPr>
          <w:rFonts w:hint="default" w:ascii="Times New Roman" w:hAnsi="Times New Roman" w:eastAsia="黑体" w:cs="Times New Roman"/>
          <w:sz w:val="32"/>
          <w:szCs w:val="32"/>
        </w:rPr>
        <w:t>二、收入决算情况说明</w:t>
      </w:r>
      <w:bookmarkEnd w:id="14"/>
      <w:bookmarkEnd w:id="15"/>
    </w:p>
    <w:p>
      <w:pPr>
        <w:pStyle w:val="27"/>
        <w:spacing w:line="600" w:lineRule="exact"/>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2024年度本年收入合计1099.9万元，其中：一般公共预算财政拨款收入271.38万元，占24.67%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其他收入828.52万元，占75.32%。</w:t>
      </w:r>
    </w:p>
    <w:p>
      <w:pPr>
        <w:pStyle w:val="27"/>
        <w:spacing w:line="600" w:lineRule="exact"/>
        <w:ind w:left="0" w:firstLine="0" w:firstLineChars="0"/>
        <w:jc w:val="left"/>
        <w:outlineLvl w:val="1"/>
        <w:rPr>
          <w:rFonts w:hint="default" w:ascii="Times New Roman" w:hAnsi="Times New Roman" w:eastAsia="仿宋_GB2312" w:cs="Times New Roman"/>
          <w:b/>
          <w:bCs/>
          <w:sz w:val="32"/>
          <w:szCs w:val="32"/>
        </w:rPr>
      </w:pP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84455" distR="84455">
            <wp:extent cx="4580890" cy="2752090"/>
            <wp:effectExtent l="0" t="0" r="6" b="21"/>
            <wp:docPr id="1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pic:cNvPicPr>
                      <a:picLocks noChangeAspect="1"/>
                    </pic:cNvPicPr>
                  </pic:nvPicPr>
                  <pic:blipFill>
                    <a:blip r:embed="rId11"/>
                    <a:stretch>
                      <a:fillRect/>
                    </a:stretch>
                  </pic:blipFill>
                  <pic:spPr>
                    <a:xfrm>
                      <a:off x="0" y="0"/>
                      <a:ext cx="4580890" cy="2752090"/>
                    </a:xfrm>
                    <a:prstGeom prst="rect">
                      <a:avLst/>
                    </a:prstGeom>
                    <a:noFill/>
                    <a:ln w="9525" cap="flat" cmpd="sng">
                      <a:noFill/>
                      <a:prstDash val="solid"/>
                      <a:miter/>
                    </a:ln>
                  </pic:spPr>
                </pic:pic>
              </a:graphicData>
            </a:graphic>
          </wp:inline>
        </w:drawing>
      </w:r>
    </w:p>
    <w:p>
      <w:pPr>
        <w:ind w:firstLine="1760" w:firstLineChars="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图2：收入决算结构图（单位：万元）</w:t>
      </w:r>
    </w:p>
    <w:p>
      <w:pPr>
        <w:pStyle w:val="2"/>
        <w:rPr>
          <w:rFonts w:hint="default" w:ascii="Times New Roman" w:hAnsi="Times New Roman" w:cs="Times New Roman"/>
        </w:rPr>
      </w:pPr>
    </w:p>
    <w:p>
      <w:pPr>
        <w:pStyle w:val="27"/>
        <w:spacing w:line="600" w:lineRule="exact"/>
        <w:outlineLvl w:val="1"/>
        <w:rPr>
          <w:rStyle w:val="23"/>
          <w:rFonts w:hint="default" w:ascii="Times New Roman" w:hAnsi="Times New Roman" w:eastAsia="黑体" w:cs="Times New Roman"/>
          <w:b w:val="0"/>
        </w:rPr>
      </w:pPr>
      <w:bookmarkStart w:id="16" w:name="_Toc15396605"/>
      <w:bookmarkStart w:id="17" w:name="_Toc15377207"/>
      <w:r>
        <w:rPr>
          <w:rFonts w:hint="default" w:ascii="Times New Roman" w:hAnsi="Times New Roman" w:eastAsia="黑体" w:cs="Times New Roman"/>
          <w:sz w:val="32"/>
          <w:szCs w:val="32"/>
        </w:rPr>
        <w:t>三、支</w:t>
      </w:r>
      <w:r>
        <w:rPr>
          <w:rStyle w:val="23"/>
          <w:rFonts w:hint="default" w:ascii="Times New Roman" w:hAnsi="Times New Roman" w:eastAsia="黑体" w:cs="Times New Roman"/>
          <w:b w:val="0"/>
        </w:rPr>
        <w:t>出决算情况说明</w:t>
      </w:r>
      <w:bookmarkEnd w:id="16"/>
      <w:bookmarkEnd w:id="17"/>
    </w:p>
    <w:p>
      <w:pPr>
        <w:pStyle w:val="27"/>
        <w:spacing w:line="600" w:lineRule="exact"/>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2024年度本年支出合计1099.9万元，其中：基本支出329.91万元，占29.99%；项目支出769.99万元，占70.01%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p>
    <w:p>
      <w:pPr>
        <w:pStyle w:val="27"/>
        <w:spacing w:line="600" w:lineRule="exact"/>
        <w:jc w:val="left"/>
        <w:outlineLvl w:val="1"/>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84455" distR="84455" simplePos="0" relativeHeight="251658240" behindDoc="0" locked="0" layoutInCell="1" allowOverlap="1">
            <wp:simplePos x="0" y="0"/>
            <wp:positionH relativeFrom="column">
              <wp:posOffset>361950</wp:posOffset>
            </wp:positionH>
            <wp:positionV relativeFrom="paragraph">
              <wp:posOffset>323850</wp:posOffset>
            </wp:positionV>
            <wp:extent cx="4580890" cy="2752090"/>
            <wp:effectExtent l="0" t="0" r="10160" b="10160"/>
            <wp:wrapNone/>
            <wp:docPr id="16"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pic:cNvPicPr>
                      <a:picLocks noChangeAspect="1"/>
                    </pic:cNvPicPr>
                  </pic:nvPicPr>
                  <pic:blipFill>
                    <a:blip r:embed="rId12"/>
                    <a:stretch>
                      <a:fillRect/>
                    </a:stretch>
                  </pic:blipFill>
                  <pic:spPr>
                    <a:xfrm>
                      <a:off x="0" y="0"/>
                      <a:ext cx="4580890" cy="2752090"/>
                    </a:xfrm>
                    <a:prstGeom prst="rect">
                      <a:avLst/>
                    </a:prstGeom>
                    <a:noFill/>
                    <a:ln w="9525" cap="flat" cmpd="sng">
                      <a:noFill/>
                      <a:prstDash val="solid"/>
                      <a:miter/>
                    </a:ln>
                  </pic:spPr>
                </pic:pic>
              </a:graphicData>
            </a:graphic>
          </wp:anchor>
        </w:drawing>
      </w:r>
    </w:p>
    <w:p>
      <w:pPr>
        <w:pStyle w:val="27"/>
        <w:spacing w:line="600" w:lineRule="exact"/>
        <w:jc w:val="left"/>
        <w:outlineLvl w:val="1"/>
        <w:rPr>
          <w:rFonts w:hint="default" w:ascii="Times New Roman" w:hAnsi="Times New Roman" w:eastAsia="仿宋_GB2312" w:cs="Times New Roman"/>
          <w:sz w:val="32"/>
          <w:szCs w:val="32"/>
        </w:rPr>
      </w:pPr>
    </w:p>
    <w:p>
      <w:pPr>
        <w:pStyle w:val="27"/>
        <w:spacing w:line="600" w:lineRule="exact"/>
        <w:jc w:val="left"/>
        <w:outlineLvl w:val="1"/>
        <w:rPr>
          <w:rFonts w:hint="default" w:ascii="Times New Roman" w:hAnsi="Times New Roman" w:eastAsia="仿宋_GB2312" w:cs="Times New Roman"/>
          <w:sz w:val="32"/>
          <w:szCs w:val="32"/>
        </w:rPr>
      </w:pPr>
    </w:p>
    <w:p>
      <w:pPr>
        <w:pStyle w:val="27"/>
        <w:spacing w:line="600" w:lineRule="exact"/>
        <w:jc w:val="left"/>
        <w:outlineLvl w:val="1"/>
        <w:rPr>
          <w:rFonts w:hint="default" w:ascii="Times New Roman" w:hAnsi="Times New Roman" w:eastAsia="仿宋_GB2312" w:cs="Times New Roman"/>
          <w:sz w:val="32"/>
          <w:szCs w:val="32"/>
        </w:rPr>
      </w:pPr>
    </w:p>
    <w:p>
      <w:pPr>
        <w:pStyle w:val="27"/>
        <w:spacing w:line="600" w:lineRule="exact"/>
        <w:jc w:val="left"/>
        <w:outlineLvl w:val="1"/>
        <w:rPr>
          <w:rFonts w:hint="default" w:ascii="Times New Roman" w:hAnsi="Times New Roman" w:eastAsia="仿宋_GB2312" w:cs="Times New Roman"/>
          <w:sz w:val="32"/>
          <w:szCs w:val="32"/>
        </w:rPr>
      </w:pPr>
    </w:p>
    <w:p>
      <w:pPr>
        <w:pStyle w:val="27"/>
        <w:spacing w:line="600" w:lineRule="exact"/>
        <w:jc w:val="left"/>
        <w:outlineLvl w:val="1"/>
        <w:rPr>
          <w:rFonts w:hint="default" w:ascii="Times New Roman" w:hAnsi="Times New Roman" w:eastAsia="仿宋_GB2312" w:cs="Times New Roman"/>
          <w:sz w:val="32"/>
          <w:szCs w:val="32"/>
        </w:rPr>
      </w:pPr>
    </w:p>
    <w:p>
      <w:pPr>
        <w:pStyle w:val="27"/>
        <w:spacing w:line="600" w:lineRule="exact"/>
        <w:jc w:val="left"/>
        <w:outlineLvl w:val="1"/>
        <w:rPr>
          <w:rFonts w:hint="default" w:ascii="Times New Roman" w:hAnsi="Times New Roman" w:eastAsia="仿宋_GB2312" w:cs="Times New Roman"/>
          <w:sz w:val="32"/>
          <w:szCs w:val="32"/>
        </w:rPr>
      </w:pPr>
    </w:p>
    <w:p>
      <w:pPr>
        <w:pStyle w:val="27"/>
        <w:spacing w:line="600" w:lineRule="exact"/>
        <w:jc w:val="left"/>
        <w:outlineLvl w:val="1"/>
        <w:rPr>
          <w:rFonts w:hint="default" w:ascii="Times New Roman" w:hAnsi="Times New Roman" w:eastAsia="仿宋_GB2312" w:cs="Times New Roman"/>
          <w:sz w:val="32"/>
          <w:szCs w:val="32"/>
        </w:rPr>
      </w:pPr>
    </w:p>
    <w:p>
      <w:pPr>
        <w:ind w:firstLine="1440" w:firstLineChars="450"/>
        <w:rPr>
          <w:rFonts w:hint="default" w:ascii="Times New Roman" w:hAnsi="Times New Roman" w:eastAsia="仿宋_GB2312" w:cs="Times New Roman"/>
          <w:sz w:val="32"/>
          <w:szCs w:val="32"/>
        </w:rPr>
      </w:pPr>
    </w:p>
    <w:p>
      <w:pPr>
        <w:ind w:firstLine="1440" w:firstLineChars="4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图3：支出决算结构图（单位：万元）</w:t>
      </w:r>
    </w:p>
    <w:p>
      <w:pPr>
        <w:spacing w:line="600" w:lineRule="exact"/>
        <w:ind w:firstLine="640" w:firstLineChars="200"/>
        <w:outlineLvl w:val="1"/>
        <w:rPr>
          <w:rFonts w:hint="default" w:ascii="Times New Roman" w:hAnsi="Times New Roman" w:eastAsia="黑体" w:cs="Times New Roman"/>
          <w:sz w:val="32"/>
          <w:szCs w:val="32"/>
        </w:rPr>
      </w:pPr>
      <w:bookmarkStart w:id="18" w:name="_Toc15377208"/>
      <w:bookmarkStart w:id="19" w:name="_Toc15396606"/>
    </w:p>
    <w:p>
      <w:pPr>
        <w:spacing w:line="600" w:lineRule="exact"/>
        <w:ind w:firstLine="640" w:firstLineChars="200"/>
        <w:outlineLvl w:val="1"/>
        <w:rPr>
          <w:rStyle w:val="23"/>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3"/>
          <w:rFonts w:hint="default" w:ascii="Times New Roman" w:hAnsi="Times New Roman" w:eastAsia="黑体" w:cs="Times New Roman"/>
          <w:b w:val="0"/>
        </w:rPr>
        <w:t>政拨款收入支出决算总体情况说明</w:t>
      </w:r>
      <w:bookmarkEnd w:id="18"/>
      <w:bookmarkEnd w:id="19"/>
    </w:p>
    <w:p>
      <w:pPr>
        <w:spacing w:line="600" w:lineRule="exact"/>
        <w:ind w:firstLine="640"/>
        <w:rPr>
          <w:rFonts w:hint="default" w:ascii="Times New Roman" w:hAnsi="Times New Roman" w:eastAsia="仿宋" w:cs="Times New Roman"/>
          <w:color w:val="auto"/>
          <w:sz w:val="32"/>
          <w:szCs w:val="32"/>
          <w:highlight w:val="none"/>
          <w:lang w:eastAsia="zh-CN" w:bidi="ar-SA"/>
        </w:rPr>
      </w:pPr>
      <w:r>
        <w:rPr>
          <w:rFonts w:hint="default" w:ascii="Times New Roman" w:hAnsi="Times New Roman" w:eastAsia="仿宋_GB2312" w:cs="Times New Roman"/>
          <w:sz w:val="32"/>
          <w:szCs w:val="32"/>
        </w:rPr>
        <w:t>2024年度财政拨款收入、支出总计均为1099.9万元。与2023年度相比，财政拨款收入总计、支出总计各增加178.87万元，增长19.42%。主要变动原因是</w:t>
      </w:r>
      <w:r>
        <w:rPr>
          <w:rFonts w:hint="default" w:ascii="Times New Roman" w:hAnsi="Times New Roman" w:eastAsia="仿宋" w:cs="Times New Roman"/>
          <w:color w:val="auto"/>
          <w:sz w:val="32"/>
          <w:szCs w:val="32"/>
          <w:highlight w:val="none"/>
          <w:lang w:eastAsia="zh-CN" w:bidi="ar-SA"/>
        </w:rPr>
        <w:t>生态环境保护项目支出增加。</w:t>
      </w:r>
    </w:p>
    <w:p>
      <w:pPr>
        <w:pStyle w:val="2"/>
        <w:rPr>
          <w:rFonts w:hint="default" w:ascii="Times New Roman" w:hAnsi="Times New Roman" w:cs="Times New Roman"/>
        </w:rPr>
      </w:pPr>
      <w:r>
        <w:rPr>
          <w:rFonts w:hint="default" w:ascii="Times New Roman" w:hAnsi="Times New Roman" w:cs="Times New Roman"/>
        </w:rPr>
        <w:drawing>
          <wp:inline distT="0" distB="0" distL="84455" distR="84455">
            <wp:extent cx="4580890" cy="2752090"/>
            <wp:effectExtent l="0" t="0" r="10160" b="10160"/>
            <wp:docPr id="1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pic:cNvPicPr>
                      <a:picLocks noChangeAspect="1"/>
                    </pic:cNvPicPr>
                  </pic:nvPicPr>
                  <pic:blipFill>
                    <a:blip r:embed="rId10"/>
                    <a:stretch>
                      <a:fillRect/>
                    </a:stretch>
                  </pic:blipFill>
                  <pic:spPr>
                    <a:xfrm>
                      <a:off x="0" y="0"/>
                      <a:ext cx="4580890" cy="2752090"/>
                    </a:xfrm>
                    <a:prstGeom prst="rect">
                      <a:avLst/>
                    </a:prstGeom>
                    <a:noFill/>
                    <a:ln w="9525" cap="flat" cmpd="sng">
                      <a:noFill/>
                      <a:prstDash val="solid"/>
                      <a:miter/>
                    </a:ln>
                  </pic:spPr>
                </pic:pic>
              </a:graphicData>
            </a:graphic>
          </wp:inline>
        </w:drawing>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图4：财政拨款收、支决算总计变动情况（单位：万元）</w:t>
      </w:r>
    </w:p>
    <w:p>
      <w:pPr>
        <w:pStyle w:val="2"/>
        <w:rPr>
          <w:rFonts w:hint="default" w:ascii="Times New Roman" w:hAnsi="Times New Roman" w:cs="Times New Roman"/>
        </w:rPr>
      </w:pPr>
    </w:p>
    <w:p>
      <w:pPr>
        <w:spacing w:line="600" w:lineRule="exact"/>
        <w:ind w:firstLine="640" w:firstLineChars="200"/>
        <w:outlineLvl w:val="1"/>
        <w:rPr>
          <w:rStyle w:val="23"/>
          <w:rFonts w:hint="default" w:ascii="Times New Roman" w:hAnsi="Times New Roman" w:eastAsia="黑体" w:cs="Times New Roman"/>
          <w:b w:val="0"/>
        </w:rPr>
      </w:pPr>
      <w:bookmarkStart w:id="20" w:name="_Toc15396607"/>
      <w:bookmarkStart w:id="21"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3"/>
          <w:rFonts w:hint="default" w:ascii="Times New Roman" w:hAnsi="Times New Roman" w:eastAsia="黑体" w:cs="Times New Roman"/>
          <w:b w:val="0"/>
        </w:rPr>
        <w:t>般公共预算财政拨款支出决算情况说明</w:t>
      </w:r>
      <w:bookmarkEnd w:id="20"/>
      <w:bookmarkEnd w:id="21"/>
    </w:p>
    <w:p>
      <w:pPr>
        <w:spacing w:line="600" w:lineRule="exact"/>
        <w:ind w:firstLine="643" w:firstLineChars="200"/>
        <w:outlineLvl w:val="2"/>
        <w:rPr>
          <w:rFonts w:hint="default" w:ascii="Times New Roman" w:hAnsi="Times New Roman" w:eastAsia="楷体_GB2312" w:cs="Times New Roman"/>
          <w:b/>
          <w:sz w:val="32"/>
          <w:szCs w:val="32"/>
        </w:rPr>
      </w:pPr>
      <w:bookmarkStart w:id="22" w:name="_Toc15377210"/>
      <w:r>
        <w:rPr>
          <w:rFonts w:hint="default" w:ascii="Times New Roman" w:hAnsi="Times New Roman" w:eastAsia="楷体_GB2312" w:cs="Times New Roman"/>
          <w:b/>
          <w:sz w:val="32"/>
          <w:szCs w:val="32"/>
        </w:rPr>
        <w:t>（一）一般公共预算财政拨款支出决算总体情况</w:t>
      </w:r>
      <w:bookmarkEnd w:id="22"/>
    </w:p>
    <w:p>
      <w:pPr>
        <w:spacing w:line="600" w:lineRule="exact"/>
        <w:ind w:firstLine="640"/>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rPr>
        <w:t>2024年度一般公共预算财政拨款支出271.38万元，占本年支出合计的24.67%。与2023年度（293.18万元）相比，一般公共预算财政拨款支出减少21.8万元，下降7.44%。主要变动原因是</w:t>
      </w:r>
      <w:r>
        <w:rPr>
          <w:rFonts w:hint="default" w:ascii="Times New Roman" w:hAnsi="Times New Roman" w:eastAsia="仿宋_GB2312" w:cs="Times New Roman"/>
          <w:sz w:val="32"/>
          <w:szCs w:val="32"/>
          <w:highlight w:val="none"/>
          <w:lang w:val="en-US" w:eastAsia="zh-CN" w:bidi="ar-SA"/>
        </w:rPr>
        <w:t>在编人员减少。</w:t>
      </w:r>
    </w:p>
    <w:p>
      <w:pPr>
        <w:pStyle w:val="2"/>
        <w:rPr>
          <w:rFonts w:hint="default" w:ascii="Times New Roman" w:hAnsi="Times New Roman" w:cs="Times New Roman"/>
        </w:rPr>
      </w:pPr>
      <w:r>
        <w:rPr>
          <w:rFonts w:hint="default" w:ascii="Times New Roman" w:hAnsi="Times New Roman" w:cs="Times New Roman"/>
        </w:rPr>
        <w:drawing>
          <wp:inline distT="0" distB="0" distL="84455" distR="84455">
            <wp:extent cx="4580890" cy="2752090"/>
            <wp:effectExtent l="0" t="0" r="7" b="21"/>
            <wp:docPr id="2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pic:cNvPicPr>
                      <a:picLocks noChangeAspect="1"/>
                    </pic:cNvPicPr>
                  </pic:nvPicPr>
                  <pic:blipFill>
                    <a:blip r:embed="rId13"/>
                    <a:stretch>
                      <a:fillRect/>
                    </a:stretch>
                  </pic:blipFill>
                  <pic:spPr>
                    <a:xfrm>
                      <a:off x="0" y="0"/>
                      <a:ext cx="4580890" cy="2752090"/>
                    </a:xfrm>
                    <a:prstGeom prst="rect">
                      <a:avLst/>
                    </a:prstGeom>
                    <a:noFill/>
                    <a:ln w="9525" cap="flat" cmpd="sng">
                      <a:noFill/>
                      <a:prstDash val="solid"/>
                      <a:miter/>
                    </a:ln>
                  </pic:spPr>
                </pic:pic>
              </a:graphicData>
            </a:graphic>
          </wp:inline>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图5：一般公共预算财政拨款支出决算变动情况（单位：万元）</w:t>
      </w:r>
    </w:p>
    <w:p>
      <w:pPr>
        <w:spacing w:line="600" w:lineRule="exact"/>
        <w:ind w:firstLine="643" w:firstLineChars="200"/>
        <w:outlineLvl w:val="2"/>
        <w:rPr>
          <w:rFonts w:hint="default" w:ascii="Times New Roman" w:hAnsi="Times New Roman" w:eastAsia="楷体_GB2312" w:cs="Times New Roman"/>
          <w:b/>
          <w:sz w:val="32"/>
          <w:szCs w:val="32"/>
        </w:rPr>
      </w:pPr>
      <w:bookmarkStart w:id="23" w:name="_Toc15377211"/>
      <w:r>
        <w:rPr>
          <w:rFonts w:hint="default" w:ascii="Times New Roman" w:hAnsi="Times New Roman" w:eastAsia="楷体_GB2312" w:cs="Times New Roman"/>
          <w:b/>
          <w:sz w:val="32"/>
          <w:szCs w:val="32"/>
        </w:rPr>
        <w:t>（二）一般公共预算财政拨款支出决算结构情况</w:t>
      </w:r>
      <w:bookmarkEnd w:id="23"/>
    </w:p>
    <w:p>
      <w:pPr>
        <w:spacing w:line="600" w:lineRule="exact"/>
        <w:ind w:firstLine="64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rPr>
        <w:t>2024年度一般公共预算财政拨款支出271.38万元，主要用于以下方面：</w:t>
      </w:r>
      <w:r>
        <w:rPr>
          <w:rFonts w:hint="default" w:ascii="Times New Roman" w:hAnsi="Times New Roman" w:eastAsia="仿宋_GB2312" w:cs="Times New Roman"/>
          <w:sz w:val="32"/>
          <w:szCs w:val="32"/>
          <w:lang w:bidi="ar-SA"/>
        </w:rPr>
        <w:t>社会保障和就业支出</w:t>
      </w:r>
      <w:r>
        <w:rPr>
          <w:rFonts w:hint="default" w:ascii="Times New Roman" w:hAnsi="Times New Roman" w:eastAsia="仿宋_GB2312" w:cs="Times New Roman"/>
          <w:sz w:val="32"/>
          <w:szCs w:val="32"/>
          <w:lang w:val="en-US" w:eastAsia="zh-CN" w:bidi="ar-SA"/>
        </w:rPr>
        <w:t>30.23</w:t>
      </w:r>
      <w:r>
        <w:rPr>
          <w:rFonts w:hint="default" w:ascii="Times New Roman" w:hAnsi="Times New Roman" w:eastAsia="仿宋_GB2312" w:cs="Times New Roman"/>
          <w:sz w:val="32"/>
          <w:szCs w:val="32"/>
          <w:lang w:bidi="ar-SA"/>
        </w:rPr>
        <w:t>万元，占</w:t>
      </w:r>
      <w:r>
        <w:rPr>
          <w:rFonts w:hint="default" w:ascii="Times New Roman" w:hAnsi="Times New Roman" w:eastAsia="仿宋_GB2312" w:cs="Times New Roman"/>
          <w:sz w:val="32"/>
          <w:szCs w:val="32"/>
          <w:lang w:val="en-US" w:eastAsia="zh-CN" w:bidi="ar-SA"/>
        </w:rPr>
        <w:t>11.14</w:t>
      </w:r>
      <w:r>
        <w:rPr>
          <w:rFonts w:hint="default" w:ascii="Times New Roman" w:hAnsi="Times New Roman" w:eastAsia="仿宋_GB2312" w:cs="Times New Roman"/>
          <w:sz w:val="32"/>
          <w:szCs w:val="32"/>
          <w:lang w:bidi="ar-SA"/>
        </w:rPr>
        <w:t>%；</w:t>
      </w:r>
      <w:r>
        <w:rPr>
          <w:rFonts w:hint="default" w:ascii="Times New Roman" w:hAnsi="Times New Roman" w:eastAsia="仿宋" w:cs="Times New Roman"/>
          <w:sz w:val="32"/>
          <w:szCs w:val="32"/>
          <w:lang w:bidi="ar-SA"/>
        </w:rPr>
        <w:t>卫生健康支出</w:t>
      </w:r>
      <w:r>
        <w:rPr>
          <w:rFonts w:hint="default" w:ascii="Times New Roman" w:hAnsi="Times New Roman" w:eastAsia="仿宋" w:cs="Times New Roman"/>
          <w:sz w:val="32"/>
          <w:szCs w:val="32"/>
          <w:lang w:val="en-US" w:eastAsia="zh-CN" w:bidi="ar-SA"/>
        </w:rPr>
        <w:t>19.84</w:t>
      </w:r>
      <w:r>
        <w:rPr>
          <w:rFonts w:hint="default" w:ascii="Times New Roman" w:hAnsi="Times New Roman" w:eastAsia="仿宋" w:cs="Times New Roman"/>
          <w:sz w:val="32"/>
          <w:szCs w:val="32"/>
          <w:lang w:bidi="ar-SA"/>
        </w:rPr>
        <w:t>万元，占</w:t>
      </w:r>
      <w:r>
        <w:rPr>
          <w:rFonts w:hint="default" w:ascii="Times New Roman" w:hAnsi="Times New Roman" w:eastAsia="仿宋" w:cs="Times New Roman"/>
          <w:sz w:val="32"/>
          <w:szCs w:val="32"/>
          <w:lang w:val="en-US" w:eastAsia="zh-CN" w:bidi="ar-SA"/>
        </w:rPr>
        <w:t>7.31</w:t>
      </w:r>
      <w:r>
        <w:rPr>
          <w:rFonts w:hint="default" w:ascii="Times New Roman" w:hAnsi="Times New Roman" w:eastAsia="仿宋" w:cs="Times New Roman"/>
          <w:sz w:val="32"/>
          <w:szCs w:val="32"/>
          <w:lang w:bidi="ar-SA"/>
        </w:rPr>
        <w:t>%；</w:t>
      </w:r>
      <w:r>
        <w:rPr>
          <w:rFonts w:hint="default" w:ascii="Times New Roman" w:hAnsi="Times New Roman" w:eastAsia="仿宋_GB2312" w:cs="Times New Roman"/>
          <w:sz w:val="32"/>
          <w:szCs w:val="32"/>
          <w:lang w:eastAsia="zh-CN" w:bidi="ar-SA"/>
        </w:rPr>
        <w:t>节能环保</w:t>
      </w:r>
      <w:r>
        <w:rPr>
          <w:rFonts w:hint="default" w:ascii="Times New Roman" w:hAnsi="Times New Roman" w:eastAsia="仿宋_GB2312" w:cs="Times New Roman"/>
          <w:sz w:val="32"/>
          <w:szCs w:val="32"/>
          <w:lang w:bidi="ar-SA"/>
        </w:rPr>
        <w:t>支出</w:t>
      </w:r>
      <w:r>
        <w:rPr>
          <w:rFonts w:hint="default" w:ascii="Times New Roman" w:hAnsi="Times New Roman" w:eastAsia="仿宋_GB2312" w:cs="Times New Roman"/>
          <w:sz w:val="32"/>
          <w:szCs w:val="32"/>
          <w:lang w:val="en-US" w:eastAsia="zh-CN" w:bidi="ar-SA"/>
        </w:rPr>
        <w:t>196.79</w:t>
      </w:r>
      <w:r>
        <w:rPr>
          <w:rFonts w:hint="default" w:ascii="Times New Roman" w:hAnsi="Times New Roman" w:eastAsia="仿宋_GB2312" w:cs="Times New Roman"/>
          <w:sz w:val="32"/>
          <w:szCs w:val="32"/>
          <w:lang w:bidi="ar-SA"/>
        </w:rPr>
        <w:t>万元，占</w:t>
      </w:r>
      <w:r>
        <w:rPr>
          <w:rFonts w:hint="default" w:ascii="Times New Roman" w:hAnsi="Times New Roman" w:eastAsia="仿宋_GB2312" w:cs="Times New Roman"/>
          <w:sz w:val="32"/>
          <w:szCs w:val="32"/>
          <w:lang w:val="en-US" w:eastAsia="zh-CN" w:bidi="ar-SA"/>
        </w:rPr>
        <w:t>72.51</w:t>
      </w:r>
      <w:r>
        <w:rPr>
          <w:rFonts w:hint="default" w:ascii="Times New Roman" w:hAnsi="Times New Roman" w:eastAsia="仿宋_GB2312" w:cs="Times New Roman"/>
          <w:sz w:val="32"/>
          <w:szCs w:val="32"/>
          <w:lang w:bidi="ar-SA"/>
        </w:rPr>
        <w:t>%；住房保障支出</w:t>
      </w:r>
      <w:r>
        <w:rPr>
          <w:rFonts w:hint="default" w:ascii="Times New Roman" w:hAnsi="Times New Roman" w:eastAsia="仿宋_GB2312" w:cs="Times New Roman"/>
          <w:sz w:val="32"/>
          <w:szCs w:val="32"/>
          <w:lang w:val="en-US" w:eastAsia="zh-CN" w:bidi="ar-SA"/>
        </w:rPr>
        <w:t>24.52</w:t>
      </w:r>
      <w:r>
        <w:rPr>
          <w:rFonts w:hint="default" w:ascii="Times New Roman" w:hAnsi="Times New Roman" w:eastAsia="仿宋_GB2312" w:cs="Times New Roman"/>
          <w:sz w:val="32"/>
          <w:szCs w:val="32"/>
          <w:lang w:bidi="ar-SA"/>
        </w:rPr>
        <w:t>万元，占</w:t>
      </w:r>
      <w:r>
        <w:rPr>
          <w:rFonts w:hint="default" w:ascii="Times New Roman" w:hAnsi="Times New Roman" w:eastAsia="仿宋_GB2312" w:cs="Times New Roman"/>
          <w:sz w:val="32"/>
          <w:szCs w:val="32"/>
          <w:lang w:val="en-US" w:eastAsia="zh-CN" w:bidi="ar-SA"/>
        </w:rPr>
        <w:t>9.04</w:t>
      </w:r>
      <w:r>
        <w:rPr>
          <w:rFonts w:hint="default" w:ascii="Times New Roman" w:hAnsi="Times New Roman" w:eastAsia="仿宋_GB2312" w:cs="Times New Roman"/>
          <w:sz w:val="32"/>
          <w:szCs w:val="32"/>
          <w:lang w:bidi="ar-SA"/>
        </w:rPr>
        <w:t>%。</w:t>
      </w:r>
    </w:p>
    <w:p>
      <w:pPr>
        <w:pStyle w:val="2"/>
        <w:rPr>
          <w:rFonts w:hint="default" w:ascii="Times New Roman" w:hAnsi="Times New Roman" w:cs="Times New Roman"/>
        </w:rPr>
      </w:pPr>
      <w:r>
        <w:rPr>
          <w:rFonts w:hint="default" w:ascii="Times New Roman" w:hAnsi="Times New Roman" w:cs="Times New Roman"/>
        </w:rPr>
        <w:drawing>
          <wp:inline distT="0" distB="0" distL="84455" distR="84455">
            <wp:extent cx="4580890" cy="2752090"/>
            <wp:effectExtent l="0" t="0" r="7" b="21"/>
            <wp:docPr id="2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pic:cNvPicPr>
                      <a:picLocks noChangeAspect="1"/>
                    </pic:cNvPicPr>
                  </pic:nvPicPr>
                  <pic:blipFill>
                    <a:blip r:embed="rId14"/>
                    <a:stretch>
                      <a:fillRect/>
                    </a:stretch>
                  </pic:blipFill>
                  <pic:spPr>
                    <a:xfrm>
                      <a:off x="0" y="0"/>
                      <a:ext cx="4580890" cy="2752090"/>
                    </a:xfrm>
                    <a:prstGeom prst="rect">
                      <a:avLst/>
                    </a:prstGeom>
                    <a:noFill/>
                    <a:ln w="9525" cap="flat" cmpd="sng">
                      <a:noFill/>
                      <a:prstDash val="solid"/>
                      <a:miter/>
                    </a:ln>
                  </pic:spPr>
                </pic:pic>
              </a:graphicData>
            </a:graphic>
          </wp:inline>
        </w:drawing>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图6：一般公共预算财政拨款支出决算结构（单位：万元）</w:t>
      </w:r>
    </w:p>
    <w:p>
      <w:pPr>
        <w:spacing w:line="600" w:lineRule="exact"/>
        <w:ind w:firstLine="643" w:firstLineChars="200"/>
        <w:outlineLvl w:val="2"/>
        <w:rPr>
          <w:rFonts w:hint="default" w:ascii="Times New Roman" w:hAnsi="Times New Roman" w:eastAsia="楷体_GB2312" w:cs="Times New Roman"/>
          <w:b/>
          <w:sz w:val="32"/>
          <w:szCs w:val="32"/>
        </w:rPr>
      </w:pPr>
      <w:bookmarkStart w:id="24" w:name="_Toc15377212"/>
      <w:r>
        <w:rPr>
          <w:rFonts w:hint="default" w:ascii="Times New Roman" w:hAnsi="Times New Roman" w:eastAsia="楷体_GB2312" w:cs="Times New Roman"/>
          <w:b/>
          <w:sz w:val="32"/>
          <w:szCs w:val="32"/>
        </w:rPr>
        <w:t>（三）一般公共预算财政拨款支出决算具体情况</w:t>
      </w:r>
      <w:bookmarkEnd w:id="24"/>
    </w:p>
    <w:p>
      <w:pPr>
        <w:spacing w:line="600" w:lineRule="exact"/>
        <w:ind w:firstLine="640"/>
        <w:rPr>
          <w:rFonts w:hint="default" w:ascii="Times New Roman" w:hAnsi="Times New Roman" w:eastAsia="仿宋_GB2312" w:cs="Times New Roman"/>
          <w:sz w:val="32"/>
          <w:szCs w:val="32"/>
        </w:rPr>
      </w:pPr>
      <w:bookmarkStart w:id="25" w:name="_Toc15377444"/>
      <w:bookmarkStart w:id="26" w:name="_Toc15378460"/>
      <w:bookmarkStart w:id="27" w:name="_Toc15377213"/>
      <w:r>
        <w:rPr>
          <w:rFonts w:hint="default" w:ascii="Times New Roman" w:hAnsi="Times New Roman" w:eastAsia="仿宋_GB2312" w:cs="Times New Roman"/>
          <w:sz w:val="32"/>
          <w:szCs w:val="32"/>
        </w:rPr>
        <w:t>2024年度一般公共预算财政拨款支出决算数为271.38</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，完成预算100%。其中：</w:t>
      </w:r>
      <w:bookmarkEnd w:id="25"/>
      <w:bookmarkEnd w:id="26"/>
      <w:bookmarkEnd w:id="27"/>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bidi w:val="0"/>
        <w:spacing w:line="600" w:lineRule="exact"/>
        <w:ind w:firstLine="640"/>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bidi="ar-SA"/>
        </w:rPr>
        <w:t>1.社会保障和就业（类）行政事业单位养老支出（款）行政单位离退休（项）: 支出决算为</w:t>
      </w:r>
      <w:r>
        <w:rPr>
          <w:rFonts w:hint="default" w:ascii="Times New Roman" w:hAnsi="Times New Roman" w:eastAsia="仿宋_GB2312" w:cs="Times New Roman"/>
          <w:color w:val="auto"/>
          <w:sz w:val="32"/>
          <w:szCs w:val="32"/>
          <w:lang w:val="en-US" w:eastAsia="zh-CN" w:bidi="ar-SA"/>
        </w:rPr>
        <w:t>0.12</w:t>
      </w:r>
      <w:r>
        <w:rPr>
          <w:rFonts w:hint="default" w:ascii="Times New Roman" w:hAnsi="Times New Roman" w:eastAsia="仿宋_GB2312" w:cs="Times New Roman"/>
          <w:color w:val="auto"/>
          <w:sz w:val="32"/>
          <w:szCs w:val="32"/>
          <w:lang w:bidi="ar-SA"/>
        </w:rPr>
        <w:t>万元，完成预算100%，决算与预算数持平。</w:t>
      </w:r>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bidi w:val="0"/>
        <w:spacing w:line="600" w:lineRule="exact"/>
        <w:ind w:firstLine="64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val="en-US" w:eastAsia="zh-CN" w:bidi="ar-SA"/>
        </w:rPr>
        <w:t>2</w:t>
      </w:r>
      <w:r>
        <w:rPr>
          <w:rFonts w:hint="default" w:ascii="Times New Roman" w:hAnsi="Times New Roman" w:eastAsia="仿宋_GB2312" w:cs="Times New Roman"/>
          <w:sz w:val="32"/>
          <w:szCs w:val="32"/>
          <w:lang w:bidi="ar-SA"/>
        </w:rPr>
        <w:t>.社会保障和就业（类）行政事业单位养老支出（款）机关事业单位基本养老保险缴费支出（项）: 支出决算为</w:t>
      </w:r>
      <w:r>
        <w:rPr>
          <w:rFonts w:hint="default" w:ascii="Times New Roman" w:hAnsi="Times New Roman" w:eastAsia="仿宋_GB2312" w:cs="Times New Roman"/>
          <w:sz w:val="32"/>
          <w:szCs w:val="32"/>
          <w:lang w:val="en-US" w:eastAsia="zh-CN" w:bidi="ar-SA"/>
        </w:rPr>
        <w:t>30.11</w:t>
      </w:r>
      <w:r>
        <w:rPr>
          <w:rFonts w:hint="default" w:ascii="Times New Roman" w:hAnsi="Times New Roman" w:eastAsia="仿宋_GB2312" w:cs="Times New Roman"/>
          <w:sz w:val="32"/>
          <w:szCs w:val="32"/>
          <w:lang w:bidi="ar-SA"/>
        </w:rPr>
        <w:t>万元，完成预算100%，决算与预算数持平。</w:t>
      </w:r>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bidi w:val="0"/>
        <w:spacing w:line="600" w:lineRule="exact"/>
        <w:ind w:firstLine="64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val="en-US" w:eastAsia="zh-CN" w:bidi="ar-SA"/>
        </w:rPr>
        <w:t>3</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32"/>
          <w:szCs w:val="32"/>
          <w:lang w:eastAsia="zh-CN" w:bidi="ar-SA"/>
        </w:rPr>
        <w:t>卫生健康</w:t>
      </w:r>
      <w:r>
        <w:rPr>
          <w:rFonts w:hint="default" w:ascii="Times New Roman" w:hAnsi="Times New Roman" w:eastAsia="仿宋_GB2312" w:cs="Times New Roman"/>
          <w:sz w:val="32"/>
          <w:szCs w:val="32"/>
          <w:lang w:bidi="ar-SA"/>
        </w:rPr>
        <w:t>（类）</w:t>
      </w:r>
      <w:r>
        <w:rPr>
          <w:rFonts w:hint="default" w:ascii="Times New Roman" w:hAnsi="Times New Roman" w:eastAsia="仿宋_GB2312" w:cs="Times New Roman"/>
          <w:sz w:val="32"/>
          <w:szCs w:val="32"/>
          <w:lang w:eastAsia="zh-CN" w:bidi="ar-SA"/>
        </w:rPr>
        <w:t>行政事业单位医疗</w:t>
      </w:r>
      <w:r>
        <w:rPr>
          <w:rFonts w:hint="default" w:ascii="Times New Roman" w:hAnsi="Times New Roman" w:eastAsia="仿宋_GB2312" w:cs="Times New Roman"/>
          <w:sz w:val="32"/>
          <w:szCs w:val="32"/>
          <w:lang w:bidi="ar-SA"/>
        </w:rPr>
        <w:t>（款）</w:t>
      </w:r>
      <w:r>
        <w:rPr>
          <w:rFonts w:hint="default" w:ascii="Times New Roman" w:hAnsi="Times New Roman" w:eastAsia="仿宋_GB2312" w:cs="Times New Roman"/>
          <w:sz w:val="32"/>
          <w:szCs w:val="32"/>
          <w:lang w:eastAsia="zh-CN" w:bidi="ar-SA"/>
        </w:rPr>
        <w:t>行政单位医疗</w:t>
      </w:r>
      <w:r>
        <w:rPr>
          <w:rFonts w:hint="default" w:ascii="Times New Roman" w:hAnsi="Times New Roman" w:eastAsia="仿宋_GB2312" w:cs="Times New Roman"/>
          <w:sz w:val="32"/>
          <w:szCs w:val="32"/>
          <w:lang w:bidi="ar-SA"/>
        </w:rPr>
        <w:t>（项）: 支出决算为</w:t>
      </w:r>
      <w:r>
        <w:rPr>
          <w:rFonts w:hint="default" w:ascii="Times New Roman" w:hAnsi="Times New Roman" w:eastAsia="仿宋_GB2312" w:cs="Times New Roman"/>
          <w:sz w:val="32"/>
          <w:szCs w:val="32"/>
          <w:lang w:val="en-US" w:eastAsia="zh-CN" w:bidi="ar-SA"/>
        </w:rPr>
        <w:t>15.74</w:t>
      </w:r>
      <w:r>
        <w:rPr>
          <w:rFonts w:hint="default" w:ascii="Times New Roman" w:hAnsi="Times New Roman" w:eastAsia="仿宋_GB2312" w:cs="Times New Roman"/>
          <w:sz w:val="32"/>
          <w:szCs w:val="32"/>
          <w:lang w:bidi="ar-SA"/>
        </w:rPr>
        <w:t>万元，完成预算100%</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决算</w:t>
      </w:r>
      <w:r>
        <w:rPr>
          <w:rFonts w:hint="default" w:ascii="Times New Roman" w:hAnsi="Times New Roman" w:eastAsia="仿宋_GB2312" w:cs="Times New Roman"/>
          <w:sz w:val="32"/>
          <w:szCs w:val="32"/>
          <w:lang w:eastAsia="zh-CN" w:bidi="ar-SA"/>
        </w:rPr>
        <w:t>数</w:t>
      </w:r>
      <w:r>
        <w:rPr>
          <w:rFonts w:hint="default" w:ascii="Times New Roman" w:hAnsi="Times New Roman" w:eastAsia="仿宋_GB2312" w:cs="Times New Roman"/>
          <w:sz w:val="32"/>
          <w:szCs w:val="32"/>
          <w:lang w:bidi="ar-SA"/>
        </w:rPr>
        <w:t>与预算数持平。</w:t>
      </w:r>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32"/>
          <w:szCs w:val="32"/>
          <w:lang w:eastAsia="zh-CN" w:bidi="ar-SA"/>
        </w:rPr>
        <w:t>卫生健康</w:t>
      </w:r>
      <w:r>
        <w:rPr>
          <w:rFonts w:hint="default" w:ascii="Times New Roman" w:hAnsi="Times New Roman" w:eastAsia="仿宋_GB2312" w:cs="Times New Roman"/>
          <w:sz w:val="32"/>
          <w:szCs w:val="32"/>
          <w:lang w:bidi="ar-SA"/>
        </w:rPr>
        <w:t>（类）</w:t>
      </w:r>
      <w:r>
        <w:rPr>
          <w:rFonts w:hint="default" w:ascii="Times New Roman" w:hAnsi="Times New Roman" w:eastAsia="仿宋_GB2312" w:cs="Times New Roman"/>
          <w:sz w:val="32"/>
          <w:szCs w:val="32"/>
          <w:lang w:eastAsia="zh-CN" w:bidi="ar-SA"/>
        </w:rPr>
        <w:t>行政事业单位医疗</w:t>
      </w:r>
      <w:r>
        <w:rPr>
          <w:rFonts w:hint="default" w:ascii="Times New Roman" w:hAnsi="Times New Roman" w:eastAsia="仿宋_GB2312" w:cs="Times New Roman"/>
          <w:sz w:val="32"/>
          <w:szCs w:val="32"/>
          <w:lang w:bidi="ar-SA"/>
        </w:rPr>
        <w:t>（款）</w:t>
      </w:r>
      <w:r>
        <w:rPr>
          <w:rFonts w:hint="default" w:ascii="Times New Roman" w:hAnsi="Times New Roman" w:eastAsia="仿宋_GB2312" w:cs="Times New Roman"/>
          <w:sz w:val="32"/>
          <w:szCs w:val="32"/>
          <w:lang w:eastAsia="zh-CN" w:bidi="ar-SA"/>
        </w:rPr>
        <w:t>公务员医疗补助</w:t>
      </w:r>
      <w:r>
        <w:rPr>
          <w:rFonts w:hint="default" w:ascii="Times New Roman" w:hAnsi="Times New Roman" w:eastAsia="仿宋_GB2312" w:cs="Times New Roman"/>
          <w:sz w:val="32"/>
          <w:szCs w:val="32"/>
          <w:lang w:bidi="ar-SA"/>
        </w:rPr>
        <w:t>（项）: 支出决算为</w:t>
      </w:r>
      <w:r>
        <w:rPr>
          <w:rFonts w:hint="default" w:ascii="Times New Roman" w:hAnsi="Times New Roman" w:eastAsia="仿宋_GB2312" w:cs="Times New Roman"/>
          <w:sz w:val="32"/>
          <w:szCs w:val="32"/>
          <w:lang w:val="en-US" w:eastAsia="zh-CN" w:bidi="ar-SA"/>
        </w:rPr>
        <w:t>4.10</w:t>
      </w:r>
      <w:r>
        <w:rPr>
          <w:rFonts w:hint="default" w:ascii="Times New Roman" w:hAnsi="Times New Roman" w:eastAsia="仿宋_GB2312" w:cs="Times New Roman"/>
          <w:sz w:val="32"/>
          <w:szCs w:val="32"/>
          <w:lang w:bidi="ar-SA"/>
        </w:rPr>
        <w:t>万元，完成预算100%</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决算</w:t>
      </w:r>
      <w:r>
        <w:rPr>
          <w:rFonts w:hint="default" w:ascii="Times New Roman" w:hAnsi="Times New Roman" w:eastAsia="仿宋_GB2312" w:cs="Times New Roman"/>
          <w:sz w:val="32"/>
          <w:szCs w:val="32"/>
          <w:lang w:eastAsia="zh-CN" w:bidi="ar-SA"/>
        </w:rPr>
        <w:t>数</w:t>
      </w:r>
      <w:r>
        <w:rPr>
          <w:rFonts w:hint="default" w:ascii="Times New Roman" w:hAnsi="Times New Roman" w:eastAsia="仿宋_GB2312" w:cs="Times New Roman"/>
          <w:sz w:val="32"/>
          <w:szCs w:val="32"/>
          <w:lang w:bidi="ar-SA"/>
        </w:rPr>
        <w:t>与预算数持平。</w:t>
      </w:r>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bidi w:val="0"/>
        <w:spacing w:line="600" w:lineRule="exact"/>
        <w:ind w:firstLine="640"/>
        <w:rPr>
          <w:rFonts w:hint="default" w:ascii="Times New Roman" w:hAnsi="Times New Roman" w:eastAsia="仿宋_GB2312" w:cs="Times New Roman"/>
          <w:sz w:val="32"/>
          <w:szCs w:val="32"/>
          <w:lang w:eastAsia="zh-CN" w:bidi="ar-SA"/>
        </w:rPr>
      </w:pPr>
      <w:r>
        <w:rPr>
          <w:rFonts w:hint="default"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bidi="ar-SA"/>
        </w:rPr>
        <w:t>.节能环保支出（类）环境保护管理事务（款）行政运行（项）: 支出决算为</w:t>
      </w:r>
      <w:r>
        <w:rPr>
          <w:rFonts w:hint="default" w:ascii="Times New Roman" w:hAnsi="Times New Roman" w:eastAsia="仿宋_GB2312" w:cs="Times New Roman"/>
          <w:sz w:val="32"/>
          <w:szCs w:val="32"/>
          <w:lang w:val="en-US" w:eastAsia="zh-CN" w:bidi="ar-SA"/>
        </w:rPr>
        <w:t>172.11</w:t>
      </w:r>
      <w:r>
        <w:rPr>
          <w:rFonts w:hint="default" w:ascii="Times New Roman" w:hAnsi="Times New Roman" w:eastAsia="仿宋_GB2312" w:cs="Times New Roman"/>
          <w:sz w:val="32"/>
          <w:szCs w:val="32"/>
          <w:lang w:bidi="ar-SA"/>
        </w:rPr>
        <w:t>万元，完成预算100%</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决算</w:t>
      </w:r>
      <w:r>
        <w:rPr>
          <w:rFonts w:hint="default" w:ascii="Times New Roman" w:hAnsi="Times New Roman" w:eastAsia="仿宋_GB2312" w:cs="Times New Roman"/>
          <w:sz w:val="32"/>
          <w:szCs w:val="32"/>
          <w:lang w:eastAsia="zh-CN" w:bidi="ar-SA"/>
        </w:rPr>
        <w:t>数</w:t>
      </w:r>
      <w:r>
        <w:rPr>
          <w:rFonts w:hint="default" w:ascii="Times New Roman" w:hAnsi="Times New Roman" w:eastAsia="仿宋_GB2312" w:cs="Times New Roman"/>
          <w:sz w:val="32"/>
          <w:szCs w:val="32"/>
          <w:lang w:bidi="ar-SA"/>
        </w:rPr>
        <w:t>与预算数持平。</w:t>
      </w:r>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bidi w:val="0"/>
        <w:spacing w:line="600" w:lineRule="exact"/>
        <w:ind w:firstLine="640"/>
        <w:rPr>
          <w:rFonts w:hint="default" w:ascii="Times New Roman" w:hAnsi="Times New Roman" w:eastAsia="仿宋_GB2312" w:cs="Times New Roman"/>
          <w:sz w:val="32"/>
          <w:szCs w:val="32"/>
          <w:lang w:eastAsia="zh-CN" w:bidi="ar-SA"/>
        </w:rPr>
      </w:pPr>
      <w:r>
        <w:rPr>
          <w:rFonts w:hint="default" w:ascii="Times New Roman" w:hAnsi="Times New Roman" w:eastAsia="仿宋_GB2312" w:cs="Times New Roman"/>
          <w:sz w:val="32"/>
          <w:szCs w:val="32"/>
          <w:lang w:val="en-US" w:eastAsia="zh-CN" w:bidi="ar-SA"/>
        </w:rPr>
        <w:t>6</w:t>
      </w:r>
      <w:r>
        <w:rPr>
          <w:rFonts w:hint="default" w:ascii="Times New Roman" w:hAnsi="Times New Roman" w:eastAsia="仿宋_GB2312" w:cs="Times New Roman"/>
          <w:sz w:val="32"/>
          <w:szCs w:val="32"/>
          <w:lang w:bidi="ar-SA"/>
        </w:rPr>
        <w:t>.节能环保支出（类）</w:t>
      </w:r>
      <w:r>
        <w:rPr>
          <w:rFonts w:hint="default" w:ascii="Times New Roman" w:hAnsi="Times New Roman" w:eastAsia="仿宋_GB2312" w:cs="Times New Roman"/>
          <w:sz w:val="32"/>
          <w:szCs w:val="32"/>
          <w:lang w:eastAsia="zh-CN" w:bidi="ar-SA"/>
        </w:rPr>
        <w:t>其他节能环保支出</w:t>
      </w:r>
      <w:r>
        <w:rPr>
          <w:rFonts w:hint="default" w:ascii="Times New Roman" w:hAnsi="Times New Roman" w:eastAsia="仿宋_GB2312" w:cs="Times New Roman"/>
          <w:sz w:val="32"/>
          <w:szCs w:val="32"/>
          <w:lang w:bidi="ar-SA"/>
        </w:rPr>
        <w:t>（款）</w:t>
      </w:r>
      <w:r>
        <w:rPr>
          <w:rFonts w:hint="default" w:ascii="Times New Roman" w:hAnsi="Times New Roman" w:eastAsia="仿宋_GB2312" w:cs="Times New Roman"/>
          <w:sz w:val="32"/>
          <w:szCs w:val="32"/>
          <w:lang w:eastAsia="zh-CN" w:bidi="ar-SA"/>
        </w:rPr>
        <w:t>其他节能环保支出</w:t>
      </w:r>
      <w:r>
        <w:rPr>
          <w:rFonts w:hint="default" w:ascii="Times New Roman" w:hAnsi="Times New Roman" w:eastAsia="仿宋_GB2312" w:cs="Times New Roman"/>
          <w:sz w:val="32"/>
          <w:szCs w:val="32"/>
          <w:lang w:bidi="ar-SA"/>
        </w:rPr>
        <w:t>（项）: 支出决算为</w:t>
      </w:r>
      <w:r>
        <w:rPr>
          <w:rFonts w:hint="default" w:ascii="Times New Roman" w:hAnsi="Times New Roman" w:eastAsia="仿宋_GB2312" w:cs="Times New Roman"/>
          <w:sz w:val="32"/>
          <w:szCs w:val="32"/>
          <w:lang w:val="en-US" w:eastAsia="zh-CN" w:bidi="ar-SA"/>
        </w:rPr>
        <w:t>24.68</w:t>
      </w:r>
      <w:r>
        <w:rPr>
          <w:rFonts w:hint="default" w:ascii="Times New Roman" w:hAnsi="Times New Roman" w:eastAsia="仿宋_GB2312" w:cs="Times New Roman"/>
          <w:sz w:val="32"/>
          <w:szCs w:val="32"/>
          <w:lang w:bidi="ar-SA"/>
        </w:rPr>
        <w:t>万元，完成预算100%</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决算</w:t>
      </w:r>
      <w:r>
        <w:rPr>
          <w:rFonts w:hint="default" w:ascii="Times New Roman" w:hAnsi="Times New Roman" w:eastAsia="仿宋_GB2312" w:cs="Times New Roman"/>
          <w:sz w:val="32"/>
          <w:szCs w:val="32"/>
          <w:lang w:eastAsia="zh-CN" w:bidi="ar-SA"/>
        </w:rPr>
        <w:t>数</w:t>
      </w:r>
      <w:r>
        <w:rPr>
          <w:rFonts w:hint="default" w:ascii="Times New Roman" w:hAnsi="Times New Roman" w:eastAsia="仿宋_GB2312" w:cs="Times New Roman"/>
          <w:sz w:val="32"/>
          <w:szCs w:val="32"/>
          <w:lang w:bidi="ar-SA"/>
        </w:rPr>
        <w:t>与预算数持平。</w:t>
      </w:r>
    </w:p>
    <w:p>
      <w:pPr>
        <w:pageBreakBefore w:val="0"/>
        <w:widowControl w:val="0"/>
        <w:pBdr>
          <w:top w:val="none" w:color="auto" w:sz="0" w:space="0"/>
          <w:left w:val="none" w:color="auto" w:sz="0" w:space="0"/>
          <w:bottom w:val="none" w:color="auto" w:sz="0" w:space="0"/>
          <w:right w:val="none" w:color="auto" w:sz="0" w:space="0"/>
        </w:pBdr>
        <w:suppressAutoHyphens/>
        <w:kinsoku/>
        <w:wordWrap/>
        <w:overflowPunct/>
        <w:topLinePunct w:val="0"/>
        <w:bidi w:val="0"/>
        <w:spacing w:line="600" w:lineRule="exact"/>
        <w:ind w:firstLine="640"/>
        <w:rPr>
          <w:rFonts w:hint="default" w:ascii="Times New Roman" w:hAnsi="Times New Roman" w:eastAsia="仿宋_GB2312" w:cs="Times New Roman"/>
          <w:b/>
          <w:sz w:val="32"/>
          <w:szCs w:val="32"/>
          <w:highlight w:val="none"/>
          <w:lang w:bidi="ar-SA"/>
        </w:rPr>
      </w:pPr>
      <w:r>
        <w:rPr>
          <w:rFonts w:hint="default" w:ascii="Times New Roman" w:hAnsi="Times New Roman" w:eastAsia="仿宋_GB2312" w:cs="Times New Roman"/>
          <w:sz w:val="32"/>
          <w:szCs w:val="32"/>
          <w:lang w:val="en-US" w:eastAsia="zh-CN" w:bidi="ar-SA"/>
        </w:rPr>
        <w:t>7</w:t>
      </w:r>
      <w:r>
        <w:rPr>
          <w:rFonts w:hint="default" w:ascii="Times New Roman" w:hAnsi="Times New Roman" w:eastAsia="仿宋_GB2312" w:cs="Times New Roman"/>
          <w:sz w:val="32"/>
          <w:szCs w:val="32"/>
          <w:lang w:bidi="ar-SA"/>
        </w:rPr>
        <w:t>.住房保障支出（类）住房保障支出（款）住房公积金（项）: 支出决算为24.52万元，完成预算100%，决算</w:t>
      </w:r>
      <w:r>
        <w:rPr>
          <w:rFonts w:hint="default" w:ascii="Times New Roman" w:hAnsi="Times New Roman" w:eastAsia="仿宋_GB2312" w:cs="Times New Roman"/>
          <w:sz w:val="32"/>
          <w:szCs w:val="32"/>
          <w:lang w:eastAsia="zh-CN" w:bidi="ar-SA"/>
        </w:rPr>
        <w:t>数</w:t>
      </w:r>
      <w:r>
        <w:rPr>
          <w:rFonts w:hint="default" w:ascii="Times New Roman" w:hAnsi="Times New Roman" w:eastAsia="仿宋_GB2312" w:cs="Times New Roman"/>
          <w:sz w:val="32"/>
          <w:szCs w:val="32"/>
          <w:lang w:bidi="ar-SA"/>
        </w:rPr>
        <w:t>与预算数持平。</w:t>
      </w:r>
    </w:p>
    <w:p>
      <w:pPr>
        <w:tabs>
          <w:tab w:val="right" w:pos="8306"/>
        </w:tabs>
        <w:spacing w:line="600" w:lineRule="exact"/>
        <w:ind w:firstLine="640"/>
        <w:outlineLvl w:val="1"/>
        <w:rPr>
          <w:rStyle w:val="23"/>
          <w:rFonts w:hint="default" w:ascii="Times New Roman" w:hAnsi="Times New Roman" w:cs="Times New Roman"/>
        </w:rPr>
      </w:pPr>
      <w:bookmarkStart w:id="28" w:name="_Toc15377214"/>
      <w:bookmarkStart w:id="29"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3"/>
          <w:rFonts w:hint="default" w:ascii="Times New Roman" w:hAnsi="Times New Roman" w:eastAsia="黑体" w:cs="Times New Roman"/>
          <w:b w:val="0"/>
        </w:rPr>
        <w:t>般公共预算财政拨款基本支出决算情况说明</w:t>
      </w:r>
      <w:bookmarkEnd w:id="28"/>
      <w:bookmarkEnd w:id="29"/>
      <w:r>
        <w:rPr>
          <w:rStyle w:val="23"/>
          <w:rFonts w:hint="default" w:ascii="Times New Roman" w:hAnsi="Times New Roman" w:eastAsia="黑体" w:cs="Times New Roman"/>
          <w:b w:val="0"/>
        </w:rPr>
        <w:tab/>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2024年度一般公共预算财政拨款基本支出246.7万元，其中：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210.91万元，主要包括：基本工资、津贴补贴、奖金、机关事业单位基本养老保险缴费、职业年金缴费、其他社会保障缴费、退休费、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公用经费35.79万元，主要包括：办公费、水费、电费、邮电费、差旅费、公务接待费、工会经费、福利费、其他交通费、其他商品和服务支出。</w:t>
      </w:r>
    </w:p>
    <w:p>
      <w:pPr>
        <w:spacing w:line="600" w:lineRule="exact"/>
        <w:ind w:firstLine="640"/>
        <w:outlineLvl w:val="1"/>
        <w:rPr>
          <w:rStyle w:val="23"/>
          <w:rFonts w:hint="default" w:ascii="Times New Roman" w:hAnsi="Times New Roman" w:eastAsia="黑体" w:cs="Times New Roman"/>
          <w:b w:val="0"/>
        </w:rPr>
      </w:pPr>
      <w:bookmarkStart w:id="30" w:name="_Toc15377215"/>
      <w:bookmarkStart w:id="31" w:name="_Toc15396609"/>
      <w:r>
        <w:rPr>
          <w:rFonts w:hint="default" w:ascii="Times New Roman" w:hAnsi="Times New Roman" w:eastAsia="黑体" w:cs="Times New Roman"/>
          <w:sz w:val="32"/>
          <w:szCs w:val="32"/>
        </w:rPr>
        <w:t>七、</w:t>
      </w:r>
      <w:r>
        <w:rPr>
          <w:rStyle w:val="23"/>
          <w:rFonts w:hint="default" w:ascii="Times New Roman" w:hAnsi="Times New Roman" w:eastAsia="黑体" w:cs="Times New Roman"/>
          <w:b w:val="0"/>
        </w:rPr>
        <w:t>财政拨款</w:t>
      </w:r>
      <w:r>
        <w:rPr>
          <w:rStyle w:val="23"/>
          <w:rFonts w:hint="default" w:ascii="Times New Roman" w:hAnsi="Times New Roman" w:eastAsia="黑体" w:cs="Times New Roman"/>
        </w:rPr>
        <w:t>“</w:t>
      </w:r>
      <w:r>
        <w:rPr>
          <w:rStyle w:val="23"/>
          <w:rFonts w:hint="default" w:ascii="Times New Roman" w:hAnsi="Times New Roman" w:eastAsia="黑体" w:cs="Times New Roman"/>
          <w:b w:val="0"/>
        </w:rPr>
        <w:t>三公”经费支出决算情况说明</w:t>
      </w:r>
      <w:bookmarkEnd w:id="30"/>
      <w:bookmarkEnd w:id="31"/>
    </w:p>
    <w:p>
      <w:pPr>
        <w:spacing w:line="600" w:lineRule="exact"/>
        <w:ind w:firstLine="643" w:firstLineChars="200"/>
        <w:outlineLvl w:val="2"/>
        <w:rPr>
          <w:rFonts w:hint="default" w:ascii="Times New Roman" w:hAnsi="Times New Roman" w:eastAsia="楷体_GB2312" w:cs="Times New Roman"/>
          <w:b/>
          <w:sz w:val="32"/>
          <w:szCs w:val="32"/>
        </w:rPr>
      </w:pPr>
      <w:bookmarkStart w:id="32" w:name="_Toc15377216"/>
      <w:r>
        <w:rPr>
          <w:rFonts w:hint="default" w:ascii="Times New Roman" w:hAnsi="Times New Roman" w:eastAsia="楷体_GB2312" w:cs="Times New Roman"/>
          <w:b/>
          <w:sz w:val="32"/>
          <w:szCs w:val="32"/>
        </w:rPr>
        <w:t>（一）“三公”经费财政拨款支出决算总体情况说明</w:t>
      </w:r>
      <w:bookmarkEnd w:id="32"/>
    </w:p>
    <w:p>
      <w:pPr>
        <w:spacing w:line="600" w:lineRule="exact"/>
        <w:ind w:firstLine="64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rPr>
        <w:t>2024年度“三公”经费财政拨款支出决算为0.2万元，完成预算100%，较上年度减少0.32万元，下降61.54%。</w:t>
      </w:r>
      <w:r>
        <w:rPr>
          <w:rFonts w:hint="default" w:ascii="Times New Roman" w:hAnsi="Times New Roman" w:eastAsia="仿宋_GB2312" w:cs="Times New Roman"/>
          <w:sz w:val="32"/>
          <w:szCs w:val="32"/>
          <w:lang w:bidi="ar-SA"/>
        </w:rPr>
        <w:t>决算数</w:t>
      </w:r>
      <w:r>
        <w:rPr>
          <w:rFonts w:hint="default" w:ascii="Times New Roman" w:hAnsi="Times New Roman" w:eastAsia="仿宋_GB2312" w:cs="Times New Roman"/>
          <w:sz w:val="32"/>
          <w:szCs w:val="32"/>
          <w:lang w:eastAsia="zh-CN" w:bidi="ar-SA"/>
        </w:rPr>
        <w:t>与</w:t>
      </w:r>
      <w:r>
        <w:rPr>
          <w:rFonts w:hint="default" w:ascii="Times New Roman" w:hAnsi="Times New Roman" w:eastAsia="仿宋_GB2312" w:cs="Times New Roman"/>
          <w:sz w:val="32"/>
          <w:szCs w:val="32"/>
          <w:lang w:bidi="ar-SA"/>
        </w:rPr>
        <w:t>预算数持平。</w:t>
      </w:r>
    </w:p>
    <w:p>
      <w:pPr>
        <w:spacing w:line="600" w:lineRule="exact"/>
        <w:ind w:firstLine="643" w:firstLineChars="200"/>
        <w:outlineLvl w:val="2"/>
        <w:rPr>
          <w:rFonts w:hint="default" w:ascii="Times New Roman" w:hAnsi="Times New Roman" w:eastAsia="楷体_GB2312" w:cs="Times New Roman"/>
          <w:b/>
          <w:sz w:val="32"/>
          <w:szCs w:val="32"/>
        </w:rPr>
      </w:pPr>
      <w:bookmarkStart w:id="33" w:name="_Toc15377217"/>
      <w:r>
        <w:rPr>
          <w:rFonts w:hint="default" w:ascii="Times New Roman" w:hAnsi="Times New Roman" w:eastAsia="楷体_GB2312" w:cs="Times New Roman"/>
          <w:b/>
          <w:sz w:val="32"/>
          <w:szCs w:val="32"/>
        </w:rPr>
        <w:t>（二）“三公”经费财政拨款支出决算具体情况说明</w:t>
      </w:r>
      <w:bookmarkEnd w:id="3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2024年度“三公”经费财政拨款支出决算中，因公出国（境）费支出决算0万元，占0%；公务用车购置及运行维护费支出决算0万元，占0%；公务接待费支出决算0.2万元，占100%。具体情况如下：</w:t>
      </w:r>
    </w:p>
    <w:p>
      <w:pPr>
        <w:pStyle w:val="2"/>
        <w:rPr>
          <w:rFonts w:hint="default" w:ascii="Times New Roman" w:hAnsi="Times New Roman" w:cs="Times New Roman"/>
        </w:rPr>
      </w:pPr>
    </w:p>
    <w:p>
      <w:pPr>
        <w:pStyle w:val="3"/>
        <w:rPr>
          <w:rFonts w:hint="default" w:ascii="Times New Roman" w:hAnsi="Times New Roman" w:cs="Times New Roman"/>
        </w:rPr>
      </w:pPr>
      <w:r>
        <w:rPr>
          <w:rFonts w:hint="default" w:ascii="Times New Roman" w:hAnsi="Times New Roman" w:cs="Times New Roman"/>
        </w:rPr>
        <w:drawing>
          <wp:inline distT="0" distB="0" distL="84455" distR="84455">
            <wp:extent cx="4580890" cy="2752090"/>
            <wp:effectExtent l="0" t="0" r="7" b="21"/>
            <wp:docPr id="2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pic:cNvPicPr>
                      <a:picLocks noChangeAspect="1"/>
                    </pic:cNvPicPr>
                  </pic:nvPicPr>
                  <pic:blipFill>
                    <a:blip r:embed="rId15"/>
                    <a:stretch>
                      <a:fillRect/>
                    </a:stretch>
                  </pic:blipFill>
                  <pic:spPr>
                    <a:xfrm>
                      <a:off x="0" y="0"/>
                      <a:ext cx="4580890" cy="2752090"/>
                    </a:xfrm>
                    <a:prstGeom prst="rect">
                      <a:avLst/>
                    </a:prstGeom>
                    <a:noFill/>
                    <a:ln w="9525" cap="flat" cmpd="sng">
                      <a:noFill/>
                      <a:prstDash val="solid"/>
                      <a:miter/>
                    </a:ln>
                  </pic:spPr>
                </pic:pic>
              </a:graphicData>
            </a:graphic>
          </wp:inline>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图7：“三公”经费财政拨款支出结构（单位：万元）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1.因公出国（境）经费支出0万元，完成预算</w:t>
      </w:r>
      <w:r>
        <w:rPr>
          <w:rFonts w:hint="eastAsia" w:eastAsia="仿宋_GB2312" w:cs="Times New Roman"/>
          <w:b/>
          <w:bCs/>
          <w:sz w:val="32"/>
          <w:szCs w:val="32"/>
          <w:lang w:val="en-US" w:eastAsia="zh-CN"/>
        </w:rPr>
        <w:t>10</w:t>
      </w:r>
      <w:r>
        <w:rPr>
          <w:rFonts w:hint="default" w:ascii="Times New Roman" w:hAnsi="Times New Roman" w:eastAsia="仿宋_GB2312" w:cs="Times New Roman"/>
          <w:b/>
          <w:bCs/>
          <w:sz w:val="32"/>
          <w:szCs w:val="32"/>
        </w:rPr>
        <w:t>0%。</w:t>
      </w:r>
      <w:r>
        <w:rPr>
          <w:rFonts w:hint="default" w:ascii="Times New Roman" w:hAnsi="Times New Roman" w:eastAsia="仿宋_GB2312" w:cs="Times New Roman"/>
          <w:sz w:val="32"/>
          <w:szCs w:val="32"/>
        </w:rPr>
        <w:t>全年安排因公出国（境）团组0次，出国（境）0人。因公出国（境）支出决算比2023年持平。</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2.公务用车购置及运行维护费支出0万元，完成预算0%。</w:t>
      </w:r>
      <w:r>
        <w:rPr>
          <w:rFonts w:hint="default" w:ascii="Times New Roman" w:hAnsi="Times New Roman" w:eastAsia="仿宋_GB2312" w:cs="Times New Roman"/>
          <w:sz w:val="32"/>
          <w:szCs w:val="32"/>
        </w:rPr>
        <w:t>公务用车购置及运行维护费支出决算与2023年度持平。</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0辆，其中：轿车0辆、金额0万元，越野车0辆、金额0万元，载客汽车0辆、金额0万元。截至2024年12月31日，单位共有公务用车0辆，其中：轿车0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3.公务接待费支出0.2万元，完成预算100%。</w:t>
      </w:r>
      <w:r>
        <w:rPr>
          <w:rFonts w:hint="default" w:ascii="Times New Roman" w:hAnsi="Times New Roman" w:eastAsia="仿宋_GB2312" w:cs="Times New Roman"/>
          <w:sz w:val="32"/>
          <w:szCs w:val="32"/>
        </w:rPr>
        <w:t>公务接待费支出决算比2023年度减少0.32万元，下降61.54%。主要原因是公务接待事项减少。其中：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国内公务接待支出0.2万元，</w:t>
      </w:r>
      <w:r>
        <w:rPr>
          <w:rFonts w:hint="default" w:ascii="Times New Roman" w:hAnsi="Times New Roman" w:eastAsia="仿宋_GB2312" w:cs="Times New Roman"/>
          <w:sz w:val="32"/>
          <w:szCs w:val="32"/>
          <w:lang w:bidi="ar-SA"/>
        </w:rPr>
        <w:t>主要用于执行公务、开展业务活动开支的用餐费等。国内公务接待</w:t>
      </w:r>
      <w:r>
        <w:rPr>
          <w:rFonts w:hint="default" w:ascii="Times New Roman" w:hAnsi="Times New Roman" w:eastAsia="仿宋_GB2312" w:cs="Times New Roman"/>
          <w:sz w:val="32"/>
          <w:szCs w:val="32"/>
          <w:lang w:val="en-US" w:eastAsia="zh-CN" w:bidi="ar-SA"/>
        </w:rPr>
        <w:t>1</w:t>
      </w:r>
      <w:r>
        <w:rPr>
          <w:rFonts w:hint="default" w:ascii="Times New Roman" w:hAnsi="Times New Roman" w:eastAsia="仿宋_GB2312" w:cs="Times New Roman"/>
          <w:sz w:val="32"/>
          <w:szCs w:val="32"/>
          <w:lang w:bidi="ar-SA"/>
        </w:rPr>
        <w:t>批次，</w:t>
      </w:r>
      <w:r>
        <w:rPr>
          <w:rFonts w:hint="default" w:ascii="Times New Roman" w:hAnsi="Times New Roman" w:eastAsia="仿宋_GB2312" w:cs="Times New Roman"/>
          <w:sz w:val="32"/>
          <w:szCs w:val="32"/>
          <w:lang w:val="en-US" w:eastAsia="zh-CN" w:bidi="ar-SA"/>
        </w:rPr>
        <w:t>11</w:t>
      </w:r>
      <w:r>
        <w:rPr>
          <w:rFonts w:hint="default" w:ascii="Times New Roman" w:hAnsi="Times New Roman" w:eastAsia="仿宋_GB2312" w:cs="Times New Roman"/>
          <w:sz w:val="32"/>
          <w:szCs w:val="32"/>
          <w:lang w:bidi="ar-SA"/>
        </w:rPr>
        <w:t>人次（不包括陪同人员），共计支出</w:t>
      </w:r>
      <w:r>
        <w:rPr>
          <w:rFonts w:hint="default" w:ascii="Times New Roman" w:hAnsi="Times New Roman" w:eastAsia="仿宋_GB2312" w:cs="Times New Roman"/>
          <w:sz w:val="32"/>
          <w:szCs w:val="32"/>
          <w:lang w:val="en-US" w:eastAsia="zh-CN" w:bidi="ar-SA"/>
        </w:rPr>
        <w:t>0.2</w:t>
      </w:r>
      <w:r>
        <w:rPr>
          <w:rFonts w:hint="default" w:ascii="Times New Roman" w:hAnsi="Times New Roman" w:eastAsia="仿宋_GB2312" w:cs="Times New Roman"/>
          <w:sz w:val="32"/>
          <w:szCs w:val="32"/>
          <w:lang w:bidi="ar-SA"/>
        </w:rPr>
        <w:t>万元，</w:t>
      </w:r>
      <w:r>
        <w:rPr>
          <w:rFonts w:hint="default" w:ascii="Times New Roman" w:hAnsi="Times New Roman" w:eastAsia="仿宋_GB2312" w:cs="Times New Roman"/>
          <w:color w:val="auto"/>
          <w:sz w:val="32"/>
          <w:szCs w:val="32"/>
          <w:lang w:bidi="ar-SA"/>
        </w:rPr>
        <w:t>具体内容包括：</w:t>
      </w:r>
      <w:r>
        <w:rPr>
          <w:rFonts w:hint="default" w:ascii="Times New Roman" w:hAnsi="Times New Roman" w:eastAsia="仿宋_GB2312" w:cs="Times New Roman"/>
          <w:sz w:val="32"/>
          <w:szCs w:val="32"/>
          <w:lang w:bidi="ar-SA"/>
        </w:rPr>
        <w:t>迎接中央生态环境专项资金检查活动开支的用餐费用</w:t>
      </w:r>
      <w:r>
        <w:rPr>
          <w:rFonts w:hint="default" w:ascii="Times New Roman" w:hAnsi="Times New Roman" w:eastAsia="仿宋_GB2312" w:cs="Times New Roman"/>
          <w:sz w:val="32"/>
          <w:szCs w:val="32"/>
          <w:lang w:val="en-US" w:eastAsia="zh-CN" w:bidi="ar-SA"/>
        </w:rPr>
        <w:t>0.2万元</w:t>
      </w:r>
      <w:r>
        <w:rPr>
          <w:rFonts w:hint="default" w:ascii="Times New Roman" w:hAnsi="Times New Roman" w:eastAsia="仿宋_GB2312" w:cs="Times New Roman"/>
          <w:sz w:val="32"/>
          <w:szCs w:val="32"/>
          <w:lang w:bidi="ar-SA"/>
        </w:rPr>
        <w:t>。</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外事接待0批次，0人次（不包括陪同人员），共计支出0万元。</w:t>
      </w:r>
      <w:bookmarkStart w:id="34" w:name="_Toc15377218"/>
      <w:bookmarkStart w:id="35" w:name="_Toc15396610"/>
    </w:p>
    <w:p>
      <w:pPr>
        <w:spacing w:line="600" w:lineRule="exact"/>
        <w:ind w:firstLine="640"/>
        <w:outlineLvl w:val="1"/>
        <w:rPr>
          <w:rStyle w:val="23"/>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3"/>
          <w:rFonts w:hint="default" w:ascii="Times New Roman" w:hAnsi="Times New Roman" w:eastAsia="黑体" w:cs="Times New Roman"/>
          <w:b w:val="0"/>
        </w:rPr>
        <w:t>政府性基金预算支出决算情况说明</w:t>
      </w:r>
      <w:bookmarkEnd w:id="34"/>
      <w:bookmarkEnd w:id="35"/>
    </w:p>
    <w:p>
      <w:pPr>
        <w:spacing w:line="600" w:lineRule="exact"/>
        <w:ind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2024年度政府性基金预算财政拨款支出0万元，占本年支出合计的0%。与2023年度相比，政府性基金预算财政拨款支出持平。</w:t>
      </w:r>
    </w:p>
    <w:p>
      <w:pPr>
        <w:spacing w:line="600" w:lineRule="exact"/>
        <w:ind w:left="630"/>
        <w:outlineLvl w:val="1"/>
        <w:rPr>
          <w:rStyle w:val="23"/>
          <w:rFonts w:hint="default" w:ascii="Times New Roman" w:hAnsi="Times New Roman" w:eastAsia="黑体" w:cs="Times New Roman"/>
          <w:b w:val="0"/>
        </w:rPr>
      </w:pPr>
      <w:bookmarkStart w:id="36" w:name="_Toc15396611"/>
      <w:bookmarkStart w:id="37" w:name="_Toc15377219"/>
      <w:r>
        <w:rPr>
          <w:rStyle w:val="23"/>
          <w:rFonts w:hint="default" w:ascii="Times New Roman" w:hAnsi="Times New Roman" w:eastAsia="黑体" w:cs="Times New Roman"/>
          <w:b w:val="0"/>
        </w:rPr>
        <w:t>九、国有资本经营预算支出决算情况说明</w:t>
      </w:r>
      <w:bookmarkEnd w:id="36"/>
      <w:bookmarkEnd w:id="37"/>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2024年度国有资本经营预算财政拨款支出0万元，占本年支出合计的0%。与2023年度相比，国有资本经营预算财政拨款支出持平。</w:t>
      </w:r>
    </w:p>
    <w:p>
      <w:pPr>
        <w:spacing w:line="600" w:lineRule="exact"/>
        <w:ind w:left="630"/>
        <w:outlineLvl w:val="1"/>
        <w:rPr>
          <w:rStyle w:val="23"/>
          <w:rFonts w:hint="default" w:ascii="Times New Roman" w:hAnsi="Times New Roman" w:eastAsia="黑体" w:cs="Times New Roman"/>
          <w:b w:val="0"/>
        </w:rPr>
      </w:pPr>
      <w:bookmarkStart w:id="38" w:name="_Toc15396612"/>
      <w:bookmarkStart w:id="39" w:name="_Toc15377221"/>
      <w:r>
        <w:rPr>
          <w:rStyle w:val="23"/>
          <w:rFonts w:hint="default" w:ascii="Times New Roman" w:hAnsi="Times New Roman" w:eastAsia="黑体" w:cs="Times New Roman"/>
          <w:b w:val="0"/>
        </w:rPr>
        <w:t>十、其他重要事项的情况说明</w:t>
      </w:r>
      <w:bookmarkEnd w:id="38"/>
      <w:bookmarkEnd w:id="39"/>
    </w:p>
    <w:p>
      <w:pPr>
        <w:spacing w:line="600" w:lineRule="exact"/>
        <w:ind w:firstLine="643" w:firstLineChars="200"/>
        <w:outlineLvl w:val="2"/>
        <w:rPr>
          <w:rFonts w:hint="default" w:ascii="Times New Roman" w:hAnsi="Times New Roman" w:eastAsia="楷体_GB2312" w:cs="Times New Roman"/>
          <w:b/>
          <w:sz w:val="32"/>
          <w:szCs w:val="32"/>
        </w:rPr>
      </w:pPr>
      <w:bookmarkStart w:id="40" w:name="_Toc15377222"/>
      <w:r>
        <w:rPr>
          <w:rFonts w:hint="default" w:ascii="Times New Roman" w:hAnsi="Times New Roman" w:eastAsia="楷体_GB2312" w:cs="Times New Roman"/>
          <w:b/>
          <w:sz w:val="32"/>
          <w:szCs w:val="32"/>
        </w:rPr>
        <w:t>（一）机关运行经费支出情况</w:t>
      </w:r>
      <w:bookmarkEnd w:id="40"/>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2024年度，四川省攀枝花市西区生态环境局机关运行经费支出35.79万元，比2023年度减少1.97万元，下降5.22%</w:t>
      </w:r>
      <w:r>
        <w:rPr>
          <w:rFonts w:hint="eastAsia" w:eastAsia="仿宋_GB2312" w:cs="Times New Roman"/>
          <w:sz w:val="32"/>
          <w:szCs w:val="32"/>
          <w:lang w:eastAsia="zh-CN"/>
        </w:rPr>
        <w:t>，</w:t>
      </w:r>
      <w:bookmarkStart w:id="61" w:name="_GoBack"/>
      <w:bookmarkEnd w:id="61"/>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color w:val="auto"/>
          <w:sz w:val="32"/>
          <w:szCs w:val="32"/>
          <w:highlight w:val="none"/>
          <w:lang w:eastAsia="zh-CN" w:bidi="ar-SA"/>
        </w:rPr>
        <w:t>人员减少</w:t>
      </w:r>
      <w:r>
        <w:rPr>
          <w:rFonts w:hint="default" w:ascii="Times New Roman" w:hAnsi="Times New Roman" w:eastAsia="仿宋_GB2312" w:cs="Times New Roman"/>
          <w:color w:val="auto"/>
          <w:sz w:val="32"/>
          <w:szCs w:val="32"/>
          <w:highlight w:val="none"/>
          <w:lang w:val="en-US" w:eastAsia="zh-CN" w:bidi="ar-SA"/>
        </w:rPr>
        <w:t>、公用经费相应减少。</w:t>
      </w:r>
    </w:p>
    <w:p>
      <w:pPr>
        <w:spacing w:line="600" w:lineRule="exact"/>
        <w:ind w:firstLine="643" w:firstLineChars="200"/>
        <w:outlineLvl w:val="2"/>
        <w:rPr>
          <w:rFonts w:hint="default" w:ascii="Times New Roman" w:hAnsi="Times New Roman" w:eastAsia="楷体_GB2312" w:cs="Times New Roman"/>
          <w:b/>
          <w:sz w:val="32"/>
          <w:szCs w:val="32"/>
        </w:rPr>
      </w:pPr>
      <w:bookmarkStart w:id="41" w:name="_Toc15377223"/>
      <w:r>
        <w:rPr>
          <w:rFonts w:hint="default" w:ascii="Times New Roman" w:hAnsi="Times New Roman" w:eastAsia="楷体_GB2312" w:cs="Times New Roman"/>
          <w:b/>
          <w:sz w:val="32"/>
          <w:szCs w:val="32"/>
        </w:rPr>
        <w:t>（二）政府采购支出情况</w:t>
      </w:r>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西区生态环境局政府采购支出总额4.98万元，其中：政府采购货物支出4.98万元、主要用于购买空气质量管控监测无人机。授予中小企业合同金额4.98万元，占政府采购支出总额的100%，其中：授予小微企业合同金额4.98万元，占政府采购支出总额的100%。</w:t>
      </w:r>
    </w:p>
    <w:p>
      <w:pPr>
        <w:spacing w:line="600" w:lineRule="exact"/>
        <w:ind w:firstLine="643" w:firstLineChars="200"/>
        <w:outlineLvl w:val="2"/>
        <w:rPr>
          <w:rFonts w:hint="default" w:ascii="Times New Roman" w:hAnsi="Times New Roman" w:eastAsia="楷体_GB2312" w:cs="Times New Roman"/>
          <w:b/>
          <w:sz w:val="32"/>
          <w:szCs w:val="32"/>
        </w:rPr>
      </w:pPr>
      <w:bookmarkStart w:id="42" w:name="_Toc15377224"/>
      <w:r>
        <w:rPr>
          <w:rFonts w:hint="default" w:ascii="Times New Roman" w:hAnsi="Times New Roman" w:eastAsia="楷体_GB2312" w:cs="Times New Roman"/>
          <w:b/>
          <w:sz w:val="32"/>
          <w:szCs w:val="32"/>
        </w:rPr>
        <w:t>（三）国有资产占有使用情况</w:t>
      </w:r>
      <w:bookmarkEnd w:id="42"/>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截至2024年12月31日，四川省攀枝花市西区生态环境局共有车辆1辆，其中：主要负责人用车0辆、机要通信用车0辆、应急保障用车0辆、其他用车1辆，</w:t>
      </w:r>
      <w:r>
        <w:rPr>
          <w:rFonts w:hint="default" w:ascii="Times New Roman" w:hAnsi="Times New Roman" w:eastAsia="仿宋_GB2312" w:cs="Times New Roman"/>
          <w:sz w:val="32"/>
          <w:szCs w:val="32"/>
          <w:highlight w:val="none"/>
          <w:lang w:bidi="ar-SA"/>
        </w:rPr>
        <w:t>其他用车主要是用于</w:t>
      </w:r>
      <w:r>
        <w:rPr>
          <w:rFonts w:hint="default" w:ascii="Times New Roman" w:hAnsi="Times New Roman" w:eastAsia="仿宋_GB2312" w:cs="Times New Roman"/>
          <w:sz w:val="32"/>
          <w:szCs w:val="32"/>
          <w:lang w:eastAsia="zh-CN" w:bidi="ar-SA"/>
        </w:rPr>
        <w:t>环境空气雾炮</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rPr>
        <w:t>单价100万元（含）以上设备（不含车辆）0台（套）。</w:t>
      </w:r>
    </w:p>
    <w:p>
      <w:pPr>
        <w:spacing w:line="60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西区生态环境局在2024年度预算编制阶段，组织对2021年农村污水治理“千村示范”工程等2个项目开展了预算事前绩效评估，对2个项目编制了绩效目标，预算执行过程中，选取2个项目开展绩效监控。</w:t>
      </w:r>
      <w:r>
        <w:rPr>
          <w:rFonts w:hint="default" w:ascii="Times New Roman" w:hAnsi="Times New Roman" w:eastAsia="仿宋_GB2312" w:cs="Times New Roman"/>
          <w:color w:val="auto"/>
          <w:sz w:val="32"/>
          <w:szCs w:val="32"/>
          <w:highlight w:val="none"/>
          <w:lang w:val="en-US" w:eastAsia="zh-CN" w:bidi="ar-SA"/>
        </w:rPr>
        <w:t>绩效自评表详见第四部分附件。</w:t>
      </w:r>
    </w:p>
    <w:p>
      <w:pPr>
        <w:spacing w:line="600" w:lineRule="exact"/>
        <w:ind w:firstLine="640"/>
        <w:rPr>
          <w:rFonts w:hint="default" w:ascii="Times New Roman" w:hAnsi="Times New Roman" w:eastAsia="仿宋_GB2312" w:cs="Times New Roman"/>
          <w:b/>
          <w:bCs/>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spacing w:line="600" w:lineRule="exact"/>
        <w:jc w:val="center"/>
        <w:outlineLvl w:val="0"/>
        <w:rPr>
          <w:rFonts w:hint="default" w:ascii="Times New Roman" w:hAnsi="Times New Roman" w:eastAsia="黑体" w:cs="Times New Roman"/>
          <w:sz w:val="44"/>
          <w:szCs w:val="44"/>
        </w:rPr>
      </w:pPr>
      <w:bookmarkStart w:id="43" w:name="_Toc15377225"/>
      <w:bookmarkStart w:id="44" w:name="_Toc15396613"/>
      <w:r>
        <w:rPr>
          <w:rFonts w:hint="default" w:ascii="Times New Roman" w:hAnsi="Times New Roman" w:eastAsia="黑体" w:cs="Times New Roman"/>
          <w:sz w:val="44"/>
          <w:szCs w:val="44"/>
        </w:rPr>
        <w:t>第三部分  名词解释</w:t>
      </w:r>
      <w:bookmarkEnd w:id="43"/>
      <w:bookmarkEnd w:id="44"/>
    </w:p>
    <w:p>
      <w:pPr>
        <w:spacing w:line="600" w:lineRule="exact"/>
        <w:jc w:val="left"/>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2.其他收入：指单位取得的除上述收入以外的各项收入。主要是</w:t>
      </w:r>
      <w:r>
        <w:rPr>
          <w:rFonts w:hint="default" w:ascii="Times New Roman" w:hAnsi="Times New Roman" w:eastAsia="仿宋_GB2312" w:cs="Times New Roman"/>
          <w:color w:val="auto"/>
          <w:sz w:val="32"/>
          <w:szCs w:val="32"/>
          <w:lang w:eastAsia="zh-CN" w:bidi="ar-SA"/>
        </w:rPr>
        <w:t>区级财政安排资金</w:t>
      </w:r>
      <w:r>
        <w:rPr>
          <w:rFonts w:hint="default" w:ascii="Times New Roman" w:hAnsi="Times New Roman" w:eastAsia="仿宋_GB2312" w:cs="Times New Roman"/>
          <w:color w:val="auto"/>
          <w:sz w:val="32"/>
          <w:szCs w:val="32"/>
          <w:lang w:bidi="ar-SA"/>
        </w:rPr>
        <w:t>等</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3.使用非财政拨款结余（含专用结余）：指事业单位使用以前年度积累的非财政拨款结余弥补当年收支差额的金额。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6.年末结转和结余：指单位按有关规定结转到下年或以后年度继续使用的资金。</w:t>
      </w:r>
    </w:p>
    <w:p>
      <w:pPr>
        <w:pStyle w:val="3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7</w:t>
      </w:r>
      <w:r>
        <w:rPr>
          <w:rFonts w:hint="default" w:ascii="Times New Roman" w:hAnsi="Times New Roman" w:eastAsia="仿宋_GB2312" w:cs="Times New Roman"/>
          <w:color w:val="000000"/>
          <w:sz w:val="32"/>
          <w:szCs w:val="32"/>
          <w:lang w:bidi="ar-SA"/>
        </w:rPr>
        <w:t>.社会保障和就业（类）行政事业单位养老（款）机关事业单位基本养老保险缴费（项）：指机关事业单位实施养老保险制度由单位缴纳的基本养老保险支出。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8</w:t>
      </w:r>
      <w:r>
        <w:rPr>
          <w:rFonts w:hint="default" w:ascii="Times New Roman" w:hAnsi="Times New Roman" w:eastAsia="仿宋_GB2312" w:cs="Times New Roman"/>
          <w:color w:val="000000"/>
          <w:sz w:val="32"/>
          <w:szCs w:val="32"/>
          <w:lang w:bidi="ar-SA"/>
        </w:rPr>
        <w:t>. 卫生健康（类）行政事业单位医疗（款）事业单位医疗（项）：指财政</w:t>
      </w:r>
      <w:r>
        <w:rPr>
          <w:rFonts w:hint="default" w:ascii="Times New Roman" w:hAnsi="Times New Roman" w:eastAsia="仿宋_GB2312" w:cs="Times New Roman"/>
          <w:color w:val="000000"/>
          <w:sz w:val="32"/>
          <w:szCs w:val="32"/>
          <w:lang w:eastAsia="zh-CN" w:bidi="ar-SA"/>
        </w:rPr>
        <w:t>单位</w:t>
      </w:r>
      <w:r>
        <w:rPr>
          <w:rFonts w:hint="default" w:ascii="Times New Roman" w:hAnsi="Times New Roman" w:eastAsia="仿宋_GB2312" w:cs="Times New Roman"/>
          <w:color w:val="000000"/>
          <w:sz w:val="32"/>
          <w:szCs w:val="32"/>
          <w:lang w:bidi="ar-SA"/>
        </w:rPr>
        <w:t>安排的事业单位用于缴纳单位基本医疗保险支出。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9</w:t>
      </w:r>
      <w:r>
        <w:rPr>
          <w:rFonts w:hint="default" w:ascii="Times New Roman" w:hAnsi="Times New Roman" w:eastAsia="仿宋_GB2312" w:cs="Times New Roman"/>
          <w:color w:val="000000"/>
          <w:sz w:val="32"/>
          <w:szCs w:val="32"/>
          <w:lang w:bidi="ar-SA"/>
        </w:rPr>
        <w:t>. 卫生健康（类）行政事业单位医疗（款）公务员医疗补助（项）：指财政</w:t>
      </w:r>
      <w:r>
        <w:rPr>
          <w:rFonts w:hint="default" w:ascii="Times New Roman" w:hAnsi="Times New Roman" w:eastAsia="仿宋_GB2312" w:cs="Times New Roman"/>
          <w:color w:val="000000"/>
          <w:sz w:val="32"/>
          <w:szCs w:val="32"/>
          <w:lang w:eastAsia="zh-CN" w:bidi="ar-SA"/>
        </w:rPr>
        <w:t>单位</w:t>
      </w:r>
      <w:r>
        <w:rPr>
          <w:rFonts w:hint="default" w:ascii="Times New Roman" w:hAnsi="Times New Roman" w:eastAsia="仿宋_GB2312" w:cs="Times New Roman"/>
          <w:color w:val="000000"/>
          <w:sz w:val="32"/>
          <w:szCs w:val="32"/>
          <w:lang w:bidi="ar-SA"/>
        </w:rPr>
        <w:t>集中安排的公务员医疗补助经费。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10</w:t>
      </w:r>
      <w:r>
        <w:rPr>
          <w:rFonts w:hint="default" w:ascii="Times New Roman" w:hAnsi="Times New Roman" w:eastAsia="仿宋_GB2312" w:cs="Times New Roman"/>
          <w:color w:val="000000"/>
          <w:sz w:val="32"/>
          <w:szCs w:val="32"/>
          <w:lang w:bidi="ar-SA"/>
        </w:rPr>
        <w:t>.节能环保支出（类）环境保护管理事务（款）行政运行（项）：指行政单位（包括实行公务员管理的事业单位）的基本支出。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11</w:t>
      </w:r>
      <w:r>
        <w:rPr>
          <w:rFonts w:hint="default" w:ascii="Times New Roman" w:hAnsi="Times New Roman" w:eastAsia="仿宋_GB2312" w:cs="Times New Roman"/>
          <w:color w:val="000000"/>
          <w:sz w:val="32"/>
          <w:szCs w:val="32"/>
          <w:lang w:bidi="ar-SA"/>
        </w:rPr>
        <w:t>.节能环保（类）环境保护管理事务（款）一般行政管理事务（项）：指行政单位未单独设置项级科目的其他项目支出。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12</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节能环保支出（类）环境保护管理事务（款）其他环境保护管理事务支出（项）：指除行政运行、一般行政管理事务、机关服务、环境保护宣传等以外其他用于环境保护管理事务方面的支出。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1</w:t>
      </w:r>
      <w:r>
        <w:rPr>
          <w:rFonts w:hint="default" w:ascii="Times New Roman" w:hAnsi="Times New Roman" w:eastAsia="仿宋_GB2312" w:cs="Times New Roman"/>
          <w:color w:val="000000"/>
          <w:sz w:val="32"/>
          <w:szCs w:val="32"/>
          <w:lang w:val="en-US" w:eastAsia="zh-CN" w:bidi="ar-SA"/>
        </w:rPr>
        <w:t>3</w:t>
      </w:r>
      <w:r>
        <w:rPr>
          <w:rFonts w:hint="default" w:ascii="Times New Roman" w:hAnsi="Times New Roman" w:eastAsia="仿宋_GB2312" w:cs="Times New Roman"/>
          <w:color w:val="000000"/>
          <w:sz w:val="32"/>
          <w:szCs w:val="32"/>
          <w:lang w:bidi="ar-SA"/>
        </w:rPr>
        <w:t>.节能环保支出（类）污染防治（款）其他污染防治支出（项）：指除大气、水体、噪声、固体废弃物与化学品、放射源和放射性废物监管、辐射以外其他用于污染防治方面的支出。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SA"/>
        </w:rPr>
        <w:t>1</w:t>
      </w:r>
      <w:r>
        <w:rPr>
          <w:rFonts w:hint="default" w:ascii="Times New Roman" w:hAnsi="Times New Roman" w:eastAsia="仿宋_GB2312" w:cs="Times New Roman"/>
          <w:color w:val="000000"/>
          <w:sz w:val="32"/>
          <w:szCs w:val="32"/>
          <w:lang w:val="en-US" w:eastAsia="zh-CN" w:bidi="ar-SA"/>
        </w:rPr>
        <w:t>4</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16.项目支出：指在基本支出之外为完成特定行政任务和事业发展目标所发生的支出。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17.“三公”经费：指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2"/>
          <w:rFonts w:hint="default" w:ascii="Times New Roman" w:hAnsi="Times New Roman" w:eastAsia="黑体" w:cs="Times New Roman"/>
          <w:b w:val="0"/>
        </w:rPr>
      </w:pPr>
      <w:bookmarkStart w:id="45" w:name="_Toc15377226"/>
      <w:r>
        <w:rPr>
          <w:rFonts w:hint="default" w:ascii="Times New Roman" w:hAnsi="Times New Roman" w:eastAsia="仿宋_GB2312" w:cs="Times New Roman"/>
          <w:sz w:val="32"/>
          <w:szCs w:val="32"/>
        </w:rPr>
        <w:br w:type="page"/>
      </w:r>
      <w:bookmarkStart w:id="46" w:name="_Toc15396614"/>
      <w:r>
        <w:rPr>
          <w:rFonts w:hint="default" w:ascii="Times New Roman" w:hAnsi="Times New Roman" w:eastAsia="黑体" w:cs="Times New Roman"/>
          <w:sz w:val="44"/>
          <w:szCs w:val="44"/>
        </w:rPr>
        <w:t>第四部分  附件</w:t>
      </w:r>
      <w:bookmarkEnd w:id="46"/>
    </w:p>
    <w:p>
      <w:pPr>
        <w:spacing w:line="572" w:lineRule="exact"/>
        <w:jc w:val="left"/>
        <w:outlineLvl w:val="0"/>
        <w:rPr>
          <w:rFonts w:hint="default" w:ascii="Times New Roman" w:hAnsi="Times New Roman" w:eastAsia="黑体" w:cs="Times New Roman"/>
          <w:color w:val="FF0000"/>
          <w:sz w:val="32"/>
          <w:szCs w:val="32"/>
        </w:rPr>
      </w:pPr>
    </w:p>
    <w:p>
      <w:pPr>
        <w:pStyle w:val="3"/>
        <w:spacing w:line="560" w:lineRule="exact"/>
        <w:ind w:left="0" w:leftChars="0"/>
        <w:rPr>
          <w:rFonts w:hint="default" w:ascii="Times New Roman" w:hAnsi="Times New Roman" w:eastAsia="仿宋_GB2312" w:cs="Times New Roman"/>
          <w:sz w:val="32"/>
          <w:lang w:val="zh-CN" w:eastAsia="zh-CN"/>
        </w:rPr>
      </w:pPr>
      <w:r>
        <w:rPr>
          <w:rFonts w:hint="default" w:ascii="Times New Roman" w:hAnsi="Times New Roman" w:eastAsia="仿宋_GB2312" w:cs="Times New Roman"/>
          <w:sz w:val="32"/>
          <w:lang w:val="zh-CN"/>
        </w:rPr>
        <w:t>部门</w:t>
      </w:r>
      <w:r>
        <w:rPr>
          <w:rFonts w:hint="default" w:ascii="Times New Roman" w:hAnsi="Times New Roman" w:eastAsia="仿宋_GB2312" w:cs="Times New Roman"/>
          <w:sz w:val="32"/>
        </w:rPr>
        <w:t>预算项目支出绩效自评表（2024年度）</w:t>
      </w:r>
      <w:r>
        <w:rPr>
          <w:rFonts w:hint="default" w:ascii="Times New Roman" w:hAnsi="Times New Roman" w:eastAsia="仿宋_GB2312" w:cs="Times New Roman"/>
          <w:sz w:val="32"/>
          <w:lang w:eastAsia="zh-CN"/>
        </w:rPr>
        <w:t>见附件</w:t>
      </w:r>
    </w:p>
    <w:p>
      <w:pPr>
        <w:pStyle w:val="3"/>
        <w:spacing w:line="560" w:lineRule="exact"/>
        <w:ind w:left="0" w:leftChars="0" w:firstLine="0" w:firstLineChars="0"/>
        <w:rPr>
          <w:rFonts w:hint="default" w:ascii="Times New Roman" w:hAnsi="Times New Roman" w:cs="Times New Roman"/>
          <w:sz w:val="32"/>
          <w:highlight w:val="yellow"/>
          <w:lang w:val="zh-CN"/>
        </w:rPr>
      </w:pPr>
    </w:p>
    <w:p>
      <w:pPr>
        <w:pStyle w:val="8"/>
        <w:spacing w:before="93" w:beforeLines="0"/>
        <w:rPr>
          <w:rFonts w:hint="default" w:ascii="Times New Roman" w:hAnsi="Times New Roman" w:cs="Times New Roman"/>
          <w:color w:val="FF0000"/>
          <w:sz w:val="32"/>
          <w:szCs w:val="32"/>
          <w:highlight w:val="yellow"/>
          <w:shd w:val="clear" w:color="auto" w:fill="FFFFFF"/>
          <w:lang w:val="zh-CN"/>
        </w:rPr>
      </w:pPr>
    </w:p>
    <w:p>
      <w:pPr>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br w:type="page"/>
      </w:r>
    </w:p>
    <w:p>
      <w:pPr>
        <w:widowControl/>
        <w:jc w:val="center"/>
        <w:rPr>
          <w:rFonts w:hint="default" w:ascii="Times New Roman" w:hAnsi="Times New Roman" w:eastAsia="仿宋" w:cs="Times New Roman"/>
        </w:rPr>
      </w:pPr>
      <w:bookmarkStart w:id="47" w:name="_Toc15396618"/>
      <w:r>
        <w:rPr>
          <w:rFonts w:hint="default" w:ascii="Times New Roman" w:hAnsi="Times New Roman" w:eastAsia="黑体" w:cs="Times New Roman"/>
          <w:sz w:val="44"/>
          <w:szCs w:val="44"/>
        </w:rPr>
        <w:t>第</w:t>
      </w:r>
      <w:r>
        <w:rPr>
          <w:rStyle w:val="22"/>
          <w:rFonts w:hint="default" w:ascii="Times New Roman" w:hAnsi="Times New Roman" w:eastAsia="黑体" w:cs="Times New Roman"/>
          <w:b w:val="0"/>
        </w:rPr>
        <w:t>五部分 附表</w:t>
      </w:r>
      <w:bookmarkEnd w:id="45"/>
      <w:bookmarkEnd w:id="47"/>
      <w:bookmarkStart w:id="48" w:name="_Toc15396619"/>
    </w:p>
    <w:p>
      <w:pPr>
        <w:pStyle w:val="14"/>
        <w:adjustRightInd w:val="0"/>
        <w:snapToGrid w:val="0"/>
        <w:spacing w:line="560" w:lineRule="exact"/>
        <w:jc w:val="left"/>
        <w:rPr>
          <w:rFonts w:hint="default" w:ascii="Times New Roman" w:hAnsi="Times New Roman" w:eastAsia="仿宋_GB2312" w:cs="Times New Roman"/>
          <w:sz w:val="32"/>
          <w:szCs w:val="32"/>
        </w:rPr>
      </w:pPr>
    </w:p>
    <w:p>
      <w:pPr>
        <w:pStyle w:val="14"/>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48"/>
    </w:p>
    <w:p>
      <w:pPr>
        <w:pStyle w:val="14"/>
        <w:adjustRightInd w:val="0"/>
        <w:snapToGrid w:val="0"/>
        <w:spacing w:line="560" w:lineRule="exact"/>
        <w:jc w:val="left"/>
        <w:rPr>
          <w:rFonts w:hint="default" w:ascii="Times New Roman" w:hAnsi="Times New Roman" w:eastAsia="仿宋_GB2312" w:cs="Times New Roman"/>
          <w:sz w:val="32"/>
          <w:szCs w:val="32"/>
        </w:rPr>
      </w:pPr>
      <w:bookmarkStart w:id="49" w:name="_Toc15396620"/>
      <w:r>
        <w:rPr>
          <w:rFonts w:hint="default" w:ascii="Times New Roman" w:hAnsi="Times New Roman" w:eastAsia="仿宋_GB2312" w:cs="Times New Roman"/>
          <w:sz w:val="32"/>
          <w:szCs w:val="32"/>
        </w:rPr>
        <w:t>二、收入决算表</w:t>
      </w:r>
      <w:bookmarkEnd w:id="49"/>
    </w:p>
    <w:p>
      <w:pPr>
        <w:pStyle w:val="14"/>
        <w:adjustRightInd w:val="0"/>
        <w:snapToGrid w:val="0"/>
        <w:spacing w:line="560" w:lineRule="exact"/>
        <w:jc w:val="left"/>
        <w:rPr>
          <w:rFonts w:hint="default" w:ascii="Times New Roman" w:hAnsi="Times New Roman" w:eastAsia="仿宋_GB2312" w:cs="Times New Roman"/>
          <w:sz w:val="32"/>
          <w:szCs w:val="32"/>
        </w:rPr>
      </w:pPr>
      <w:bookmarkStart w:id="50" w:name="_Toc15396621"/>
      <w:r>
        <w:rPr>
          <w:rFonts w:hint="default" w:ascii="Times New Roman" w:hAnsi="Times New Roman" w:eastAsia="仿宋_GB2312" w:cs="Times New Roman"/>
          <w:sz w:val="32"/>
          <w:szCs w:val="32"/>
        </w:rPr>
        <w:t>三、支出决算表</w:t>
      </w:r>
      <w:bookmarkEnd w:id="50"/>
    </w:p>
    <w:p>
      <w:pPr>
        <w:pStyle w:val="14"/>
        <w:adjustRightInd w:val="0"/>
        <w:snapToGrid w:val="0"/>
        <w:spacing w:line="560" w:lineRule="exact"/>
        <w:jc w:val="left"/>
        <w:rPr>
          <w:rFonts w:hint="default" w:ascii="Times New Roman" w:hAnsi="Times New Roman" w:eastAsia="仿宋_GB2312" w:cs="Times New Roman"/>
          <w:sz w:val="32"/>
          <w:szCs w:val="32"/>
        </w:rPr>
      </w:pPr>
      <w:bookmarkStart w:id="51" w:name="_Toc15396622"/>
      <w:r>
        <w:rPr>
          <w:rFonts w:hint="default" w:ascii="Times New Roman" w:hAnsi="Times New Roman" w:eastAsia="仿宋_GB2312" w:cs="Times New Roman"/>
          <w:sz w:val="32"/>
          <w:szCs w:val="32"/>
        </w:rPr>
        <w:t>四、财政拨款收入支出决算总表</w:t>
      </w:r>
      <w:bookmarkEnd w:id="51"/>
    </w:p>
    <w:p>
      <w:pPr>
        <w:pStyle w:val="14"/>
        <w:adjustRightInd w:val="0"/>
        <w:snapToGrid w:val="0"/>
        <w:spacing w:line="560" w:lineRule="exact"/>
        <w:jc w:val="left"/>
        <w:rPr>
          <w:rFonts w:hint="default" w:ascii="Times New Roman" w:hAnsi="Times New Roman" w:eastAsia="仿宋_GB2312" w:cs="Times New Roman"/>
          <w:sz w:val="32"/>
          <w:szCs w:val="32"/>
        </w:rPr>
      </w:pPr>
      <w:bookmarkStart w:id="52" w:name="_Toc15396623"/>
      <w:r>
        <w:rPr>
          <w:rFonts w:hint="default" w:ascii="Times New Roman" w:hAnsi="Times New Roman" w:eastAsia="仿宋_GB2312" w:cs="Times New Roman"/>
          <w:sz w:val="32"/>
          <w:szCs w:val="32"/>
        </w:rPr>
        <w:t>五、财政拨款支出决算明细表</w:t>
      </w:r>
      <w:bookmarkEnd w:id="52"/>
      <w:bookmarkStart w:id="53" w:name="_Toc15396624"/>
    </w:p>
    <w:p>
      <w:pPr>
        <w:pStyle w:val="14"/>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53"/>
    </w:p>
    <w:p>
      <w:pPr>
        <w:pStyle w:val="14"/>
        <w:adjustRightInd w:val="0"/>
        <w:snapToGrid w:val="0"/>
        <w:spacing w:line="560" w:lineRule="exact"/>
        <w:jc w:val="left"/>
        <w:rPr>
          <w:rFonts w:hint="default" w:ascii="Times New Roman" w:hAnsi="Times New Roman" w:eastAsia="仿宋_GB2312" w:cs="Times New Roman"/>
          <w:sz w:val="32"/>
          <w:szCs w:val="32"/>
        </w:rPr>
      </w:pPr>
      <w:bookmarkStart w:id="54" w:name="_Toc15396625"/>
      <w:r>
        <w:rPr>
          <w:rFonts w:hint="default" w:ascii="Times New Roman" w:hAnsi="Times New Roman" w:eastAsia="仿宋_GB2312" w:cs="Times New Roman"/>
          <w:sz w:val="32"/>
          <w:szCs w:val="32"/>
        </w:rPr>
        <w:t>七、一般公共预算财政拨款支出决算明细表</w:t>
      </w:r>
      <w:bookmarkEnd w:id="54"/>
    </w:p>
    <w:p>
      <w:pPr>
        <w:pStyle w:val="14"/>
        <w:adjustRightInd w:val="0"/>
        <w:snapToGrid w:val="0"/>
        <w:spacing w:line="560" w:lineRule="exact"/>
        <w:jc w:val="left"/>
        <w:rPr>
          <w:rFonts w:hint="default" w:ascii="Times New Roman" w:hAnsi="Times New Roman" w:eastAsia="仿宋_GB2312" w:cs="Times New Roman"/>
          <w:sz w:val="32"/>
          <w:szCs w:val="32"/>
        </w:rPr>
      </w:pPr>
      <w:bookmarkStart w:id="55" w:name="_Toc15396626"/>
      <w:r>
        <w:rPr>
          <w:rFonts w:hint="default" w:ascii="Times New Roman" w:hAnsi="Times New Roman" w:eastAsia="仿宋_GB2312" w:cs="Times New Roman"/>
          <w:sz w:val="32"/>
          <w:szCs w:val="32"/>
        </w:rPr>
        <w:t>八、一般公共预算财政拨款基本支出决算表</w:t>
      </w:r>
      <w:bookmarkEnd w:id="55"/>
    </w:p>
    <w:p>
      <w:pPr>
        <w:pStyle w:val="14"/>
        <w:adjustRightInd w:val="0"/>
        <w:snapToGrid w:val="0"/>
        <w:spacing w:line="560" w:lineRule="exact"/>
        <w:jc w:val="left"/>
        <w:rPr>
          <w:rFonts w:hint="default" w:ascii="Times New Roman" w:hAnsi="Times New Roman" w:eastAsia="仿宋_GB2312" w:cs="Times New Roman"/>
          <w:sz w:val="32"/>
          <w:szCs w:val="32"/>
        </w:rPr>
      </w:pPr>
      <w:bookmarkStart w:id="56" w:name="_Toc15396627"/>
      <w:r>
        <w:rPr>
          <w:rFonts w:hint="default" w:ascii="Times New Roman" w:hAnsi="Times New Roman" w:eastAsia="仿宋_GB2312" w:cs="Times New Roman"/>
          <w:sz w:val="32"/>
          <w:szCs w:val="32"/>
        </w:rPr>
        <w:t>九、一般公共预算财政拨款项目支出决算表</w:t>
      </w:r>
      <w:bookmarkEnd w:id="56"/>
    </w:p>
    <w:p>
      <w:pPr>
        <w:pStyle w:val="14"/>
        <w:adjustRightInd w:val="0"/>
        <w:snapToGrid w:val="0"/>
        <w:spacing w:line="560" w:lineRule="exact"/>
        <w:jc w:val="left"/>
        <w:rPr>
          <w:rFonts w:hint="default" w:ascii="Times New Roman" w:hAnsi="Times New Roman" w:eastAsia="仿宋_GB2312" w:cs="Times New Roman"/>
          <w:sz w:val="32"/>
          <w:szCs w:val="32"/>
        </w:rPr>
      </w:pPr>
      <w:bookmarkStart w:id="57" w:name="_Toc15396628"/>
      <w:r>
        <w:rPr>
          <w:rFonts w:hint="default" w:ascii="Times New Roman" w:hAnsi="Times New Roman" w:eastAsia="仿宋_GB2312" w:cs="Times New Roman"/>
          <w:sz w:val="32"/>
          <w:szCs w:val="32"/>
        </w:rPr>
        <w:t>十、</w:t>
      </w:r>
      <w:bookmarkEnd w:id="57"/>
      <w:r>
        <w:rPr>
          <w:rFonts w:hint="default" w:ascii="Times New Roman" w:hAnsi="Times New Roman" w:eastAsia="仿宋_GB2312" w:cs="Times New Roman"/>
          <w:sz w:val="32"/>
          <w:szCs w:val="32"/>
        </w:rPr>
        <w:t>政府性基金预算财政拨款收入支出决算表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58" w:name="_Toc15396629"/>
      <w:r>
        <w:rPr>
          <w:rFonts w:hint="default" w:ascii="Times New Roman" w:hAnsi="Times New Roman" w:eastAsia="仿宋_GB2312" w:cs="Times New Roman"/>
          <w:sz w:val="32"/>
          <w:szCs w:val="32"/>
        </w:rPr>
        <w:t>十一、</w:t>
      </w:r>
      <w:bookmarkEnd w:id="58"/>
      <w:r>
        <w:rPr>
          <w:rFonts w:hint="default" w:ascii="Times New Roman" w:hAnsi="Times New Roman" w:eastAsia="仿宋_GB2312" w:cs="Times New Roman"/>
          <w:sz w:val="32"/>
          <w:szCs w:val="32"/>
        </w:rPr>
        <w:t>国有资本经营预算财政拨款收入支出决算表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59" w:name="_Toc15396630"/>
      <w:r>
        <w:rPr>
          <w:rFonts w:hint="default" w:ascii="Times New Roman" w:hAnsi="Times New Roman" w:eastAsia="仿宋_GB2312" w:cs="Times New Roman"/>
          <w:sz w:val="32"/>
          <w:szCs w:val="32"/>
        </w:rPr>
        <w:t>十二、</w:t>
      </w:r>
      <w:bookmarkEnd w:id="59"/>
      <w:r>
        <w:rPr>
          <w:rFonts w:hint="default" w:ascii="Times New Roman" w:hAnsi="Times New Roman" w:eastAsia="仿宋_GB2312" w:cs="Times New Roman"/>
          <w:sz w:val="32"/>
          <w:szCs w:val="32"/>
        </w:rPr>
        <w:t>国有资本经营预算财政拨款支出决算表</w:t>
      </w:r>
    </w:p>
    <w:p>
      <w:pPr>
        <w:pStyle w:val="14"/>
        <w:adjustRightInd w:val="0"/>
        <w:snapToGrid w:val="0"/>
        <w:spacing w:line="560" w:lineRule="exact"/>
        <w:jc w:val="left"/>
        <w:rPr>
          <w:rFonts w:hint="default" w:ascii="Times New Roman" w:hAnsi="Times New Roman" w:eastAsia="仿宋_GB2312" w:cs="Times New Roman"/>
          <w:sz w:val="32"/>
          <w:szCs w:val="32"/>
        </w:rPr>
      </w:pPr>
      <w:bookmarkStart w:id="60" w:name="_Toc15396631"/>
      <w:r>
        <w:rPr>
          <w:rFonts w:hint="default" w:ascii="Times New Roman" w:hAnsi="Times New Roman" w:eastAsia="仿宋_GB2312" w:cs="Times New Roman"/>
          <w:sz w:val="32"/>
          <w:szCs w:val="32"/>
        </w:rPr>
        <w:t>十三、</w:t>
      </w:r>
      <w:bookmarkEnd w:id="60"/>
      <w:r>
        <w:rPr>
          <w:rFonts w:hint="default" w:ascii="Times New Roman" w:hAnsi="Times New Roman" w:eastAsia="仿宋_GB2312" w:cs="Times New Roman"/>
          <w:sz w:val="32"/>
          <w:szCs w:val="32"/>
        </w:rPr>
        <w:t>财政拨款“三公”经费支出决算表</w:t>
      </w:r>
    </w:p>
    <w:p>
      <w:pPr>
        <w:rPr>
          <w:rFonts w:hint="default" w:ascii="Times New Roman" w:hAnsi="Times New Roman" w:cs="Times New Roman"/>
        </w:rPr>
      </w:pPr>
    </w:p>
    <w:sectPr>
      <w:footerReference r:id="rId7" w:type="default"/>
      <w:footerReference r:id="rId8"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4" name="文本框 17"/>
              <wp:cNvGraphicFramePr/>
              <a:graphic xmlns:a="http://schemas.openxmlformats.org/drawingml/2006/main">
                <a:graphicData uri="http://schemas.microsoft.com/office/word/2010/wordprocessingShape">
                  <wps:wsp>
                    <wps:cNvSpPr/>
                    <wps:spPr>
                      <a:xfrm>
                        <a:off x="0" y="0"/>
                        <a:ext cx="711199" cy="230251"/>
                      </a:xfrm>
                      <a:prstGeom prst="rect">
                        <a:avLst/>
                      </a:prstGeom>
                      <a:noFill/>
                      <a:ln w="6350" cap="flat" cmpd="sng">
                        <a:noFill/>
                        <a:prstDash val="solid"/>
                        <a:round/>
                      </a:ln>
                    </wps:spPr>
                    <wps:txbx>
                      <w:txbxContent>
                        <w:p>
                          <w:pPr>
                            <w:pStyle w:val="11"/>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3</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7" o:spid="_x0000_s1026" o:spt="1" style="position:absolute;left:0pt;margin-top:0pt;height:18.15pt;width:56pt;mso-position-horizontal:outside;mso-position-horizontal-relative:margin;mso-wrap-style:none;z-index:251659264;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HmQ&#10;MdcAAAAEAQAADwAAAAAAAAABACAAAAAiAAAAZHJzL2Rvd25yZXYueG1sUEsBAhQAFAAAAAgAh07i&#10;QFECKJXqAQAApwMAAA4AAAAAAAAAAQAgAAAAJgEAAGRycy9lMm9Eb2MueG1sUEsFBgAAAAAGAAYA&#10;WQEAAIIFAAAAAA==&#10;">
              <v:fill on="f" focussize="0,0"/>
              <v:stroke on="f" weight="0.5pt" joinstyle="round"/>
              <v:imagedata o:title=""/>
              <o:lock v:ext="edit" aspectratio="f"/>
              <v:textbox inset="0mm,0mm,0mm,0mm" style="mso-fit-shape-to-text:t;">
                <w:txbxContent>
                  <w:p>
                    <w:pPr>
                      <w:pStyle w:val="11"/>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3</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posOffset>41910</wp:posOffset>
              </wp:positionH>
              <wp:positionV relativeFrom="paragraph">
                <wp:posOffset>-21590</wp:posOffset>
              </wp:positionV>
              <wp:extent cx="711200" cy="230505"/>
              <wp:effectExtent l="0" t="0" r="0" b="0"/>
              <wp:wrapNone/>
              <wp:docPr id="7" name="文本框 19"/>
              <wp:cNvGraphicFramePr/>
              <a:graphic xmlns:a="http://schemas.openxmlformats.org/drawingml/2006/main">
                <a:graphicData uri="http://schemas.microsoft.com/office/word/2010/wordprocessingShape">
                  <wps:wsp>
                    <wps:cNvSpPr/>
                    <wps:spPr>
                      <a:xfrm>
                        <a:off x="0" y="0"/>
                        <a:ext cx="711200" cy="230251"/>
                      </a:xfrm>
                      <a:prstGeom prst="rect">
                        <a:avLst/>
                      </a:prstGeom>
                      <a:noFill/>
                      <a:ln w="6350" cap="flat" cmpd="sng">
                        <a:noFill/>
                        <a:prstDash val="solid"/>
                        <a:round/>
                      </a:ln>
                    </wps:spPr>
                    <wps:txbx>
                      <w:txbxContent>
                        <w:p>
                          <w:pPr>
                            <w:pStyle w:val="11"/>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9" o:spid="_x0000_s1026" o:spt="1" style="position:absolute;left:0pt;margin-left:3.3pt;margin-top:-1.7pt;height:18.15pt;width:56pt;mso-position-horizontal-relative:margin;mso-wrap-style:none;z-index:251659264;mso-width-relative:page;mso-height-relative:page;" filled="f" stroked="f" coordsize="21600,21600" o:gfxdata="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85+A&#10;2QAAAAcBAAAPAAAAAAAAAAEAIAAAACIAAABkcnMvZG93bnJldi54bWxQSwECFAAUAAAACACHTuJA&#10;FbNt5+cBAACnAwAADgAAAAAAAAABACAAAAAoAQAAZHJzL2Uyb0RvYy54bWxQSwUGAAAAAAYABgBZ&#10;AQAAgQUAAAAA&#10;">
              <v:fill on="f" focussize="0,0"/>
              <v:stroke on="f" weight="0.5pt" joinstyle="round"/>
              <v:imagedata o:title=""/>
              <o:lock v:ext="edit" aspectratio="f"/>
              <v:textbox inset="0mm,0mm,0mm,0mm" style="mso-fit-shape-to-text:t;">
                <w:txbxContent>
                  <w:p>
                    <w:pPr>
                      <w:pStyle w:val="11"/>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4C796"/>
    <w:multiLevelType w:val="multilevel"/>
    <w:tmpl w:val="C054C796"/>
    <w:lvl w:ilvl="0" w:tentative="0">
      <w:start w:val="1"/>
      <w:numFmt w:val="chineseCountingThousand"/>
      <w:lvlText w:val="%1、"/>
      <w:legacy w:legacy="1" w:legacySpace="0" w:legacyIndent="640"/>
      <w:lvlJc w:val="left"/>
      <w:pPr>
        <w:ind w:left="1280" w:hanging="64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0AB558B"/>
    <w:rsid w:val="08DE4A6B"/>
    <w:rsid w:val="09712C28"/>
    <w:rsid w:val="0AAD3AAC"/>
    <w:rsid w:val="0D75361D"/>
    <w:rsid w:val="11002AF4"/>
    <w:rsid w:val="14946180"/>
    <w:rsid w:val="19845B52"/>
    <w:rsid w:val="1D0B08AE"/>
    <w:rsid w:val="1D4B34EF"/>
    <w:rsid w:val="1F5F7367"/>
    <w:rsid w:val="27CF6A32"/>
    <w:rsid w:val="28A63F63"/>
    <w:rsid w:val="28BE7BBA"/>
    <w:rsid w:val="2B6C0D6D"/>
    <w:rsid w:val="32E2731C"/>
    <w:rsid w:val="33501795"/>
    <w:rsid w:val="3B1665B7"/>
    <w:rsid w:val="400871C3"/>
    <w:rsid w:val="48657B51"/>
    <w:rsid w:val="4B9818B3"/>
    <w:rsid w:val="4C2D6085"/>
    <w:rsid w:val="532553F9"/>
    <w:rsid w:val="538837AA"/>
    <w:rsid w:val="578D2D75"/>
    <w:rsid w:val="57CC175D"/>
    <w:rsid w:val="5F3C426D"/>
    <w:rsid w:val="618D2DBC"/>
    <w:rsid w:val="62F65446"/>
    <w:rsid w:val="6511780F"/>
    <w:rsid w:val="678855D3"/>
    <w:rsid w:val="6E9F3CED"/>
    <w:rsid w:val="6F72287D"/>
    <w:rsid w:val="74E02831"/>
    <w:rsid w:val="75C57449"/>
    <w:rsid w:val="76A31BB3"/>
    <w:rsid w:val="76B40B97"/>
    <w:rsid w:val="7A064426"/>
    <w:rsid w:val="7C602622"/>
    <w:rsid w:val="7C6C0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2"/>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3"/>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paragraph" w:styleId="15">
    <w:name w:val="Normal (Web)"/>
    <w:next w:val="16"/>
    <w:qFormat/>
    <w:uiPriority w:val="0"/>
    <w:pPr>
      <w:widowControl/>
      <w:suppressAutoHyphens/>
      <w:bidi w:val="0"/>
      <w:spacing w:before="100" w:beforeAutospacing="1" w:after="100" w:afterAutospacing="1"/>
      <w:jc w:val="left"/>
    </w:pPr>
    <w:rPr>
      <w:rFonts w:ascii="宋体" w:hAnsi="Times New Roman" w:eastAsia="宋体" w:cs="宋体"/>
      <w:color w:val="auto"/>
      <w:kern w:val="0"/>
      <w:sz w:val="24"/>
      <w:szCs w:val="24"/>
      <w:lang w:val="en-US" w:eastAsia="zh-CN" w:bidi="ar-SA"/>
    </w:rPr>
  </w:style>
  <w:style w:type="paragraph" w:customStyle="1" w:styleId="16">
    <w:name w:val="Default"/>
    <w:next w:val="17"/>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7">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customStyle="1" w:styleId="22">
    <w:name w:val="heading 1 Char"/>
    <w:basedOn w:val="19"/>
    <w:link w:val="5"/>
    <w:qFormat/>
    <w:uiPriority w:val="0"/>
    <w:rPr>
      <w:rFonts w:ascii="Times New Roman" w:hAnsi="Times New Roman" w:eastAsia="宋体" w:cs="Times New Roman"/>
      <w:b/>
      <w:bCs/>
      <w:kern w:val="44"/>
      <w:sz w:val="44"/>
      <w:szCs w:val="44"/>
      <w:lang w:val="en-US" w:eastAsia="zh-CN" w:bidi="ar-SA"/>
    </w:rPr>
  </w:style>
  <w:style w:type="character" w:customStyle="1" w:styleId="23">
    <w:name w:val="heading 2 Char"/>
    <w:basedOn w:val="19"/>
    <w:link w:val="6"/>
    <w:qFormat/>
    <w:uiPriority w:val="0"/>
    <w:rPr>
      <w:rFonts w:ascii="Cambria" w:hAnsi="Cambria" w:eastAsia="宋体" w:cs="Times New Roman"/>
      <w:b/>
      <w:bCs/>
      <w:kern w:val="2"/>
      <w:sz w:val="32"/>
      <w:szCs w:val="32"/>
      <w:lang w:val="en-US" w:eastAsia="zh-CN" w:bidi="ar-SA"/>
    </w:rPr>
  </w:style>
  <w:style w:type="character" w:customStyle="1" w:styleId="24">
    <w:name w:val="Header Char"/>
    <w:basedOn w:val="19"/>
    <w:qFormat/>
    <w:uiPriority w:val="0"/>
    <w:rPr>
      <w:rFonts w:ascii="Times New Roman" w:hAnsi="Times New Roman"/>
      <w:sz w:val="18"/>
      <w:szCs w:val="18"/>
    </w:rPr>
  </w:style>
  <w:style w:type="character" w:customStyle="1" w:styleId="25">
    <w:name w:val="Footer Char"/>
    <w:basedOn w:val="19"/>
    <w:qFormat/>
    <w:uiPriority w:val="0"/>
    <w:rPr>
      <w:rFonts w:ascii="Times New Roman" w:hAnsi="Times New Roman"/>
      <w:sz w:val="18"/>
      <w:szCs w:val="18"/>
    </w:rPr>
  </w:style>
  <w:style w:type="character" w:customStyle="1" w:styleId="26">
    <w:name w:val="Body Text Char"/>
    <w:basedOn w:val="19"/>
    <w:qFormat/>
    <w:uiPriority w:val="0"/>
    <w:rPr>
      <w:rFonts w:ascii="Times New Roman" w:hAnsi="Times New Roman"/>
      <w:szCs w:val="24"/>
    </w:rPr>
  </w:style>
  <w:style w:type="paragraph" w:styleId="27">
    <w:name w:val="List Paragraph"/>
    <w:basedOn w:val="1"/>
    <w:qFormat/>
    <w:uiPriority w:val="0"/>
    <w:pPr>
      <w:ind w:firstLine="200" w:firstLineChars="200"/>
    </w:pPr>
  </w:style>
  <w:style w:type="paragraph" w:customStyle="1" w:styleId="28">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TOC 标题2"/>
    <w:basedOn w:val="5"/>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四号正文"/>
    <w:basedOn w:val="1"/>
    <w:qFormat/>
    <w:uiPriority w:val="0"/>
    <w:pPr>
      <w:spacing w:line="360" w:lineRule="auto"/>
    </w:pPr>
    <w:rPr>
      <w:rFonts w:ascii="??" w:hAnsi="??"/>
      <w:color w:val="000000"/>
      <w:kern w:val="0"/>
      <w:sz w:val="28"/>
      <w:szCs w:val="21"/>
      <w:lang w:val="zh-CN"/>
    </w:rPr>
  </w:style>
  <w:style w:type="paragraph" w:styleId="31">
    <w:name w:val="No Spacing"/>
    <w:next w:val="2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35</Pages>
  <Words>10308</Words>
  <Characters>10918</Characters>
  <Lines>593</Lines>
  <Paragraphs>212</Paragraphs>
  <TotalTime>3</TotalTime>
  <ScaleCrop>false</ScaleCrop>
  <LinksUpToDate>false</LinksUpToDate>
  <CharactersWithSpaces>10968</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2025-09-02T02:47:00Z</dcterms:created>
  <dc:creator>曹颖</dc:creator>
  <cp:lastModifiedBy>王顺莉</cp:lastModifiedBy>
  <cp:lastPrinted>2025-09-03T09:30:00Z</cp:lastPrinted>
  <dcterms:modified xsi:type="dcterms:W3CDTF">2025-09-11T07:10:59Z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04787F2533EB45DC91BCDE4AB213247F</vt:lpwstr>
  </property>
</Properties>
</file>