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eastAsia="方正小标宋简体" w:cs="Times New Roman"/>
          <w:color w:val="auto"/>
          <w:kern w:val="2"/>
          <w:sz w:val="72"/>
          <w:szCs w:val="72"/>
          <w:highlight w:val="none"/>
          <w:lang w:val="en-US" w:eastAsia="zh-CN" w:bidi="ar-SA"/>
        </w:rPr>
      </w:pPr>
      <w:bookmarkStart w:id="0" w:name="_Toc15378441"/>
      <w:bookmarkStart w:id="1" w:name="_Toc15377425"/>
      <w:bookmarkStart w:id="2" w:name="_Toc15377193"/>
      <w:bookmarkStart w:id="3" w:name="_Toc15306267"/>
      <w:bookmarkStart w:id="4" w:name="_Toc15396475"/>
      <w:bookmarkStart w:id="5" w:name="_Toc15396597"/>
    </w:p>
    <w:p>
      <w:pPr>
        <w:pStyle w:val="8"/>
        <w:rPr>
          <w:rFonts w:hint="default" w:ascii="Times New Roman" w:hAnsi="Times New Roman" w:eastAsia="方正小标宋简体" w:cs="Times New Roman"/>
          <w:color w:val="auto"/>
          <w:kern w:val="2"/>
          <w:sz w:val="72"/>
          <w:szCs w:val="72"/>
          <w:highlight w:val="none"/>
          <w:lang w:val="en-US" w:eastAsia="zh-CN" w:bidi="ar-SA"/>
        </w:rPr>
      </w:pPr>
    </w:p>
    <w:p>
      <w:pPr>
        <w:pStyle w:val="8"/>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2024年度攀枝花市盐边生态环境监测站</w:t>
      </w:r>
    </w:p>
    <w:p>
      <w:pPr>
        <w:pStyle w:val="8"/>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单位决算公开文字说明</w:t>
      </w:r>
    </w:p>
    <w:p>
      <w:pPr>
        <w:pStyle w:val="19"/>
        <w:rPr>
          <w:rFonts w:hint="eastAsia" w:ascii="方正小标宋_GBK" w:hAnsi="方正小标宋_GBK" w:eastAsia="方正小标宋_GBK" w:cs="方正小标宋_GBK"/>
          <w:sz w:val="44"/>
          <w:szCs w:val="44"/>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pStyle w:val="8"/>
        <w:jc w:val="both"/>
        <w:rPr>
          <w:rFonts w:hint="default"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pPr>
        <w:widowControl/>
        <w:jc w:val="center"/>
        <w:rPr>
          <w:rFonts w:hint="default" w:ascii="Times New Roman" w:hAnsi="Times New Roman" w:eastAsia="黑体" w:cs="Times New Roman"/>
          <w:color w:val="auto"/>
          <w:sz w:val="48"/>
          <w:szCs w:val="48"/>
          <w:highlight w:val="none"/>
        </w:rPr>
      </w:pPr>
      <w:r>
        <w:rPr>
          <w:rFonts w:hint="default" w:ascii="Times New Roman" w:hAnsi="Times New Roman" w:eastAsia="黑体" w:cs="Times New Roman"/>
          <w:color w:val="auto"/>
          <w:sz w:val="48"/>
          <w:szCs w:val="48"/>
          <w:highlight w:val="none"/>
        </w:rPr>
        <w:t>目录</w:t>
      </w:r>
    </w:p>
    <w:p>
      <w:pPr>
        <w:widowControl/>
        <w:jc w:val="center"/>
        <w:rPr>
          <w:rFonts w:hint="default" w:ascii="Times New Roman" w:hAnsi="Times New Roman" w:eastAsia="黑体" w:cs="Times New Roman"/>
          <w:color w:val="auto"/>
          <w:sz w:val="28"/>
          <w:szCs w:val="28"/>
          <w:highlight w:val="none"/>
        </w:rPr>
      </w:pPr>
    </w:p>
    <w:p>
      <w:pPr>
        <w:pStyle w:val="13"/>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p>
      <w:pPr>
        <w:rPr>
          <w:rFonts w:hint="default" w:ascii="Times New Roman" w:hAnsi="Times New Roman" w:cs="Times New Roman"/>
          <w:color w:val="auto"/>
          <w:highlight w:val="none"/>
        </w:rPr>
      </w:pP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第一部分 </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概况</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单位职责</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第二部分</w:t>
      </w:r>
      <w:r>
        <w:rPr>
          <w:rFonts w:hint="default" w:ascii="Times New Roman" w:hAnsi="Times New Roman" w:eastAsia="黑体" w:cs="Times New Roman"/>
          <w:color w:val="auto"/>
          <w:sz w:val="32"/>
          <w:szCs w:val="32"/>
          <w:highlight w:val="none"/>
          <w:lang w:val="en-US" w:eastAsia="zh-CN"/>
        </w:rPr>
        <w:t xml:space="preserve"> 2024年度</w:t>
      </w:r>
      <w:r>
        <w:rPr>
          <w:rFonts w:hint="default" w:ascii="Times New Roman" w:hAnsi="Times New Roman" w:eastAsia="黑体" w:cs="Times New Roman"/>
          <w:color w:val="auto"/>
          <w:sz w:val="32"/>
          <w:szCs w:val="32"/>
          <w:highlight w:val="none"/>
          <w:lang w:eastAsia="zh-CN"/>
        </w:rPr>
        <w:t>单位</w:t>
      </w:r>
      <w:r>
        <w:rPr>
          <w:rFonts w:hint="default" w:ascii="Times New Roman" w:hAnsi="Times New Roman" w:eastAsia="黑体" w:cs="Times New Roman"/>
          <w:color w:val="auto"/>
          <w:sz w:val="32"/>
          <w:szCs w:val="32"/>
          <w:highlight w:val="none"/>
        </w:rPr>
        <w:t>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、其他重要事项的情况说明</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12</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仿宋_GB2312" w:cs="Times New Roman"/>
          <w:b w:val="0"/>
          <w:bCs w:val="0"/>
          <w:sz w:val="28"/>
          <w:szCs w:val="28"/>
          <w:lang w:val="en-US" w:eastAsia="zh-CN"/>
        </w:rPr>
      </w:pPr>
      <w:r>
        <w:rPr>
          <w:rFonts w:hint="default" w:ascii="Times New Roman" w:hAnsi="Times New Roman" w:eastAsia="黑体" w:cs="Times New Roman"/>
          <w:color w:val="auto"/>
          <w:sz w:val="32"/>
          <w:szCs w:val="32"/>
          <w:highlight w:val="none"/>
        </w:rPr>
        <w:t>第三部分 名词解释</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3</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第四部分 附件</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5</w:t>
      </w:r>
    </w:p>
    <w:p>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第五部分 附表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五、财政拨款支出决算明细表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七、一般公共预算财政拨款支出决算明细表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九、一般公共预算财政拨款项目支出决算表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十、政府性基金预算财政拨款收入支出决算表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十一、国有资本经营预算财政拨款收入支出决算表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default" w:ascii="Times New Roman" w:hAnsi="Times New Roman" w:eastAsia="仿宋_GB2312" w:cs="Times New Roman"/>
          <w:b w:val="0"/>
          <w:bCs w:val="0"/>
          <w:sz w:val="28"/>
          <w:szCs w:val="28"/>
        </w:rPr>
        <w:tab/>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6</w:t>
      </w:r>
    </w:p>
    <w:p>
      <w:pPr>
        <w:pStyle w:val="5"/>
        <w:jc w:val="center"/>
        <w:rPr>
          <w:rFonts w:hint="default" w:ascii="Times New Roman" w:hAnsi="Times New Roman" w:eastAsia="方正小标宋简体" w:cs="Times New Roman"/>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docGrid w:type="lines" w:linePitch="312" w:charSpace="0"/>
        </w:sectPr>
      </w:pPr>
      <w:bookmarkStart w:id="6" w:name="_Toc15396599"/>
      <w:bookmarkStart w:id="7" w:name="_Toc15377196"/>
    </w:p>
    <w:p>
      <w:pPr>
        <w:pStyle w:val="5"/>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b w:val="0"/>
          <w:color w:val="auto"/>
          <w:highlight w:val="none"/>
        </w:rPr>
        <w:t>第一部分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Style w:val="28"/>
          <w:rFonts w:hint="default" w:ascii="Times New Roman" w:hAnsi="Times New Roman" w:eastAsia="方正小标宋简体" w:cs="Times New Roman"/>
          <w:b w:val="0"/>
          <w:bCs w:val="0"/>
          <w:color w:val="auto"/>
          <w:highlight w:val="none"/>
          <w:lang w:eastAsia="zh-CN"/>
        </w:rPr>
        <w:t>单位</w:t>
      </w:r>
      <w:r>
        <w:rPr>
          <w:rStyle w:val="28"/>
          <w:rFonts w:hint="default" w:ascii="Times New Roman" w:hAnsi="Times New Roman" w:eastAsia="方正小标宋简体" w:cs="Times New Roman"/>
          <w:b w:val="0"/>
          <w:bCs w:val="0"/>
          <w:color w:val="auto"/>
          <w:highlight w:val="none"/>
        </w:rPr>
        <w:t>概况</w:t>
      </w:r>
      <w:bookmarkEnd w:id="6"/>
      <w:bookmarkEnd w:id="7"/>
    </w:p>
    <w:p>
      <w:pPr>
        <w:pStyle w:val="6"/>
        <w:keepNext/>
        <w:keepLines/>
        <w:pageBreakBefore w:val="0"/>
        <w:widowControl w:val="0"/>
        <w:numPr>
          <w:ilvl w:val="0"/>
          <w:numId w:val="1"/>
        </w:numPr>
        <w:kinsoku/>
        <w:wordWrap/>
        <w:overflowPunct/>
        <w:topLinePunct w:val="0"/>
        <w:autoSpaceDE/>
        <w:autoSpaceDN/>
        <w:bidi w:val="0"/>
        <w:adjustRightInd/>
        <w:snapToGrid/>
        <w:spacing w:line="416" w:lineRule="auto"/>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单位职责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（一）负责建立健全并执行各项生态环境基本制度。贯彻执行国家、省、市有关法律、法规、规章和政策，会同有关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拟订并组织实施区域内生态环境政策、规划。参与编制环境功能区划，参与制定与区域内生态环境相关的经济、技术、资源配置和产业政策。参与拟订并贯彻执行区域内主体功能区划。</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区域内生态环境污染防治的监督管理。组织制定并监督实施区域内大气、水、土壤、噪声、光、恶臭、固体废物、化学品、机动车等的污染防治管理制度。参与排污口设置管理工作，负责流域水环境保护工作。监督指导区域大气环境保护工作，牵头建立区域大气污染联防联控协作机制并监督实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组织协调生物多样性保护工作，参与生态保护补偿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（四）负责区域内生态环境监测、统计和信息发布工作。监督执行国家、省颁布的各类环境标准，组织实施环境监测制度和规范相关工作。会同有关</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（五）负责应对气候变化工作。组织实施国家、省应对气候变化及温室气体减排重大战略、规划和政策，组织实施区域内应对气候变化的规划和政策措施。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（六）开展生态环境科技工作。管理区域内生态环境保护科技成果并推广应用。组织开展生态环境重大科学研究和技术工程示范，推动生态环境技术管理体系建设。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w:t>（七）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numPr>
          <w:ilvl w:val="0"/>
          <w:numId w:val="0"/>
        </w:numPr>
        <w:rPr>
          <w:rFonts w:hint="default" w:ascii="Times New Roman" w:hAnsi="Times New Roman" w:cs="Times New Roman"/>
          <w:lang w:eastAsia="zh-CN"/>
        </w:rPr>
      </w:pPr>
    </w:p>
    <w:p>
      <w:pPr>
        <w:pStyle w:val="6"/>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9"/>
          <w:rFonts w:hint="default" w:ascii="Times New Roman" w:hAnsi="Times New Roman" w:cs="Times New Roman"/>
          <w:b w:val="0"/>
          <w:bCs w:val="0"/>
          <w:color w:val="auto"/>
          <w:highlight w:val="none"/>
        </w:rPr>
      </w:pPr>
      <w:bookmarkStart w:id="8" w:name="_Toc15377200"/>
      <w:bookmarkStart w:id="9"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8"/>
      <w:bookmarkEnd w:id="9"/>
    </w:p>
    <w:p>
      <w:pPr>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攀枝花市盐边生态环境监测站属二级预算单位，监测站内设机构为办公室、现场监测室、中心分析室、质量技术室。</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办公室：负责财务行政后勤管理，业务接洽和下达，文书报告收发及档案管理，组织技术业务交流学习，固定资产管理和仪器设备、试剂药品、办公用品采购事宜，政务协调和服务以及领导交予的其他任务。</w:t>
      </w:r>
    </w:p>
    <w:p>
      <w:pPr>
        <w:pStyle w:val="8"/>
        <w:pageBreakBefore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现场监测室：合理分配监测工作任务，按照规范程序开展现场监测及采样，对现场监测仪器设备进行日常维护，做好原始记录，制订监测工作所需物品名称和数量，编写相应作业指导书和监测报告。</w:t>
      </w:r>
    </w:p>
    <w:p>
      <w:pPr>
        <w:pStyle w:val="8"/>
        <w:pageBreakBefore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中心分析室：合理分配监测分析任务，按照规范程序开展实验室监测分析，对实验室仪器设备进行日常维护，做好原始记录，制订分析工作所需物品名称和数量，编写相应作业指导书和监测报告。</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质量技术室：全面负责监测工作质量管理，组织策划内部审核、管理评审、和质量控制活动，及时更新及替换监测标准和方法，收集、处理、反馈客户抱怨，对不符合工作进行控制，跟踪验证纠正、预防、改进措施，确保本站管理体系的建立、有效运行和持续改进。</w:t>
      </w:r>
    </w:p>
    <w:p>
      <w:pPr>
        <w:widowControl/>
        <w:jc w:val="lef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5"/>
        <w:jc w:val="center"/>
        <w:rPr>
          <w:rFonts w:hint="default" w:ascii="Times New Roman" w:hAnsi="Times New Roman" w:eastAsia="方正小标宋简体" w:cs="Times New Roman"/>
          <w:b w:val="0"/>
          <w:color w:val="auto"/>
          <w:highlight w:val="none"/>
        </w:rPr>
      </w:pPr>
      <w:bookmarkStart w:id="10" w:name="_Toc15396602"/>
      <w:bookmarkStart w:id="11" w:name="_Toc15377204"/>
      <w:r>
        <w:rPr>
          <w:rFonts w:hint="default" w:ascii="Times New Roman" w:hAnsi="Times New Roman" w:eastAsia="方正小标宋简体" w:cs="Times New Roman"/>
          <w:b w:val="0"/>
          <w:color w:val="auto"/>
          <w:highlight w:val="none"/>
        </w:rPr>
        <w:t>第二部分</w:t>
      </w:r>
      <w:r>
        <w:rPr>
          <w:rFonts w:hint="default" w:ascii="Times New Roman" w:hAnsi="Times New Roman" w:eastAsia="方正小标宋简体" w:cs="Times New Roman"/>
          <w:b w:val="0"/>
          <w:color w:val="auto"/>
          <w:highlight w:val="none"/>
          <w:lang w:val="en-US" w:eastAsia="zh-CN"/>
        </w:rPr>
        <w:t xml:space="preserve"> </w:t>
      </w:r>
      <w:r>
        <w:rPr>
          <w:rFonts w:hint="default" w:ascii="Times New Roman" w:hAnsi="Times New Roman" w:eastAsia="方正小标宋简体" w:cs="Times New Roman"/>
          <w:b w:val="0"/>
          <w:color w:val="auto"/>
          <w:highlight w:val="none"/>
        </w:rPr>
        <w:t xml:space="preserve"> </w:t>
      </w:r>
      <w:r>
        <w:rPr>
          <w:rFonts w:hint="default" w:ascii="Times New Roman" w:hAnsi="Times New Roman" w:eastAsia="方正小标宋简体" w:cs="Times New Roman"/>
          <w:b w:val="0"/>
          <w:color w:val="auto"/>
          <w:highlight w:val="none"/>
          <w:lang w:val="en-US" w:eastAsia="zh-CN"/>
        </w:rPr>
        <w:t>2024年度</w:t>
      </w:r>
      <w:r>
        <w:rPr>
          <w:rFonts w:hint="default" w:ascii="Times New Roman" w:hAnsi="Times New Roman" w:eastAsia="方正小标宋简体" w:cs="Times New Roman"/>
          <w:b w:val="0"/>
          <w:color w:val="auto"/>
          <w:highlight w:val="none"/>
          <w:lang w:eastAsia="zh-CN"/>
        </w:rPr>
        <w:t>单位</w:t>
      </w:r>
      <w:r>
        <w:rPr>
          <w:rFonts w:hint="default" w:ascii="Times New Roman" w:hAnsi="Times New Roman" w:eastAsia="方正小标宋简体" w:cs="Times New Roman"/>
          <w:b w:val="0"/>
          <w:color w:val="auto"/>
          <w:highlight w:val="none"/>
        </w:rPr>
        <w:t>决算情况说明</w:t>
      </w:r>
      <w:bookmarkEnd w:id="10"/>
      <w:bookmarkEnd w:id="11"/>
    </w:p>
    <w:p>
      <w:pPr>
        <w:rPr>
          <w:rFonts w:hint="default" w:ascii="Times New Roman" w:hAnsi="Times New Roman" w:cs="Times New Roman"/>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2" w:name="_Toc15396603"/>
      <w:bookmarkStart w:id="13" w:name="_Toc15377205"/>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29"/>
          <w:rFonts w:hint="default" w:ascii="Times New Roman" w:hAnsi="Times New Roman" w:eastAsia="黑体" w:cs="Times New Roman"/>
          <w:b w:val="0"/>
          <w:color w:val="auto"/>
          <w:highlight w:val="none"/>
        </w:rPr>
        <w:t>入支出决算总体情况说明</w:t>
      </w:r>
      <w:bookmarkEnd w:id="12"/>
      <w:bookmarkEnd w:id="13"/>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2024年度收入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w:t>
      </w:r>
      <w:r>
        <w:rPr>
          <w:rFonts w:hint="default" w:ascii="Times New Roman" w:hAnsi="Times New Roman" w:eastAsia="仿宋_GB2312" w:cs="Times New Roman"/>
          <w:color w:val="auto"/>
          <w:sz w:val="32"/>
          <w:szCs w:val="32"/>
          <w:highlight w:val="none"/>
          <w:lang w:eastAsia="zh-CN"/>
        </w:rPr>
        <w:t>均为</w:t>
      </w:r>
      <w:r>
        <w:rPr>
          <w:rFonts w:hint="default" w:ascii="Times New Roman" w:hAnsi="Times New Roman" w:eastAsia="仿宋_GB2312" w:cs="Times New Roman"/>
          <w:sz w:val="32"/>
          <w:szCs w:val="32"/>
        </w:rPr>
        <w:t>398.68</w:t>
      </w:r>
      <w:r>
        <w:rPr>
          <w:rFonts w:hint="default" w:ascii="Times New Roman" w:hAnsi="Times New Roman" w:eastAsia="仿宋_GB2312" w:cs="Times New Roman"/>
          <w:color w:val="auto"/>
          <w:sz w:val="32"/>
          <w:szCs w:val="32"/>
          <w:highlight w:val="none"/>
        </w:rPr>
        <w:t>万元。与</w:t>
      </w:r>
      <w:r>
        <w:rPr>
          <w:rFonts w:hint="default" w:ascii="Times New Roman" w:hAnsi="Times New Roman" w:eastAsia="仿宋_GB2312" w:cs="Times New Roman"/>
          <w:color w:val="auto"/>
          <w:sz w:val="32"/>
          <w:szCs w:val="32"/>
          <w:highlight w:val="none"/>
          <w:lang w:eastAsia="zh-CN"/>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相比，</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总计各增加</w:t>
      </w:r>
      <w:r>
        <w:rPr>
          <w:rFonts w:hint="default" w:ascii="Times New Roman" w:hAnsi="Times New Roman" w:eastAsia="仿宋_GB2312" w:cs="Times New Roman"/>
          <w:color w:val="auto"/>
          <w:sz w:val="32"/>
          <w:szCs w:val="32"/>
          <w:highlight w:val="none"/>
          <w:lang w:val="en-US" w:eastAsia="zh-CN"/>
        </w:rPr>
        <w:t>104.28</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35.42</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2024年有新实施的项目。</w:t>
      </w:r>
      <w:r>
        <w:rPr>
          <w:rFonts w:hint="default" w:ascii="Times New Roman" w:hAnsi="Times New Roman" w:eastAsia="仿宋_GB2312" w:cs="Times New Roman"/>
          <w:color w:val="auto"/>
          <w:sz w:val="32"/>
          <w:szCs w:val="32"/>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drawing>
          <wp:inline distT="0" distB="0" distL="114300" distR="114300">
            <wp:extent cx="4479290" cy="3078480"/>
            <wp:effectExtent l="4445" t="4445" r="1206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决算总计变动情况图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bookmarkStart w:id="14" w:name="_Toc15377206"/>
      <w:bookmarkStart w:id="15" w:name="_Toc15396604"/>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二、收入决算情况说明</w:t>
      </w:r>
      <w:bookmarkEnd w:id="14"/>
      <w:bookmarkEnd w:id="15"/>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2024年度本年收入合计</w:t>
      </w:r>
      <w:r>
        <w:rPr>
          <w:rFonts w:hint="default" w:ascii="Times New Roman" w:hAnsi="Times New Roman" w:eastAsia="仿宋_GB2312" w:cs="Times New Roman"/>
          <w:sz w:val="32"/>
          <w:szCs w:val="32"/>
        </w:rPr>
        <w:t>398.68万元，其中：一般公共预算财政拨款收入288.51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72.3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color w:val="auto"/>
          <w:sz w:val="32"/>
          <w:szCs w:val="32"/>
          <w:highlight w:val="none"/>
          <w:lang w:eastAsia="zh-CN"/>
        </w:rPr>
        <w:t>%；政府性基金预算财政拨款收入</w:t>
      </w:r>
      <w:r>
        <w:rPr>
          <w:rFonts w:hint="default" w:ascii="Times New Roman" w:hAnsi="Times New Roman" w:eastAsia="仿宋_GB2312" w:cs="Times New Roman"/>
          <w:sz w:val="32"/>
          <w:szCs w:val="32"/>
        </w:rPr>
        <w:t>110.17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sz w:val="32"/>
          <w:szCs w:val="32"/>
        </w:rPr>
        <w:t>27.63%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58240" behindDoc="1" locked="0" layoutInCell="1" allowOverlap="1">
            <wp:simplePos x="0" y="0"/>
            <wp:positionH relativeFrom="column">
              <wp:posOffset>95885</wp:posOffset>
            </wp:positionH>
            <wp:positionV relativeFrom="paragraph">
              <wp:posOffset>423545</wp:posOffset>
            </wp:positionV>
            <wp:extent cx="4798060" cy="3056255"/>
            <wp:effectExtent l="4445" t="5080" r="43815" b="62865"/>
            <wp:wrapTight wrapText="bothSides">
              <wp:wrapPolygon>
                <wp:start x="-20" y="-36"/>
                <wp:lineTo x="-20" y="21506"/>
                <wp:lineTo x="21523" y="21506"/>
                <wp:lineTo x="21523" y="-36"/>
                <wp:lineTo x="-20" y="-36"/>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ind w:firstLine="800"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图2：收入决算结构图</w:t>
      </w:r>
    </w:p>
    <w:p>
      <w:pPr>
        <w:pStyle w:val="2"/>
        <w:rPr>
          <w:rFonts w:hint="default" w:ascii="Times New Roman" w:hAnsi="Times New Roman" w:cs="Times New Roman"/>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9"/>
          <w:rFonts w:hint="default" w:ascii="Times New Roman" w:hAnsi="Times New Roman" w:eastAsia="黑体" w:cs="Times New Roman"/>
          <w:b w:val="0"/>
          <w:color w:val="auto"/>
          <w:highlight w:val="none"/>
        </w:rPr>
      </w:pPr>
      <w:bookmarkStart w:id="16" w:name="_Toc15396605"/>
      <w:bookmarkStart w:id="17" w:name="_Toc15377207"/>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29"/>
          <w:rFonts w:hint="default" w:ascii="Times New Roman" w:hAnsi="Times New Roman" w:eastAsia="黑体" w:cs="Times New Roman"/>
          <w:b w:val="0"/>
          <w:color w:val="auto"/>
          <w:highlight w:val="none"/>
        </w:rPr>
        <w:t>出决算情况说明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2024年度本年支出合计</w:t>
      </w:r>
      <w:r>
        <w:rPr>
          <w:rFonts w:hint="default" w:ascii="Times New Roman" w:hAnsi="Times New Roman" w:eastAsia="仿宋_GB2312" w:cs="Times New Roman"/>
          <w:color w:val="auto"/>
          <w:sz w:val="32"/>
          <w:szCs w:val="32"/>
        </w:rPr>
        <w:t>398.68</w:t>
      </w:r>
      <w:r>
        <w:rPr>
          <w:rFonts w:hint="default" w:ascii="Times New Roman" w:hAnsi="Times New Roman" w:eastAsia="仿宋_GB2312" w:cs="Times New Roman"/>
          <w:color w:val="auto"/>
          <w:sz w:val="32"/>
          <w:szCs w:val="32"/>
          <w:highlight w:val="none"/>
          <w:lang w:eastAsia="zh-CN"/>
        </w:rPr>
        <w:t>万元，其中：基本支出</w:t>
      </w:r>
      <w:r>
        <w:rPr>
          <w:rFonts w:hint="default" w:ascii="Times New Roman" w:hAnsi="Times New Roman" w:eastAsia="仿宋_GB2312" w:cs="Times New Roman"/>
          <w:color w:val="auto"/>
          <w:sz w:val="32"/>
          <w:szCs w:val="32"/>
        </w:rPr>
        <w:t>229</w:t>
      </w:r>
      <w:r>
        <w:rPr>
          <w:rFonts w:hint="default" w:eastAsia="仿宋_GB2312" w:cs="Times New Roman"/>
          <w:color w:val="auto"/>
          <w:sz w:val="32"/>
          <w:szCs w:val="32"/>
          <w:lang w:val="en"/>
        </w:rPr>
        <w:t>.</w:t>
      </w:r>
      <w:r>
        <w:rPr>
          <w:rFonts w:hint="default" w:ascii="Times New Roman" w:hAnsi="Times New Roman" w:eastAsia="仿宋_GB2312" w:cs="Times New Roman"/>
          <w:color w:val="auto"/>
          <w:sz w:val="32"/>
          <w:szCs w:val="32"/>
        </w:rPr>
        <w:t>47</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color w:val="auto"/>
          <w:sz w:val="32"/>
          <w:szCs w:val="32"/>
        </w:rPr>
        <w:t>57.55</w:t>
      </w:r>
      <w:r>
        <w:rPr>
          <w:rFonts w:hint="default" w:ascii="Times New Roman" w:hAnsi="Times New Roman" w:eastAsia="仿宋_GB2312" w:cs="Times New Roman"/>
          <w:color w:val="auto"/>
          <w:sz w:val="32"/>
          <w:szCs w:val="32"/>
          <w:highlight w:val="none"/>
          <w:lang w:eastAsia="zh-CN"/>
        </w:rPr>
        <w:t>%；项目支出</w:t>
      </w:r>
      <w:r>
        <w:rPr>
          <w:rFonts w:hint="default" w:ascii="Times New Roman" w:hAnsi="Times New Roman" w:eastAsia="仿宋_GB2312" w:cs="Times New Roman"/>
          <w:color w:val="auto"/>
          <w:sz w:val="32"/>
          <w:szCs w:val="32"/>
        </w:rPr>
        <w:t>169.21</w:t>
      </w:r>
      <w:r>
        <w:rPr>
          <w:rFonts w:hint="default" w:ascii="Times New Roman" w:hAnsi="Times New Roman" w:eastAsia="仿宋_GB2312" w:cs="Times New Roman"/>
          <w:color w:val="auto"/>
          <w:sz w:val="32"/>
          <w:szCs w:val="32"/>
          <w:highlight w:val="none"/>
          <w:lang w:eastAsia="zh-CN"/>
        </w:rPr>
        <w:t>万元，占</w:t>
      </w:r>
      <w:r>
        <w:rPr>
          <w:rFonts w:hint="default" w:ascii="Times New Roman" w:hAnsi="Times New Roman" w:eastAsia="仿宋_GB2312" w:cs="Times New Roman"/>
          <w:color w:val="auto"/>
          <w:sz w:val="32"/>
          <w:szCs w:val="32"/>
        </w:rPr>
        <w:t>42.44</w:t>
      </w:r>
      <w:r>
        <w:rPr>
          <w:rFonts w:hint="default" w:ascii="Times New Roman" w:hAnsi="Times New Roman" w:eastAsia="仿宋_GB2312" w:cs="Times New Roman"/>
          <w:color w:val="auto"/>
          <w:sz w:val="32"/>
          <w:szCs w:val="32"/>
          <w:highlight w:val="none"/>
          <w:lang w:eastAsia="zh-CN"/>
        </w:rPr>
        <w:t>%。</w:t>
      </w:r>
    </w:p>
    <w:p>
      <w:pPr>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FF0000"/>
          <w:sz w:val="32"/>
          <w:szCs w:val="32"/>
          <w:highlight w:val="none"/>
          <w:lang w:eastAsia="zh-CN"/>
        </w:rPr>
        <w:drawing>
          <wp:inline distT="0" distB="0" distL="114300" distR="114300">
            <wp:extent cx="4349115" cy="2621915"/>
            <wp:effectExtent l="4445" t="4445" r="5080" b="101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800" w:firstLineChars="250"/>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图3：支出决算结构图</w:t>
      </w:r>
    </w:p>
    <w:p>
      <w:pPr>
        <w:ind w:firstLine="800" w:firstLineChars="250"/>
        <w:rPr>
          <w:rFonts w:hint="default" w:ascii="Times New Roman" w:hAnsi="Times New Roman" w:eastAsia="仿宋_GB2312" w:cs="Times New Roman"/>
          <w:color w:val="auto"/>
          <w:sz w:val="32"/>
          <w:szCs w:val="32"/>
          <w:highlight w:val="none"/>
          <w:lang w:eastAsia="zh-CN"/>
        </w:rPr>
      </w:pPr>
    </w:p>
    <w:p>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18" w:name="_Toc15377208"/>
      <w:bookmarkStart w:id="19" w:name="_Toc15396606"/>
      <w:r>
        <w:rPr>
          <w:rFonts w:hint="default" w:ascii="Times New Roman" w:hAnsi="Times New Roman" w:eastAsia="黑体" w:cs="Times New Roman"/>
          <w:color w:val="auto"/>
          <w:sz w:val="32"/>
          <w:szCs w:val="32"/>
          <w:highlight w:val="none"/>
        </w:rPr>
        <w:t>四、财</w:t>
      </w:r>
      <w:r>
        <w:rPr>
          <w:rStyle w:val="29"/>
          <w:rFonts w:hint="default" w:ascii="Times New Roman" w:hAnsi="Times New Roman" w:eastAsia="黑体" w:cs="Times New Roman"/>
          <w:b w:val="0"/>
          <w:color w:val="auto"/>
          <w:highlight w:val="none"/>
        </w:rPr>
        <w:t>政拨款收入支出决算总体情况说明</w:t>
      </w:r>
      <w:bookmarkEnd w:id="18"/>
      <w:bookmarkEnd w:id="19"/>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2024年度财政拨款收入、支出总计均为</w:t>
      </w:r>
      <w:r>
        <w:rPr>
          <w:rFonts w:hint="default" w:ascii="Times New Roman" w:hAnsi="Times New Roman" w:eastAsia="仿宋_GB2312" w:cs="Times New Roman"/>
          <w:sz w:val="32"/>
          <w:szCs w:val="32"/>
        </w:rPr>
        <w:t>398.68</w:t>
      </w:r>
      <w:r>
        <w:rPr>
          <w:rFonts w:hint="default" w:ascii="Times New Roman" w:hAnsi="Times New Roman" w:eastAsia="仿宋_GB2312" w:cs="Times New Roman"/>
          <w:color w:val="auto"/>
          <w:kern w:val="2"/>
          <w:sz w:val="32"/>
          <w:szCs w:val="32"/>
          <w:highlight w:val="none"/>
          <w:lang w:val="en-US" w:eastAsia="zh-CN" w:bidi="ar-SA"/>
        </w:rPr>
        <w:t>万元。与2023年度相比，财政拨款收入总计、支出总计各增加104.28万元，增长35.42%。主要变动原因是2024年有新增的项目支出。</w:t>
      </w:r>
    </w:p>
    <w:p>
      <w:pPr>
        <w:pStyle w:val="2"/>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anchor distT="0" distB="0" distL="114300" distR="114300" simplePos="0" relativeHeight="251659264" behindDoc="1" locked="0" layoutInCell="1" allowOverlap="1">
            <wp:simplePos x="0" y="0"/>
            <wp:positionH relativeFrom="column">
              <wp:posOffset>118745</wp:posOffset>
            </wp:positionH>
            <wp:positionV relativeFrom="paragraph">
              <wp:posOffset>103505</wp:posOffset>
            </wp:positionV>
            <wp:extent cx="5049520" cy="2827020"/>
            <wp:effectExtent l="4445" t="4445" r="5715" b="1841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3"/>
        <w:rPr>
          <w:rFonts w:hint="default" w:ascii="Times New Roman" w:hAnsi="Times New Roman" w:eastAsia="仿宋_GB2312" w:cs="Times New Roman"/>
          <w:color w:val="auto"/>
          <w:kern w:val="2"/>
          <w:sz w:val="32"/>
          <w:szCs w:val="32"/>
          <w:highlight w:val="none"/>
          <w:lang w:val="en-US" w:eastAsia="zh-CN" w:bidi="ar-SA"/>
        </w:rPr>
      </w:pPr>
    </w:p>
    <w:p>
      <w:pPr>
        <w:pStyle w:val="2"/>
        <w:rPr>
          <w:rFonts w:hint="default" w:ascii="Times New Roman" w:hAnsi="Times New Roman" w:cs="Times New Roman"/>
          <w:lang w:val="en-US" w:eastAsia="zh-CN"/>
        </w:rPr>
      </w:pPr>
    </w:p>
    <w:p>
      <w:pPr>
        <w:spacing w:line="600" w:lineRule="exact"/>
        <w:ind w:firstLine="640" w:firstLineChars="20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图4：财政拨款收、支决算总计变动情况</w:t>
      </w:r>
    </w:p>
    <w:p>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p>
    <w:p>
      <w:pPr>
        <w:spacing w:line="600" w:lineRule="exact"/>
        <w:ind w:firstLine="640" w:firstLineChars="200"/>
        <w:outlineLvl w:val="1"/>
        <w:rPr>
          <w:rStyle w:val="29"/>
          <w:rFonts w:hint="default" w:ascii="Times New Roman" w:hAnsi="Times New Roman" w:eastAsia="黑体" w:cs="Times New Roman"/>
          <w:b w:val="0"/>
          <w:color w:val="auto"/>
          <w:highlight w:val="none"/>
        </w:rPr>
      </w:pPr>
      <w:bookmarkStart w:id="20" w:name="_Toc15377209"/>
      <w:bookmarkStart w:id="21" w:name="_Toc15396607"/>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0"/>
      <w:bookmarkEnd w:id="2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2"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2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288.51</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72.36</w:t>
      </w:r>
      <w:r>
        <w:rPr>
          <w:rFonts w:hint="default" w:ascii="Times New Roman" w:hAnsi="Times New Roman" w:eastAsia="仿宋_GB2312" w:cs="Times New Roman"/>
          <w:color w:val="auto"/>
          <w:kern w:val="2"/>
          <w:sz w:val="32"/>
          <w:szCs w:val="32"/>
          <w:highlight w:val="none"/>
          <w:lang w:val="en-US" w:eastAsia="zh-CN" w:bidi="ar-SA"/>
        </w:rPr>
        <w:t>%。与2023年度相比，一般公共预算财政拨款支出减少5.89万元，下降2%。主要变动原因是人员变动导致的财政拨款支出变动。</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p>
    <w:p>
      <w:pPr>
        <w:pStyle w:val="3"/>
        <w:ind w:left="0" w:leftChars="0" w:firstLine="0" w:firstLineChars="0"/>
        <w:rPr>
          <w:rFonts w:hint="default" w:ascii="Times New Roman" w:hAnsi="Times New Roman" w:eastAsia="仿宋_GB2312" w:cs="Times New Roman"/>
          <w:color w:val="auto"/>
          <w:kern w:val="2"/>
          <w:sz w:val="32"/>
          <w:szCs w:val="32"/>
          <w:highlight w:val="none"/>
          <w:lang w:val="en-US" w:eastAsia="zh-CN" w:bidi="ar-SA"/>
        </w:rPr>
      </w:pPr>
    </w:p>
    <w:p>
      <w:pPr>
        <w:pStyle w:val="3"/>
        <w:ind w:left="0" w:leftChars="0"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517390" cy="2667635"/>
            <wp:effectExtent l="4445" t="4445" r="19685" b="1016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图5：一般公共预算财政拨款支出决算变动情况</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3" w:name="_Toc15377211"/>
      <w:r>
        <w:rPr>
          <w:rFonts w:hint="default" w:ascii="Times New Roman" w:hAnsi="Times New Roman" w:eastAsia="楷体_GB2312" w:cs="Times New Roman"/>
          <w:b/>
          <w:color w:val="auto"/>
          <w:sz w:val="32"/>
          <w:szCs w:val="32"/>
          <w:highlight w:val="none"/>
        </w:rPr>
        <w:t>（二）一般公共预算财政拨款支出决算结构情况</w:t>
      </w:r>
      <w:bookmarkEnd w:id="2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w:t>
      </w:r>
      <w:r>
        <w:rPr>
          <w:rFonts w:hint="default" w:ascii="Times New Roman" w:hAnsi="Times New Roman" w:eastAsia="仿宋_GB2312" w:cs="Times New Roman"/>
          <w:sz w:val="32"/>
          <w:szCs w:val="32"/>
        </w:rPr>
        <w:t>288.51</w:t>
      </w:r>
      <w:r>
        <w:rPr>
          <w:rFonts w:hint="default" w:ascii="Times New Roman" w:hAnsi="Times New Roman" w:eastAsia="仿宋_GB2312" w:cs="Times New Roman"/>
          <w:color w:val="auto"/>
          <w:kern w:val="2"/>
          <w:sz w:val="32"/>
          <w:szCs w:val="32"/>
          <w:highlight w:val="none"/>
          <w:lang w:val="en-US" w:eastAsia="zh-CN" w:bidi="ar-SA"/>
        </w:rPr>
        <w:t>万元，主要用于以下方面：节能环保支出217.31万元，占75.32%；社会保障和就业支出29.7万元，占10.29%；卫生健康支出18.54万元，占6.43%；住房保障支出22.96万元，占7.96%。</w:t>
      </w: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3"/>
        <w:ind w:left="0" w:leftChars="0" w:firstLine="0" w:firstLineChars="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417060" cy="2881630"/>
            <wp:effectExtent l="4445" t="4445" r="1333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图6：一般公共预算财政拨款支出决算结构</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24"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24"/>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bookmarkStart w:id="25" w:name="_Toc15378460"/>
      <w:bookmarkStart w:id="26" w:name="_Toc15377213"/>
      <w:bookmarkStart w:id="27" w:name="_Toc15377444"/>
      <w:r>
        <w:rPr>
          <w:rFonts w:hint="default" w:ascii="Times New Roman" w:hAnsi="Times New Roman" w:eastAsia="仿宋_GB2312"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仿宋_GB2312" w:cs="Times New Roman"/>
          <w:sz w:val="32"/>
          <w:szCs w:val="32"/>
        </w:rPr>
        <w:t>288.51</w:t>
      </w:r>
      <w:r>
        <w:rPr>
          <w:rFonts w:hint="eastAsia" w:ascii="Times New Roman" w:hAnsi="Times New Roman" w:eastAsia="仿宋_GB2312" w:cs="Times New Roman"/>
          <w:sz w:val="32"/>
          <w:szCs w:val="32"/>
          <w:lang w:eastAsia="zh-CN"/>
        </w:rPr>
        <w:t>万元</w:t>
      </w:r>
      <w:r>
        <w:rPr>
          <w:rFonts w:hint="default" w:ascii="Times New Roman" w:hAnsi="Times New Roman" w:eastAsia="仿宋_GB2312" w:cs="Times New Roman"/>
          <w:color w:val="auto"/>
          <w:kern w:val="2"/>
          <w:sz w:val="32"/>
          <w:szCs w:val="32"/>
          <w:highlight w:val="none"/>
          <w:lang w:val="en-US" w:eastAsia="zh-CN" w:bidi="ar-SA"/>
        </w:rPr>
        <w:t>，完成预算100%。其中：</w:t>
      </w:r>
      <w:bookmarkEnd w:id="25"/>
      <w:bookmarkEnd w:id="26"/>
      <w:bookmarkEnd w:id="27"/>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1.社会保障和就业（208类）行政事业单位养老支出（05款）事业单位离退休（02项）：支出决算为0.28万元，完成预算100%，决算</w:t>
      </w:r>
      <w:r>
        <w:rPr>
          <w:rFonts w:hint="eastAsia" w:eastAsia="仿宋_GB2312" w:cs="Times New Roman"/>
          <w:color w:val="auto"/>
          <w:kern w:val="2"/>
          <w:sz w:val="32"/>
          <w:szCs w:val="32"/>
          <w:highlight w:val="none"/>
          <w:lang w:val="en-US" w:eastAsia="zh-CN" w:bidi="ar-SA"/>
        </w:rPr>
        <w:t>数</w:t>
      </w:r>
      <w:r>
        <w:rPr>
          <w:rFonts w:hint="default" w:ascii="Times New Roman" w:hAnsi="Times New Roman" w:eastAsia="仿宋_GB2312" w:cs="Times New Roman"/>
          <w:color w:val="auto"/>
          <w:kern w:val="2"/>
          <w:sz w:val="32"/>
          <w:szCs w:val="32"/>
          <w:highlight w:val="none"/>
          <w:lang w:val="en-US" w:eastAsia="zh-CN" w:bidi="ar-SA"/>
        </w:rPr>
        <w:t>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2.社会保障和就业（208类）行政事业单位养老支出（05款）机关事业单位基本养老保险缴费支出（05项）: 支出决算为29.42万元，完成预算100%，决算数等于预算数。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3.卫生健康（210类）行政事业单位医疗（11款）事业单位医疗（02项）：支出决算为14.79万元，完成预算100%，决算数等于预算数。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4.卫生健康（210类）行政事业单位医疗（11款）公务员医疗补助（03项）：支出决算为1.86万元，完成预算100%，决算数等于预算数。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5.卫生健康（210类）行政事业单位医疗（11款）其他行政事业单位医疗支出（99项）：支出决算为1.89万元，完成预算100%，决算数等于预算数。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6.节能环保支出（211类）环境保护管理事务（01款）其他环境保护管理事务支出（99项）：支出决算为178.28万元，完成预算100%，决算数等于预算数。</w:t>
      </w:r>
    </w:p>
    <w:p>
      <w:pPr>
        <w:spacing w:line="600" w:lineRule="exact"/>
        <w:ind w:firstLine="640"/>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highlight w:val="none"/>
          <w:lang w:val="en-US" w:eastAsia="zh-CN" w:bidi="ar-SA"/>
        </w:rPr>
        <w:t>7.节能环保支出（211类）污染防治（03款）其他污染防治支出（99项）：支出决算为39.03万元，完成预算100%，决算数等于预算数。</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.住房保障支出（221类）住房改革支出（02款）住房公积金（01项）：支出决算为22.96万元，完成预算100%，决算数等于预算数。</w:t>
      </w:r>
    </w:p>
    <w:p>
      <w:pPr>
        <w:tabs>
          <w:tab w:val="right" w:pos="8306"/>
        </w:tabs>
        <w:spacing w:line="600" w:lineRule="exact"/>
        <w:ind w:firstLine="640"/>
        <w:outlineLvl w:val="1"/>
        <w:rPr>
          <w:rStyle w:val="29"/>
          <w:rFonts w:hint="default" w:ascii="Times New Roman" w:hAnsi="Times New Roman" w:cs="Times New Roman"/>
          <w:color w:val="auto"/>
          <w:highlight w:val="none"/>
        </w:rPr>
      </w:pPr>
      <w:bookmarkStart w:id="28" w:name="_Toc15377214"/>
      <w:bookmarkStart w:id="29"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般公共预算财政拨款基本支出决算情况说明</w:t>
      </w:r>
      <w:bookmarkEnd w:id="28"/>
      <w:bookmarkEnd w:id="29"/>
      <w:r>
        <w:rPr>
          <w:rStyle w:val="29"/>
          <w:rFonts w:hint="default" w:ascii="Times New Roman" w:hAnsi="Times New Roman" w:eastAsia="黑体" w:cs="Times New Roman"/>
          <w:b w:val="0"/>
          <w:color w:val="auto"/>
          <w:highlight w:val="none"/>
        </w:rPr>
        <w:tab/>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2024年度一般公共预算财政拨款基本支出</w:t>
      </w:r>
      <w:r>
        <w:rPr>
          <w:rFonts w:hint="default" w:ascii="Times New Roman" w:hAnsi="Times New Roman" w:eastAsia="仿宋_GB2312" w:cs="Times New Roman"/>
          <w:sz w:val="32"/>
          <w:szCs w:val="32"/>
        </w:rPr>
        <w:t>229.47</w:t>
      </w:r>
      <w:r>
        <w:rPr>
          <w:rFonts w:hint="default" w:ascii="Times New Roman" w:hAnsi="Times New Roman" w:eastAsia="仿宋_GB2312" w:cs="Times New Roman"/>
          <w:color w:val="auto"/>
          <w:kern w:val="2"/>
          <w:sz w:val="32"/>
          <w:szCs w:val="32"/>
          <w:highlight w:val="none"/>
          <w:lang w:val="en-US" w:eastAsia="zh-CN" w:bidi="ar-SA"/>
        </w:rPr>
        <w:t>万元，其中：</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人员经费</w:t>
      </w:r>
      <w:r>
        <w:rPr>
          <w:rFonts w:hint="default" w:ascii="Times New Roman" w:hAnsi="Times New Roman" w:eastAsia="仿宋_GB2312" w:cs="Times New Roman"/>
          <w:sz w:val="32"/>
          <w:szCs w:val="32"/>
        </w:rPr>
        <w:t>207.85</w:t>
      </w:r>
      <w:r>
        <w:rPr>
          <w:rFonts w:hint="default" w:ascii="Times New Roman" w:hAnsi="Times New Roman" w:eastAsia="仿宋_GB2312" w:cs="Times New Roman"/>
          <w:color w:val="auto"/>
          <w:kern w:val="2"/>
          <w:sz w:val="32"/>
          <w:szCs w:val="32"/>
          <w:highlight w:val="none"/>
          <w:lang w:val="en-US" w:eastAsia="zh-CN" w:bidi="ar-SA"/>
        </w:rPr>
        <w:t>万元，主要包括：基本工资、津贴补贴、绩效工资、机关事业单位基本养老保险缴费、职工基本医疗保险缴费、公务员医疗补助缴费、其他社会保障缴费、住房公积金、医疗费补助。</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公用经费</w:t>
      </w:r>
      <w:r>
        <w:rPr>
          <w:rFonts w:hint="default" w:ascii="Times New Roman" w:hAnsi="Times New Roman" w:eastAsia="仿宋_GB2312" w:cs="Times New Roman"/>
          <w:sz w:val="32"/>
          <w:szCs w:val="32"/>
        </w:rPr>
        <w:t>21.62</w:t>
      </w:r>
      <w:r>
        <w:rPr>
          <w:rFonts w:hint="default" w:ascii="Times New Roman" w:hAnsi="Times New Roman" w:eastAsia="仿宋_GB2312" w:cs="Times New Roman"/>
          <w:color w:val="auto"/>
          <w:kern w:val="2"/>
          <w:sz w:val="32"/>
          <w:szCs w:val="32"/>
          <w:highlight w:val="none"/>
          <w:lang w:val="en-US" w:eastAsia="zh-CN" w:bidi="ar-SA"/>
        </w:rPr>
        <w:t>万元，主要包括：办公费、水费、电费、邮电费、差旅费、维修（护）费、培训费、公务接待费、劳务费、工会经费、福利费、公务用车运行维护费、其他商品和服务支出、办公设备购置。</w:t>
      </w:r>
    </w:p>
    <w:p>
      <w:pPr>
        <w:spacing w:line="600" w:lineRule="exact"/>
        <w:ind w:firstLine="640"/>
        <w:outlineLvl w:val="1"/>
        <w:rPr>
          <w:rStyle w:val="29"/>
          <w:rFonts w:hint="default" w:ascii="Times New Roman" w:hAnsi="Times New Roman" w:eastAsia="黑体" w:cs="Times New Roman"/>
          <w:b w:val="0"/>
          <w:color w:val="auto"/>
          <w:highlight w:val="none"/>
        </w:rPr>
      </w:pPr>
      <w:bookmarkStart w:id="30" w:name="_Toc15396609"/>
      <w:bookmarkStart w:id="31" w:name="_Toc15377215"/>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30"/>
      <w:bookmarkEnd w:id="31"/>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2"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32"/>
    </w:p>
    <w:p>
      <w:pPr>
        <w:spacing w:line="600" w:lineRule="exact"/>
        <w:ind w:firstLine="640"/>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2024年度“三公”经费财政拨款支出决算为</w:t>
      </w:r>
      <w:r>
        <w:rPr>
          <w:rFonts w:hint="default" w:ascii="Times New Roman" w:hAnsi="Times New Roman" w:eastAsia="仿宋_GB2312" w:cs="Times New Roman"/>
          <w:sz w:val="32"/>
          <w:szCs w:val="32"/>
        </w:rPr>
        <w:t>2.88</w:t>
      </w:r>
      <w:r>
        <w:rPr>
          <w:rFonts w:hint="default" w:ascii="Times New Roman" w:hAnsi="Times New Roman" w:eastAsia="仿宋_GB2312" w:cs="Times New Roman"/>
          <w:color w:val="auto"/>
          <w:kern w:val="2"/>
          <w:sz w:val="32"/>
          <w:szCs w:val="32"/>
          <w:highlight w:val="none"/>
          <w:lang w:val="en-US" w:eastAsia="zh-CN" w:bidi="ar-SA"/>
        </w:rPr>
        <w:t>万元，完成预算</w:t>
      </w:r>
      <w:r>
        <w:rPr>
          <w:rFonts w:hint="default" w:ascii="Times New Roman" w:hAnsi="Times New Roman" w:eastAsia="仿宋_GB2312" w:cs="Times New Roman"/>
          <w:sz w:val="32"/>
          <w:szCs w:val="32"/>
        </w:rPr>
        <w:t>100</w:t>
      </w:r>
      <w:r>
        <w:rPr>
          <w:rFonts w:hint="default" w:ascii="Times New Roman" w:hAnsi="Times New Roman" w:eastAsia="仿宋_GB2312" w:cs="Times New Roman"/>
          <w:color w:val="auto"/>
          <w:kern w:val="2"/>
          <w:sz w:val="32"/>
          <w:szCs w:val="32"/>
          <w:highlight w:val="none"/>
          <w:lang w:val="en-US" w:eastAsia="zh-CN" w:bidi="ar-SA"/>
        </w:rPr>
        <w:t>%，较上年度增加2.74万元，增长1957.15%。决算数与预算数持平，较2023年增长的主要原因是2024年有公务用车，产生了公务用车运行维护费。</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33"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3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万元，占0%；公务用车购置及运行维护费支出决算</w:t>
      </w:r>
      <w:r>
        <w:rPr>
          <w:rFonts w:hint="default" w:ascii="Times New Roman" w:hAnsi="Times New Roman" w:eastAsia="仿宋_GB2312" w:cs="Times New Roman"/>
          <w:sz w:val="32"/>
          <w:szCs w:val="32"/>
        </w:rPr>
        <w:t>2.8</w:t>
      </w:r>
      <w:r>
        <w:rPr>
          <w:rFonts w:hint="default" w:ascii="Times New Roman" w:hAnsi="Times New Roman" w:eastAsia="仿宋_GB2312" w:cs="Times New Roman"/>
          <w:color w:val="auto"/>
          <w:kern w:val="2"/>
          <w:sz w:val="32"/>
          <w:szCs w:val="32"/>
          <w:highlight w:val="none"/>
          <w:lang w:val="en-US" w:eastAsia="zh-CN" w:bidi="ar-SA"/>
        </w:rPr>
        <w:t>万元，占97.22%；</w:t>
      </w:r>
      <w:bookmarkStart w:id="34" w:name="OLE_LINK1"/>
      <w:r>
        <w:rPr>
          <w:rFonts w:hint="default" w:ascii="Times New Roman" w:hAnsi="Times New Roman" w:eastAsia="仿宋_GB2312" w:cs="Times New Roman"/>
          <w:color w:val="auto"/>
          <w:kern w:val="2"/>
          <w:sz w:val="32"/>
          <w:szCs w:val="32"/>
          <w:highlight w:val="none"/>
          <w:lang w:val="en-US" w:eastAsia="zh-CN" w:bidi="ar-SA"/>
        </w:rPr>
        <w:t>公务接待费支出</w:t>
      </w:r>
      <w:bookmarkEnd w:id="34"/>
      <w:r>
        <w:rPr>
          <w:rFonts w:hint="default" w:ascii="Times New Roman" w:hAnsi="Times New Roman" w:eastAsia="仿宋_GB2312" w:cs="Times New Roman"/>
          <w:color w:val="auto"/>
          <w:kern w:val="2"/>
          <w:sz w:val="32"/>
          <w:szCs w:val="32"/>
          <w:highlight w:val="none"/>
          <w:lang w:val="en-US" w:eastAsia="zh-CN" w:bidi="ar-SA"/>
        </w:rPr>
        <w:t>决算</w:t>
      </w:r>
      <w:r>
        <w:rPr>
          <w:rFonts w:hint="default" w:ascii="Times New Roman" w:hAnsi="Times New Roman" w:eastAsia="仿宋_GB2312" w:cs="Times New Roman"/>
          <w:sz w:val="32"/>
          <w:szCs w:val="32"/>
        </w:rPr>
        <w:t>0.08</w:t>
      </w:r>
      <w:r>
        <w:rPr>
          <w:rFonts w:hint="default" w:ascii="Times New Roman" w:hAnsi="Times New Roman" w:eastAsia="仿宋_GB2312" w:cs="Times New Roman"/>
          <w:color w:val="auto"/>
          <w:kern w:val="2"/>
          <w:sz w:val="32"/>
          <w:szCs w:val="32"/>
          <w:highlight w:val="none"/>
          <w:lang w:val="en-US" w:eastAsia="zh-CN" w:bidi="ar-SA"/>
        </w:rPr>
        <w:t>万元，占2.78%。具体情况如下：</w:t>
      </w:r>
    </w:p>
    <w:p>
      <w:pPr>
        <w:pStyle w:val="2"/>
        <w:rPr>
          <w:rFonts w:hint="default" w:ascii="Times New Roman" w:hAnsi="Times New Roman" w:cs="Times New Roman"/>
          <w:lang w:val="en-US" w:eastAsia="zh-CN"/>
        </w:rPr>
      </w:pPr>
    </w:p>
    <w:p>
      <w:pPr>
        <w:pStyle w:val="2"/>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drawing>
          <wp:inline distT="0" distB="0" distL="114300" distR="114300">
            <wp:extent cx="4570730" cy="2797175"/>
            <wp:effectExtent l="4445" t="4445" r="1206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jc w:val="cente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图7：“三公”经费财政拨款支出结构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1.因公出国（境）经费支出0万元，完成预算</w:t>
      </w:r>
      <w:r>
        <w:rPr>
          <w:rFonts w:hint="eastAsia" w:eastAsia="仿宋_GB2312" w:cs="Times New Roman"/>
          <w:b/>
          <w:bCs/>
          <w:color w:val="auto"/>
          <w:kern w:val="2"/>
          <w:sz w:val="32"/>
          <w:szCs w:val="32"/>
          <w:highlight w:val="none"/>
          <w:lang w:val="en-US" w:eastAsia="zh-CN" w:bidi="ar-SA"/>
        </w:rPr>
        <w:t>10</w:t>
      </w:r>
      <w:r>
        <w:rPr>
          <w:rFonts w:hint="default" w:ascii="Times New Roman" w:hAnsi="Times New Roman" w:eastAsia="仿宋_GB2312" w:cs="Times New Roman"/>
          <w:b/>
          <w:bCs/>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全年安排因公出国（境）团组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次，出国（境）</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人。因公出国（境）支出决算与2023年持平。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2.公务用车购置及运行维护费支出2.8万元，完成预算100%。</w:t>
      </w:r>
      <w:r>
        <w:rPr>
          <w:rFonts w:hint="default" w:ascii="Times New Roman" w:hAnsi="Times New Roman" w:eastAsia="仿宋_GB2312" w:cs="Times New Roman"/>
          <w:color w:val="auto"/>
          <w:kern w:val="2"/>
          <w:sz w:val="32"/>
          <w:szCs w:val="32"/>
          <w:highlight w:val="none"/>
          <w:lang w:val="en-US" w:eastAsia="zh-CN" w:bidi="ar-SA"/>
        </w:rPr>
        <w:t>公务用车购置及运行维护费支出决算比2023年度增加2.8万元，增长100%。主要原因是2024年新增1辆公务用车。</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其中：公务用车购置支出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全年按规定更新购置公务用车1辆，其中：轿车1辆、金额28.98万元，越野车0辆、金额0万元，载客汽车0辆、金额0万元，主要用于生态环境监测使用。截至2024年12月31日，单位共有公务用车1辆，其中：轿车1辆、越野车0辆、载客汽车0辆。</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公务用车运行维护费支出</w:t>
      </w:r>
      <w:r>
        <w:rPr>
          <w:rFonts w:hint="default" w:ascii="Times New Roman" w:hAnsi="Times New Roman" w:eastAsia="仿宋_GB2312" w:cs="Times New Roman"/>
          <w:sz w:val="32"/>
          <w:szCs w:val="32"/>
        </w:rPr>
        <w:t>2.8</w:t>
      </w:r>
      <w:r>
        <w:rPr>
          <w:rFonts w:hint="default" w:ascii="Times New Roman" w:hAnsi="Times New Roman" w:eastAsia="仿宋_GB2312" w:cs="Times New Roman"/>
          <w:color w:val="auto"/>
          <w:kern w:val="2"/>
          <w:sz w:val="32"/>
          <w:szCs w:val="32"/>
          <w:highlight w:val="none"/>
          <w:lang w:val="en-US" w:eastAsia="zh-CN" w:bidi="ar-SA"/>
        </w:rPr>
        <w:t>万元。主要用于生态环境监测所需的公务用车燃料费、维修费、过路过桥费、保险费等支出。</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3.公务接待费支出0.08万元，完成预算100%。</w:t>
      </w:r>
      <w:r>
        <w:rPr>
          <w:rFonts w:hint="default" w:ascii="Times New Roman" w:hAnsi="Times New Roman" w:eastAsia="仿宋_GB2312" w:cs="Times New Roman"/>
          <w:color w:val="auto"/>
          <w:kern w:val="2"/>
          <w:sz w:val="32"/>
          <w:szCs w:val="32"/>
          <w:highlight w:val="none"/>
          <w:lang w:val="en-US" w:eastAsia="zh-CN" w:bidi="ar-SA"/>
        </w:rPr>
        <w:t>公务接待费支出决算比2023年度减少0.06万元，下降42.86%。主要原因是尽量减少公务接待费。</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国内公务接待支出</w:t>
      </w:r>
      <w:r>
        <w:rPr>
          <w:rFonts w:hint="default" w:ascii="Times New Roman" w:hAnsi="Times New Roman" w:eastAsia="仿宋_GB2312" w:cs="Times New Roman"/>
          <w:sz w:val="32"/>
          <w:szCs w:val="32"/>
        </w:rPr>
        <w:t>0.08</w:t>
      </w:r>
      <w:r>
        <w:rPr>
          <w:rFonts w:hint="default" w:ascii="Times New Roman" w:hAnsi="Times New Roman" w:eastAsia="仿宋_GB2312" w:cs="Times New Roman"/>
          <w:color w:val="auto"/>
          <w:kern w:val="2"/>
          <w:sz w:val="32"/>
          <w:szCs w:val="32"/>
          <w:highlight w:val="none"/>
          <w:lang w:val="en-US" w:eastAsia="zh-CN" w:bidi="ar-SA"/>
        </w:rPr>
        <w:t>万元，主要用于开展业务活动开支的用餐费。国内公务接待</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批次，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auto"/>
          <w:kern w:val="2"/>
          <w:sz w:val="32"/>
          <w:szCs w:val="32"/>
          <w:highlight w:val="none"/>
          <w:lang w:val="en-US" w:eastAsia="zh-CN" w:bidi="ar-SA"/>
        </w:rPr>
        <w:t>人次（不包括陪同人员），共计支出0.08万元，具体内容包括：接待省环境监测站对盐边监测站持证上岗考核来宾816元。</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外事接待支出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w:t>
      </w:r>
      <w:bookmarkStart w:id="35" w:name="_Toc15377218"/>
      <w:bookmarkStart w:id="36" w:name="_Toc15396610"/>
    </w:p>
    <w:p>
      <w:pPr>
        <w:spacing w:line="600" w:lineRule="exact"/>
        <w:ind w:firstLine="640"/>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35"/>
      <w:bookmarkEnd w:id="36"/>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2024年度政府性基金预算财政拨款支出</w:t>
      </w:r>
      <w:r>
        <w:rPr>
          <w:rFonts w:hint="default" w:ascii="Times New Roman" w:hAnsi="Times New Roman" w:eastAsia="仿宋_GB2312" w:cs="Times New Roman"/>
          <w:sz w:val="32"/>
          <w:szCs w:val="32"/>
        </w:rPr>
        <w:t>110.17</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27.63</w:t>
      </w:r>
      <w:r>
        <w:rPr>
          <w:rFonts w:hint="default" w:ascii="Times New Roman" w:hAnsi="Times New Roman" w:eastAsia="仿宋_GB2312" w:cs="Times New Roman"/>
          <w:color w:val="auto"/>
          <w:kern w:val="2"/>
          <w:sz w:val="32"/>
          <w:szCs w:val="32"/>
          <w:highlight w:val="none"/>
          <w:lang w:val="en-US" w:eastAsia="zh-CN" w:bidi="ar-SA"/>
        </w:rPr>
        <w:t>%。与2023年度相比，政府性基金预算财政拨款支出增加11.017万元，增长100%。主要变动原因是2024年使用政府性基金实施了两个项目建设。</w:t>
      </w:r>
    </w:p>
    <w:p>
      <w:pPr>
        <w:pStyle w:val="2"/>
        <w:rPr>
          <w:rFonts w:hint="default" w:ascii="Times New Roman" w:hAnsi="Times New Roman" w:cs="Times New Roman"/>
          <w:lang w:val="en-US" w:eastAsia="zh-CN"/>
        </w:rPr>
      </w:pP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7" w:name="_Toc15377219"/>
      <w:bookmarkStart w:id="38" w:name="_Toc15396611"/>
      <w:r>
        <w:rPr>
          <w:rStyle w:val="29"/>
          <w:rFonts w:hint="default" w:ascii="Times New Roman" w:hAnsi="Times New Roman" w:eastAsia="黑体" w:cs="Times New Roman"/>
          <w:b w:val="0"/>
          <w:color w:val="auto"/>
          <w:highlight w:val="none"/>
          <w:lang w:eastAsia="zh-CN"/>
        </w:rPr>
        <w:t>九、</w:t>
      </w:r>
      <w:r>
        <w:rPr>
          <w:rStyle w:val="29"/>
          <w:rFonts w:hint="default" w:ascii="Times New Roman" w:hAnsi="Times New Roman" w:eastAsia="黑体" w:cs="Times New Roman"/>
          <w:b w:val="0"/>
          <w:color w:val="auto"/>
          <w:highlight w:val="none"/>
        </w:rPr>
        <w:t>国有资本经营预算支出决算情况说明</w:t>
      </w:r>
      <w:bookmarkEnd w:id="37"/>
      <w:bookmarkEnd w:id="38"/>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2024年度国有资本经营预算财政拨款支出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万元，占本年支出合计的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%。与2023</w:t>
      </w:r>
      <w:r>
        <w:rPr>
          <w:rFonts w:hint="eastAsia" w:eastAsia="仿宋_GB2312" w:cs="Times New Roman"/>
          <w:color w:val="auto"/>
          <w:kern w:val="2"/>
          <w:sz w:val="32"/>
          <w:szCs w:val="32"/>
          <w:highlight w:val="none"/>
          <w:lang w:val="en-US" w:eastAsia="zh-CN" w:bidi="ar-SA"/>
        </w:rPr>
        <w:t>年</w:t>
      </w:r>
      <w:bookmarkStart w:id="62" w:name="_GoBack"/>
      <w:bookmarkEnd w:id="62"/>
      <w:r>
        <w:rPr>
          <w:rFonts w:hint="default" w:ascii="Times New Roman" w:hAnsi="Times New Roman" w:eastAsia="仿宋_GB2312" w:cs="Times New Roman"/>
          <w:color w:val="auto"/>
          <w:kern w:val="2"/>
          <w:sz w:val="32"/>
          <w:szCs w:val="32"/>
          <w:highlight w:val="none"/>
          <w:lang w:val="en-US" w:eastAsia="zh-CN" w:bidi="ar-SA"/>
        </w:rPr>
        <w:t>持平。</w:t>
      </w:r>
    </w:p>
    <w:p>
      <w:pPr>
        <w:pStyle w:val="3"/>
        <w:rPr>
          <w:rFonts w:hint="default" w:ascii="Times New Roman" w:hAnsi="Times New Roman" w:cs="Times New Roman"/>
          <w:lang w:val="en-US" w:eastAsia="zh-CN"/>
        </w:rPr>
      </w:pPr>
    </w:p>
    <w:p>
      <w:pPr>
        <w:numPr>
          <w:ilvl w:val="0"/>
          <w:numId w:val="0"/>
        </w:numPr>
        <w:spacing w:line="600" w:lineRule="exact"/>
        <w:ind w:left="630" w:leftChars="0"/>
        <w:outlineLvl w:val="1"/>
        <w:rPr>
          <w:rStyle w:val="29"/>
          <w:rFonts w:hint="default" w:ascii="Times New Roman" w:hAnsi="Times New Roman" w:eastAsia="黑体" w:cs="Times New Roman"/>
          <w:b w:val="0"/>
          <w:color w:val="auto"/>
          <w:highlight w:val="none"/>
        </w:rPr>
      </w:pPr>
      <w:bookmarkStart w:id="39" w:name="_Toc15377221"/>
      <w:bookmarkStart w:id="40" w:name="_Toc15396612"/>
      <w:r>
        <w:rPr>
          <w:rStyle w:val="29"/>
          <w:rFonts w:hint="default" w:ascii="Times New Roman" w:hAnsi="Times New Roman" w:eastAsia="黑体" w:cs="Times New Roman"/>
          <w:b w:val="0"/>
          <w:color w:val="auto"/>
          <w:highlight w:val="none"/>
          <w:lang w:eastAsia="zh-CN"/>
        </w:rPr>
        <w:t>十、</w:t>
      </w:r>
      <w:r>
        <w:rPr>
          <w:rStyle w:val="29"/>
          <w:rFonts w:hint="default" w:ascii="Times New Roman" w:hAnsi="Times New Roman" w:eastAsia="黑体" w:cs="Times New Roman"/>
          <w:b w:val="0"/>
          <w:color w:val="auto"/>
          <w:highlight w:val="none"/>
        </w:rPr>
        <w:t>其他重要事项的情况说明</w:t>
      </w:r>
      <w:bookmarkEnd w:id="39"/>
      <w:bookmarkEnd w:id="40"/>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1" w:name="_Toc15377222"/>
      <w:r>
        <w:rPr>
          <w:rFonts w:hint="default" w:ascii="Times New Roman" w:hAnsi="Times New Roman" w:eastAsia="楷体_GB2312" w:cs="Times New Roman"/>
          <w:b/>
          <w:color w:val="auto"/>
          <w:sz w:val="32"/>
          <w:szCs w:val="32"/>
          <w:highlight w:val="none"/>
        </w:rPr>
        <w:t>（一）机关运行经费支出情况</w:t>
      </w:r>
      <w:bookmarkEnd w:id="41"/>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攀枝花市盐边生态环境监测站</w:t>
      </w:r>
      <w:r>
        <w:rPr>
          <w:rFonts w:hint="default" w:ascii="Times New Roman" w:hAnsi="Times New Roman" w:eastAsia="仿宋_GB2312" w:cs="Times New Roman"/>
          <w:sz w:val="32"/>
          <w:szCs w:val="32"/>
          <w:lang w:eastAsia="zh-CN"/>
        </w:rPr>
        <w:t>属一类公益事业单位不产生</w:t>
      </w:r>
      <w:r>
        <w:rPr>
          <w:rFonts w:hint="default" w:ascii="Times New Roman" w:hAnsi="Times New Roman" w:eastAsia="仿宋_GB2312" w:cs="Times New Roman"/>
          <w:color w:val="auto"/>
          <w:kern w:val="2"/>
          <w:sz w:val="32"/>
          <w:szCs w:val="32"/>
          <w:highlight w:val="none"/>
          <w:lang w:val="en-US" w:eastAsia="zh-CN" w:bidi="ar-SA"/>
        </w:rPr>
        <w:t>机关运行经费。</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2" w:name="_Toc15377223"/>
      <w:r>
        <w:rPr>
          <w:rFonts w:hint="default" w:ascii="Times New Roman" w:hAnsi="Times New Roman" w:eastAsia="楷体_GB2312" w:cs="Times New Roman"/>
          <w:b/>
          <w:color w:val="auto"/>
          <w:sz w:val="32"/>
          <w:szCs w:val="32"/>
          <w:highlight w:val="none"/>
        </w:rPr>
        <w:t>（二）政府采购支出情况</w:t>
      </w:r>
      <w:bookmarkEnd w:id="42"/>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2024年度，</w:t>
      </w:r>
      <w:r>
        <w:rPr>
          <w:rFonts w:hint="default" w:ascii="Times New Roman" w:hAnsi="Times New Roman" w:eastAsia="仿宋_GB2312" w:cs="Times New Roman"/>
          <w:sz w:val="32"/>
          <w:szCs w:val="32"/>
        </w:rPr>
        <w:t>攀枝花市盐边生态环境监测站</w:t>
      </w:r>
      <w:r>
        <w:rPr>
          <w:rFonts w:hint="default" w:ascii="Times New Roman" w:hAnsi="Times New Roman" w:eastAsia="仿宋_GB2312" w:cs="Times New Roman"/>
          <w:color w:val="auto"/>
          <w:kern w:val="2"/>
          <w:sz w:val="32"/>
          <w:szCs w:val="32"/>
          <w:highlight w:val="none"/>
          <w:lang w:val="en-US" w:eastAsia="zh-CN" w:bidi="ar-SA"/>
        </w:rPr>
        <w:t>政府采购支出总额</w:t>
      </w:r>
      <w:r>
        <w:rPr>
          <w:rFonts w:hint="default" w:ascii="Times New Roman" w:hAnsi="Times New Roman" w:eastAsia="仿宋_GB2312" w:cs="Times New Roman"/>
          <w:sz w:val="32"/>
          <w:szCs w:val="32"/>
        </w:rPr>
        <w:t>0.34</w:t>
      </w:r>
      <w:r>
        <w:rPr>
          <w:rFonts w:hint="default" w:ascii="Times New Roman" w:hAnsi="Times New Roman" w:eastAsia="仿宋_GB2312" w:cs="Times New Roman"/>
          <w:color w:val="auto"/>
          <w:kern w:val="2"/>
          <w:sz w:val="32"/>
          <w:szCs w:val="32"/>
          <w:highlight w:val="none"/>
          <w:lang w:val="en-US" w:eastAsia="zh-CN" w:bidi="ar-SA"/>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万元、政府采购服务支出</w:t>
      </w:r>
      <w:r>
        <w:rPr>
          <w:rFonts w:hint="default" w:ascii="Times New Roman" w:hAnsi="Times New Roman" w:eastAsia="仿宋_GB2312" w:cs="Times New Roman"/>
          <w:sz w:val="32"/>
          <w:szCs w:val="32"/>
        </w:rPr>
        <w:t>0.34</w:t>
      </w:r>
      <w:r>
        <w:rPr>
          <w:rFonts w:hint="default" w:ascii="Times New Roman" w:hAnsi="Times New Roman" w:eastAsia="仿宋_GB2312" w:cs="Times New Roman"/>
          <w:color w:val="auto"/>
          <w:kern w:val="2"/>
          <w:sz w:val="32"/>
          <w:szCs w:val="32"/>
          <w:highlight w:val="none"/>
          <w:lang w:val="en-US" w:eastAsia="zh-CN" w:bidi="ar-SA"/>
        </w:rPr>
        <w:t>万元。主要用于单位公务公车保险服务。授予中小企业合同金额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bookmarkStart w:id="43" w:name="_Toc15377224"/>
      <w:r>
        <w:rPr>
          <w:rFonts w:hint="default" w:ascii="Times New Roman" w:hAnsi="Times New Roman" w:eastAsia="楷体_GB2312" w:cs="Times New Roman"/>
          <w:b/>
          <w:color w:val="auto"/>
          <w:sz w:val="32"/>
          <w:szCs w:val="32"/>
          <w:highlight w:val="none"/>
        </w:rPr>
        <w:t>（三）国有资产占有使用情况</w:t>
      </w:r>
      <w:bookmarkEnd w:id="43"/>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截至2024年12月31日，</w:t>
      </w:r>
      <w:r>
        <w:rPr>
          <w:rFonts w:hint="default" w:ascii="Times New Roman" w:hAnsi="Times New Roman" w:eastAsia="仿宋_GB2312" w:cs="Times New Roman"/>
          <w:sz w:val="32"/>
          <w:szCs w:val="32"/>
        </w:rPr>
        <w:t>攀枝花市盐边生态环境监测站</w:t>
      </w:r>
      <w:r>
        <w:rPr>
          <w:rFonts w:hint="default" w:ascii="Times New Roman" w:hAnsi="Times New Roman" w:eastAsia="仿宋_GB2312" w:cs="Times New Roman"/>
          <w:color w:val="auto"/>
          <w:kern w:val="2"/>
          <w:sz w:val="32"/>
          <w:szCs w:val="32"/>
          <w:highlight w:val="none"/>
          <w:lang w:val="en-US" w:eastAsia="zh-CN" w:bidi="ar-SA"/>
        </w:rPr>
        <w:t>共有车辆</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辆，其中：主要负责人用车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辆、机要通信用车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辆、应急保障用车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辆、其他用车</w:t>
      </w: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auto"/>
          <w:kern w:val="2"/>
          <w:sz w:val="32"/>
          <w:szCs w:val="32"/>
          <w:highlight w:val="none"/>
          <w:lang w:val="en-US" w:eastAsia="zh-CN" w:bidi="ar-SA"/>
        </w:rPr>
        <w:t>辆，其他用车主要是用于生态环境监测。单价100万元（含）以上设备（不含车辆）</w:t>
      </w:r>
      <w:r>
        <w:rPr>
          <w:rFonts w:hint="default" w:ascii="Times New Roman" w:hAnsi="Times New Roman" w:eastAsia="仿宋_GB2312" w:cs="Times New Roman"/>
          <w:sz w:val="32"/>
          <w:szCs w:val="32"/>
        </w:rPr>
        <w:t>0</w:t>
      </w:r>
      <w:r>
        <w:rPr>
          <w:rFonts w:hint="default" w:ascii="Times New Roman" w:hAnsi="Times New Roman" w:eastAsia="仿宋_GB2312" w:cs="Times New Roman"/>
          <w:color w:val="auto"/>
          <w:kern w:val="2"/>
          <w:sz w:val="32"/>
          <w:szCs w:val="32"/>
          <w:highlight w:val="none"/>
          <w:lang w:val="en-US" w:eastAsia="zh-CN" w:bidi="ar-SA"/>
        </w:rPr>
        <w:t>台（套）。</w:t>
      </w:r>
    </w:p>
    <w:p>
      <w:pPr>
        <w:spacing w:line="600"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（四）预算绩效管理情况</w:t>
      </w:r>
    </w:p>
    <w:p>
      <w:pPr>
        <w:spacing w:line="600" w:lineRule="exact"/>
        <w:ind w:firstLine="64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根据预算绩效管理要求，</w:t>
      </w:r>
      <w:r>
        <w:rPr>
          <w:rFonts w:hint="default" w:ascii="Times New Roman" w:hAnsi="Times New Roman" w:eastAsia="仿宋_GB2312" w:cs="Times New Roman"/>
          <w:sz w:val="32"/>
          <w:szCs w:val="32"/>
        </w:rPr>
        <w:t>攀枝花市盐边生态环境监测站</w:t>
      </w:r>
      <w:r>
        <w:rPr>
          <w:rFonts w:hint="default" w:ascii="Times New Roman" w:hAnsi="Times New Roman" w:eastAsia="仿宋_GB2312" w:cs="Times New Roman"/>
          <w:color w:val="auto"/>
          <w:kern w:val="2"/>
          <w:sz w:val="32"/>
          <w:szCs w:val="32"/>
          <w:highlight w:val="none"/>
          <w:lang w:val="en-US" w:eastAsia="zh-CN" w:bidi="ar-SA"/>
        </w:rPr>
        <w:t>在2024年度预算编制阶段，组织对县级生态环境监测机构标准化建设、盐边生态环境监测站环境监测设备采购项目等4个项目开展了预算事前绩效评估，对4个项目编制了绩效目标，预算执行过程中，选取4个项目开展绩效监控。组织对</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个项目开展绩效自评，绩效自评表详见第四部分附件。</w:t>
      </w:r>
    </w:p>
    <w:p>
      <w:pPr>
        <w:pStyle w:val="2"/>
        <w:rPr>
          <w:rFonts w:hint="default" w:ascii="Times New Roman" w:hAnsi="Times New Roman" w:cs="Times New Roman"/>
          <w:lang w:val="en-US" w:eastAsia="zh-CN"/>
        </w:rPr>
      </w:pPr>
    </w:p>
    <w:p>
      <w:pPr>
        <w:numPr>
          <w:ilvl w:val="0"/>
          <w:numId w:val="0"/>
        </w:numPr>
        <w:spacing w:line="600" w:lineRule="exact"/>
        <w:jc w:val="center"/>
        <w:outlineLvl w:val="0"/>
        <w:rPr>
          <w:rFonts w:hint="default" w:ascii="Times New Roman" w:hAnsi="Times New Roman" w:eastAsia="黑体" w:cs="Times New Roman"/>
          <w:color w:val="auto"/>
          <w:sz w:val="44"/>
          <w:szCs w:val="44"/>
          <w:highlight w:val="none"/>
        </w:rPr>
      </w:pPr>
      <w:bookmarkStart w:id="44" w:name="_Toc15377225"/>
      <w:bookmarkStart w:id="45" w:name="_Toc15396613"/>
      <w:r>
        <w:rPr>
          <w:rFonts w:hint="default" w:ascii="Times New Roman" w:hAnsi="Times New Roman" w:eastAsia="黑体" w:cs="Times New Roman"/>
          <w:color w:val="auto"/>
          <w:sz w:val="44"/>
          <w:szCs w:val="44"/>
          <w:highlight w:val="none"/>
        </w:rPr>
        <w:t>第</w:t>
      </w:r>
      <w:r>
        <w:rPr>
          <w:rFonts w:hint="default" w:ascii="Times New Roman" w:hAnsi="Times New Roman" w:eastAsia="黑体" w:cs="Times New Roman"/>
          <w:color w:val="auto"/>
          <w:sz w:val="44"/>
          <w:szCs w:val="44"/>
          <w:highlight w:val="none"/>
          <w:lang w:eastAsia="zh-CN"/>
        </w:rPr>
        <w:t>三</w:t>
      </w:r>
      <w:r>
        <w:rPr>
          <w:rFonts w:hint="default" w:ascii="Times New Roman" w:hAnsi="Times New Roman" w:eastAsia="黑体" w:cs="Times New Roman"/>
          <w:color w:val="auto"/>
          <w:sz w:val="44"/>
          <w:szCs w:val="44"/>
          <w:highlight w:val="none"/>
        </w:rPr>
        <w:t>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名词解释</w:t>
      </w:r>
      <w:bookmarkEnd w:id="44"/>
      <w:bookmarkEnd w:id="45"/>
    </w:p>
    <w:p>
      <w:pPr>
        <w:spacing w:line="600" w:lineRule="exact"/>
        <w:jc w:val="left"/>
        <w:rPr>
          <w:rFonts w:hint="default" w:ascii="Times New Roman" w:hAnsi="Times New Roman" w:cs="Times New Roman"/>
          <w:b/>
          <w:color w:val="auto"/>
          <w:sz w:val="44"/>
          <w:szCs w:val="44"/>
          <w:highlight w:val="none"/>
        </w:rPr>
      </w:pP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bookmarkStart w:id="46"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仁和区财政安排资金</w:t>
      </w:r>
      <w:r>
        <w:rPr>
          <w:rFonts w:hint="default" w:ascii="Times New Roman" w:hAnsi="Times New Roman" w:eastAsia="仿宋_GB2312" w:cs="Times New Roman"/>
          <w:color w:val="auto"/>
          <w:sz w:val="32"/>
          <w:szCs w:val="32"/>
        </w:rPr>
        <w:t xml:space="preserve">等。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社会保障和就业（类）行政事业单位养老（款）事业单位离退休（项）：指事业开支的离退休经费。</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社会保障和就业（类）行政事业单位养老（款）机关事业单位基本养老保险缴费支出（项）：指机关事业单位实施养老保险制度由单位缴纳的基本养老保险支出。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事业单位医疗</w:t>
      </w:r>
      <w:r>
        <w:rPr>
          <w:rFonts w:hint="default" w:ascii="Times New Roman" w:hAnsi="Times New Roman" w:eastAsia="仿宋_GB2312" w:cs="Times New Roman"/>
          <w:color w:val="auto"/>
          <w:sz w:val="32"/>
          <w:szCs w:val="32"/>
        </w:rPr>
        <w:t>（项）：指财政部门安排</w:t>
      </w:r>
      <w:r>
        <w:rPr>
          <w:rFonts w:hint="default" w:ascii="Times New Roman" w:hAnsi="Times New Roman" w:eastAsia="仿宋_GB2312" w:cs="Times New Roman"/>
          <w:color w:val="auto"/>
          <w:sz w:val="32"/>
          <w:szCs w:val="32"/>
          <w:lang w:eastAsia="zh-CN"/>
        </w:rPr>
        <w:t>事业单位基本医疗保险缴费经费</w:t>
      </w:r>
      <w:r>
        <w:rPr>
          <w:rFonts w:hint="default" w:ascii="Times New Roman" w:hAnsi="Times New Roman" w:eastAsia="仿宋_GB2312" w:cs="Times New Roman"/>
          <w:color w:val="auto"/>
          <w:sz w:val="32"/>
          <w:szCs w:val="32"/>
        </w:rPr>
        <w:t>。</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.卫生健康（类）行政事业单位医疗（款）公务员医疗补助（项）：指财政部门集中安排的公务员医疗补助经费。</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.卫生健康（类）行政事业单位医疗（款）</w:t>
      </w:r>
      <w:r>
        <w:rPr>
          <w:rFonts w:hint="default" w:ascii="Times New Roman" w:hAnsi="Times New Roman" w:eastAsia="仿宋_GB2312" w:cs="Times New Roman"/>
          <w:color w:val="auto"/>
          <w:sz w:val="32"/>
          <w:szCs w:val="32"/>
          <w:lang w:eastAsia="zh-CN"/>
        </w:rPr>
        <w:t>其他行政事业单位医疗支出</w:t>
      </w:r>
      <w:r>
        <w:rPr>
          <w:rFonts w:hint="default" w:ascii="Times New Roman" w:hAnsi="Times New Roman" w:eastAsia="仿宋_GB2312" w:cs="Times New Roman"/>
          <w:color w:val="auto"/>
          <w:sz w:val="32"/>
          <w:szCs w:val="32"/>
        </w:rPr>
        <w:t>（项）：指财政部门安排</w:t>
      </w:r>
      <w:r>
        <w:rPr>
          <w:rFonts w:hint="default" w:ascii="Times New Roman" w:hAnsi="Times New Roman" w:eastAsia="仿宋_GB2312" w:cs="Times New Roman"/>
          <w:color w:val="auto"/>
          <w:sz w:val="32"/>
          <w:szCs w:val="32"/>
          <w:lang w:eastAsia="zh-CN"/>
        </w:rPr>
        <w:t>用于事业单位补充个人医疗补助支出。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节能环保（类）环境保护管理事务（款）其他环境保护管理事务支出（项）：指除行政运行、一般行政管理事务、环境保护宣传、环境保护法规规划及标准、环境国际合作及履约、环境保护行政许可以外其他用于环境保护管理事务方面的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.节能环保（类）污染防治（款）其他污染防治支出（项）：指除大气、水体、噪声、固体废弃物与化学品、放射源和放射性废物监管、辐射以外其他用于污染防治方面的支出。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12.城乡社区支出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国有土地使用权出让收入安排的支出</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eastAsia="zh-CN"/>
        </w:rPr>
        <w:t>土地开发支出</w:t>
      </w:r>
      <w:r>
        <w:rPr>
          <w:rFonts w:hint="default" w:ascii="Times New Roman" w:hAnsi="Times New Roman" w:eastAsia="仿宋_GB2312" w:cs="Times New Roman"/>
          <w:color w:val="auto"/>
          <w:sz w:val="32"/>
          <w:szCs w:val="32"/>
        </w:rPr>
        <w:t>（项）：指</w:t>
      </w:r>
      <w:r>
        <w:rPr>
          <w:rFonts w:hint="default" w:ascii="Times New Roman" w:hAnsi="Times New Roman" w:eastAsia="仿宋_GB2312" w:cs="Times New Roman"/>
          <w:color w:val="auto"/>
          <w:sz w:val="32"/>
          <w:szCs w:val="32"/>
          <w:lang w:eastAsia="zh-CN"/>
        </w:rPr>
        <w:t>地方政府用于前期土地开发性支出以及前期土地开发相关的费用支出</w:t>
      </w:r>
      <w:r>
        <w:rPr>
          <w:rFonts w:hint="default" w:ascii="Times New Roman" w:hAnsi="Times New Roman" w:eastAsia="仿宋_GB2312" w:cs="Times New Roman"/>
          <w:color w:val="auto"/>
          <w:sz w:val="32"/>
          <w:szCs w:val="32"/>
        </w:rPr>
        <w:t>。</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.住房保障（类）住房改革（款）住房公积金（项）：指行政事业单位按人力资源和社会保障部、财政部规定的基本工资和津贴补贴以及规定比例为职工缴纳的住房公积金。</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6"/>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rPr>
          <w:rStyle w:val="28"/>
          <w:rFonts w:hint="default" w:ascii="Times New Roman" w:hAnsi="Times New Roman" w:eastAsia="黑体" w:cs="Times New Roman"/>
          <w:b w:val="0"/>
          <w:color w:val="auto"/>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br w:type="page"/>
      </w:r>
      <w:bookmarkStart w:id="47" w:name="_Toc15396614"/>
      <w:r>
        <w:rPr>
          <w:rFonts w:hint="default" w:ascii="Times New Roman" w:hAnsi="Times New Roman" w:eastAsia="黑体" w:cs="Times New Roman"/>
          <w:color w:val="auto"/>
          <w:sz w:val="44"/>
          <w:szCs w:val="44"/>
          <w:highlight w:val="none"/>
        </w:rPr>
        <w:t>第四部分</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rPr>
        <w:t xml:space="preserve"> 附件</w:t>
      </w:r>
      <w:bookmarkEnd w:id="47"/>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FF0000"/>
          <w:sz w:val="32"/>
          <w:szCs w:val="32"/>
          <w:highlight w:val="none"/>
        </w:rPr>
      </w:pPr>
    </w:p>
    <w:p>
      <w:pPr>
        <w:pStyle w:val="34"/>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仿宋_GB2312" w:cs="Times New Roman"/>
          <w:color w:val="auto"/>
          <w:sz w:val="32"/>
          <w:szCs w:val="32"/>
          <w:highlight w:val="none"/>
          <w:lang w:val="en-US" w:eastAsia="zh-CN"/>
        </w:rPr>
        <w:t>部门预算项目支出绩效自评表（2024年度）</w:t>
      </w:r>
      <w:r>
        <w:rPr>
          <w:rFonts w:hint="eastAsia" w:ascii="Times New Roman" w:hAnsi="Times New Roman" w:eastAsia="仿宋_GB2312" w:cs="Times New Roman"/>
          <w:color w:val="auto"/>
          <w:sz w:val="32"/>
          <w:szCs w:val="32"/>
          <w:highlight w:val="none"/>
          <w:lang w:val="en-US" w:eastAsia="zh-CN"/>
        </w:rPr>
        <w:t>见附件</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bookmarkStart w:id="48" w:name="_Toc15396618"/>
      <w:r>
        <w:rPr>
          <w:rFonts w:hint="default" w:ascii="Times New Roman" w:hAnsi="Times New Roman" w:eastAsia="仿宋_GB2312" w:cs="Times New Roman"/>
          <w:b w:val="0"/>
          <w:bCs w:val="0"/>
          <w:kern w:val="0"/>
          <w:position w:val="0"/>
          <w:sz w:val="32"/>
          <w:szCs w:val="32"/>
          <w:highlight w:val="none"/>
          <w:lang w:val="en-US" w:eastAsia="zh-CN" w:bidi="ar-SA"/>
        </w:rPr>
        <w:br w:type="page"/>
      </w:r>
    </w:p>
    <w:p>
      <w:pPr>
        <w:widowControl/>
        <w:jc w:val="center"/>
        <w:rPr>
          <w:rFonts w:hint="default" w:ascii="Times New Roman" w:hAnsi="Times New Roman" w:eastAsia="仿宋" w:cs="Times New Roman"/>
          <w:b w:val="0"/>
          <w:color w:val="auto"/>
          <w:highlight w:val="none"/>
        </w:rPr>
      </w:pPr>
      <w:r>
        <w:rPr>
          <w:rFonts w:hint="default" w:ascii="Times New Roman" w:hAnsi="Times New Roman" w:eastAsia="黑体" w:cs="Times New Roman"/>
          <w:color w:val="auto"/>
          <w:sz w:val="44"/>
          <w:szCs w:val="44"/>
          <w:highlight w:val="none"/>
        </w:rPr>
        <w:t>第</w:t>
      </w:r>
      <w:r>
        <w:rPr>
          <w:rStyle w:val="28"/>
          <w:rFonts w:hint="default" w:ascii="Times New Roman" w:hAnsi="Times New Roman" w:eastAsia="黑体" w:cs="Times New Roman"/>
          <w:b w:val="0"/>
          <w:color w:val="auto"/>
          <w:highlight w:val="none"/>
        </w:rPr>
        <w:t>五部分 附表</w:t>
      </w:r>
      <w:bookmarkEnd w:id="46"/>
      <w:bookmarkEnd w:id="48"/>
      <w:bookmarkStart w:id="49"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一、收入支出决算总表</w:t>
      </w:r>
      <w:bookmarkEnd w:id="4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0" w:name="_Toc15396620"/>
      <w:r>
        <w:rPr>
          <w:rFonts w:hint="default" w:ascii="Times New Roman" w:hAnsi="Times New Roman" w:eastAsia="仿宋_GB2312" w:cs="Times New Roman"/>
          <w:color w:val="auto"/>
          <w:sz w:val="32"/>
          <w:szCs w:val="32"/>
          <w:highlight w:val="none"/>
        </w:rPr>
        <w:t>二、收入决算表</w:t>
      </w:r>
      <w:bookmarkEnd w:id="5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1" w:name="_Toc15396621"/>
      <w:r>
        <w:rPr>
          <w:rFonts w:hint="default" w:ascii="Times New Roman" w:hAnsi="Times New Roman" w:eastAsia="仿宋_GB2312" w:cs="Times New Roman"/>
          <w:color w:val="auto"/>
          <w:sz w:val="32"/>
          <w:szCs w:val="32"/>
          <w:highlight w:val="none"/>
        </w:rPr>
        <w:t>三、支出决算表</w:t>
      </w:r>
      <w:bookmarkEnd w:id="51"/>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2" w:name="_Toc15396622"/>
      <w:r>
        <w:rPr>
          <w:rFonts w:hint="default" w:ascii="Times New Roman" w:hAnsi="Times New Roman" w:eastAsia="仿宋_GB2312" w:cs="Times New Roman"/>
          <w:color w:val="auto"/>
          <w:sz w:val="32"/>
          <w:szCs w:val="32"/>
          <w:highlight w:val="none"/>
        </w:rPr>
        <w:t>四、财政拨款收入支出决算总表</w:t>
      </w:r>
      <w:bookmarkEnd w:id="5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3" w:name="_Toc15396623"/>
      <w:r>
        <w:rPr>
          <w:rFonts w:hint="default" w:ascii="Times New Roman" w:hAnsi="Times New Roman" w:eastAsia="仿宋_GB2312" w:cs="Times New Roman"/>
          <w:color w:val="auto"/>
          <w:sz w:val="32"/>
          <w:szCs w:val="32"/>
          <w:highlight w:val="none"/>
        </w:rPr>
        <w:t>五、财政拨款支出决算明细表</w:t>
      </w:r>
      <w:bookmarkEnd w:id="53"/>
      <w:bookmarkStart w:id="54"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六、一般公共预算财政拨款支出决算表</w:t>
      </w:r>
      <w:bookmarkEnd w:id="5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5" w:name="_Toc15396625"/>
      <w:r>
        <w:rPr>
          <w:rFonts w:hint="default" w:ascii="Times New Roman" w:hAnsi="Times New Roman" w:eastAsia="仿宋_GB2312" w:cs="Times New Roman"/>
          <w:color w:val="auto"/>
          <w:sz w:val="32"/>
          <w:szCs w:val="32"/>
          <w:highlight w:val="none"/>
        </w:rPr>
        <w:t>七、一般公共预算财政拨款支出决算明细表</w:t>
      </w:r>
      <w:bookmarkEnd w:id="5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6" w:name="_Toc15396626"/>
      <w:r>
        <w:rPr>
          <w:rFonts w:hint="default" w:ascii="Times New Roman" w:hAnsi="Times New Roman" w:eastAsia="仿宋_GB2312" w:cs="Times New Roman"/>
          <w:color w:val="auto"/>
          <w:sz w:val="32"/>
          <w:szCs w:val="32"/>
          <w:highlight w:val="none"/>
        </w:rPr>
        <w:t>八、一般公共预算财政拨款基本支出决算表</w:t>
      </w:r>
      <w:bookmarkEnd w:id="56"/>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7" w:name="_Toc15396627"/>
      <w:r>
        <w:rPr>
          <w:rFonts w:hint="default" w:ascii="Times New Roman" w:hAnsi="Times New Roman" w:eastAsia="仿宋_GB2312" w:cs="Times New Roman"/>
          <w:color w:val="auto"/>
          <w:sz w:val="32"/>
          <w:szCs w:val="32"/>
          <w:highlight w:val="none"/>
        </w:rPr>
        <w:t>九、一般公共预算财政拨款项目支出决算表</w:t>
      </w:r>
      <w:bookmarkEnd w:id="5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8" w:name="_Toc15396628"/>
      <w:r>
        <w:rPr>
          <w:rFonts w:hint="default" w:ascii="Times New Roman" w:hAnsi="Times New Roman" w:eastAsia="仿宋_GB2312" w:cs="Times New Roman"/>
          <w:color w:val="auto"/>
          <w:sz w:val="32"/>
          <w:szCs w:val="32"/>
          <w:highlight w:val="none"/>
        </w:rPr>
        <w:t>十、</w:t>
      </w:r>
      <w:bookmarkEnd w:id="58"/>
      <w:r>
        <w:rPr>
          <w:rFonts w:hint="default" w:ascii="Times New Roman" w:hAnsi="Times New Roman" w:eastAsia="仿宋_GB2312" w:cs="Times New Roman"/>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59" w:name="_Toc15396629"/>
      <w:r>
        <w:rPr>
          <w:rFonts w:hint="default" w:ascii="Times New Roman" w:hAnsi="Times New Roman" w:eastAsia="仿宋_GB2312" w:cs="Times New Roman"/>
          <w:color w:val="auto"/>
          <w:sz w:val="32"/>
          <w:szCs w:val="32"/>
          <w:highlight w:val="none"/>
        </w:rPr>
        <w:t>十一、</w:t>
      </w:r>
      <w:bookmarkEnd w:id="59"/>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财政拨款收入</w:t>
      </w:r>
      <w:r>
        <w:rPr>
          <w:rFonts w:hint="default" w:ascii="Times New Roman" w:hAnsi="Times New Roman" w:eastAsia="仿宋_GB2312" w:cs="Times New Roman"/>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rPr>
      </w:pPr>
      <w:bookmarkStart w:id="60" w:name="_Toc15396630"/>
      <w:r>
        <w:rPr>
          <w:rFonts w:hint="default" w:ascii="Times New Roman" w:hAnsi="Times New Roman" w:eastAsia="仿宋_GB2312" w:cs="Times New Roman"/>
          <w:color w:val="auto"/>
          <w:sz w:val="32"/>
          <w:szCs w:val="32"/>
          <w:highlight w:val="none"/>
        </w:rPr>
        <w:t>十二、</w:t>
      </w:r>
      <w:bookmarkEnd w:id="60"/>
      <w:r>
        <w:rPr>
          <w:rFonts w:hint="default" w:ascii="Times New Roman" w:hAnsi="Times New Roman" w:eastAsia="仿宋_GB2312" w:cs="Times New Roman"/>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highlight w:val="none"/>
          <w:lang w:eastAsia="zh-CN"/>
        </w:rPr>
      </w:pPr>
      <w:bookmarkStart w:id="61" w:name="_Toc15396631"/>
      <w:r>
        <w:rPr>
          <w:rFonts w:hint="default" w:ascii="Times New Roman" w:hAnsi="Times New Roman" w:eastAsia="仿宋_GB2312" w:cs="Times New Roman"/>
          <w:color w:val="auto"/>
          <w:sz w:val="32"/>
          <w:szCs w:val="32"/>
          <w:highlight w:val="none"/>
        </w:rPr>
        <w:t>十三、</w:t>
      </w:r>
      <w:bookmarkEnd w:id="61"/>
      <w:r>
        <w:rPr>
          <w:rFonts w:hint="default" w:ascii="Times New Roman" w:hAnsi="Times New Roman" w:eastAsia="仿宋_GB2312" w:cs="Times New Roman"/>
          <w:color w:val="auto"/>
          <w:sz w:val="32"/>
          <w:szCs w:val="32"/>
          <w:highlight w:val="none"/>
          <w:lang w:eastAsia="zh-CN"/>
        </w:rPr>
        <w:t>财政拨款“三公”经费支出决算表</w:t>
      </w:r>
    </w:p>
    <w:p>
      <w:pPr>
        <w:rPr>
          <w:rFonts w:hint="default" w:ascii="Times New Roman" w:hAnsi="Times New Roman" w:cs="Times New Roman"/>
          <w:lang w:eastAsia="zh-CN"/>
        </w:rPr>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78376"/>
    <w:multiLevelType w:val="singleLevel"/>
    <w:tmpl w:val="99B78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6D1416E"/>
    <w:rsid w:val="07996F6E"/>
    <w:rsid w:val="07DFD8BA"/>
    <w:rsid w:val="08030015"/>
    <w:rsid w:val="09867E8F"/>
    <w:rsid w:val="0A2032A3"/>
    <w:rsid w:val="0AA81E94"/>
    <w:rsid w:val="0ADB2D95"/>
    <w:rsid w:val="0CA8290A"/>
    <w:rsid w:val="0D35B1ED"/>
    <w:rsid w:val="0E1B6795"/>
    <w:rsid w:val="0E254B6B"/>
    <w:rsid w:val="0E4B2404"/>
    <w:rsid w:val="0F98263C"/>
    <w:rsid w:val="101860EC"/>
    <w:rsid w:val="101F47CC"/>
    <w:rsid w:val="10C055FF"/>
    <w:rsid w:val="11205FB1"/>
    <w:rsid w:val="11694EBD"/>
    <w:rsid w:val="11772AA4"/>
    <w:rsid w:val="118107EC"/>
    <w:rsid w:val="12E24EE2"/>
    <w:rsid w:val="13D50BC4"/>
    <w:rsid w:val="14B17F78"/>
    <w:rsid w:val="165E0673"/>
    <w:rsid w:val="16811147"/>
    <w:rsid w:val="16B831D5"/>
    <w:rsid w:val="16BB723D"/>
    <w:rsid w:val="17E50567"/>
    <w:rsid w:val="186504BB"/>
    <w:rsid w:val="19A445FC"/>
    <w:rsid w:val="1B673F45"/>
    <w:rsid w:val="1BE8440E"/>
    <w:rsid w:val="1D155CEE"/>
    <w:rsid w:val="1D1638FE"/>
    <w:rsid w:val="1D7645A8"/>
    <w:rsid w:val="1E312DEB"/>
    <w:rsid w:val="1E740ACF"/>
    <w:rsid w:val="1FF35744"/>
    <w:rsid w:val="1FF6BC77"/>
    <w:rsid w:val="2186353C"/>
    <w:rsid w:val="23860B96"/>
    <w:rsid w:val="240371BF"/>
    <w:rsid w:val="244F3473"/>
    <w:rsid w:val="24C97D99"/>
    <w:rsid w:val="25A718F0"/>
    <w:rsid w:val="25BB59F6"/>
    <w:rsid w:val="260F557C"/>
    <w:rsid w:val="26970054"/>
    <w:rsid w:val="278261D2"/>
    <w:rsid w:val="281408E2"/>
    <w:rsid w:val="28416DD0"/>
    <w:rsid w:val="28BF3D2D"/>
    <w:rsid w:val="29551580"/>
    <w:rsid w:val="29AA3A3B"/>
    <w:rsid w:val="29FD04D3"/>
    <w:rsid w:val="2BFF7BC6"/>
    <w:rsid w:val="2C8A61B5"/>
    <w:rsid w:val="2DF04E50"/>
    <w:rsid w:val="2E586DFA"/>
    <w:rsid w:val="2F0037BE"/>
    <w:rsid w:val="2F040D46"/>
    <w:rsid w:val="2F6B035B"/>
    <w:rsid w:val="2FAE5751"/>
    <w:rsid w:val="2FB1A395"/>
    <w:rsid w:val="2FB96B00"/>
    <w:rsid w:val="2FD9A7D8"/>
    <w:rsid w:val="2FDBF714"/>
    <w:rsid w:val="3009443F"/>
    <w:rsid w:val="30AB6865"/>
    <w:rsid w:val="319F7F4E"/>
    <w:rsid w:val="32BD1EF1"/>
    <w:rsid w:val="3304709D"/>
    <w:rsid w:val="33A773CB"/>
    <w:rsid w:val="349D6851"/>
    <w:rsid w:val="35775AA4"/>
    <w:rsid w:val="36AA5135"/>
    <w:rsid w:val="36BE0DA7"/>
    <w:rsid w:val="376B6AA6"/>
    <w:rsid w:val="376D39B2"/>
    <w:rsid w:val="37E16F03"/>
    <w:rsid w:val="37F53A3B"/>
    <w:rsid w:val="389B6C89"/>
    <w:rsid w:val="38D469F0"/>
    <w:rsid w:val="39627CCD"/>
    <w:rsid w:val="39760B43"/>
    <w:rsid w:val="397BAF1F"/>
    <w:rsid w:val="3A4941B4"/>
    <w:rsid w:val="3AB017D1"/>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8E7F39"/>
    <w:rsid w:val="44E268DA"/>
    <w:rsid w:val="450D13D7"/>
    <w:rsid w:val="45506656"/>
    <w:rsid w:val="486A6C7A"/>
    <w:rsid w:val="4A627F82"/>
    <w:rsid w:val="4AEB7B5F"/>
    <w:rsid w:val="4B0E749A"/>
    <w:rsid w:val="4B2477C4"/>
    <w:rsid w:val="4B4F25DA"/>
    <w:rsid w:val="4BE068DB"/>
    <w:rsid w:val="4D577224"/>
    <w:rsid w:val="4DBF1CEB"/>
    <w:rsid w:val="4DF0007C"/>
    <w:rsid w:val="4EAB630A"/>
    <w:rsid w:val="4ECE2238"/>
    <w:rsid w:val="4F833267"/>
    <w:rsid w:val="4FE9BD67"/>
    <w:rsid w:val="4FFB052F"/>
    <w:rsid w:val="531E46CB"/>
    <w:rsid w:val="537E6D0A"/>
    <w:rsid w:val="53F74C96"/>
    <w:rsid w:val="55170BA8"/>
    <w:rsid w:val="553218C9"/>
    <w:rsid w:val="567E1AA5"/>
    <w:rsid w:val="56E47B74"/>
    <w:rsid w:val="57175D52"/>
    <w:rsid w:val="57BD3DD4"/>
    <w:rsid w:val="596B3CF9"/>
    <w:rsid w:val="59DD1EE3"/>
    <w:rsid w:val="5AB91D67"/>
    <w:rsid w:val="5AF92295"/>
    <w:rsid w:val="5B250254"/>
    <w:rsid w:val="5BDD79E6"/>
    <w:rsid w:val="5BF561CA"/>
    <w:rsid w:val="5BFF5DFC"/>
    <w:rsid w:val="5C8F14A0"/>
    <w:rsid w:val="5CD71FC4"/>
    <w:rsid w:val="5D1C2A41"/>
    <w:rsid w:val="5D1F11B5"/>
    <w:rsid w:val="5D695134"/>
    <w:rsid w:val="5DAE1B18"/>
    <w:rsid w:val="5DE7D9E5"/>
    <w:rsid w:val="5ECEC941"/>
    <w:rsid w:val="5FBF9FF3"/>
    <w:rsid w:val="5FCD4E2C"/>
    <w:rsid w:val="5FEF394A"/>
    <w:rsid w:val="5FF67715"/>
    <w:rsid w:val="627C2BA0"/>
    <w:rsid w:val="62BF3928"/>
    <w:rsid w:val="63B3701E"/>
    <w:rsid w:val="647F5392"/>
    <w:rsid w:val="65E66580"/>
    <w:rsid w:val="664B1D71"/>
    <w:rsid w:val="664B4E8E"/>
    <w:rsid w:val="67223F23"/>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EFCA5AF"/>
    <w:rsid w:val="6F6FB3EB"/>
    <w:rsid w:val="6F8731EA"/>
    <w:rsid w:val="6FCE6052"/>
    <w:rsid w:val="6FD57C00"/>
    <w:rsid w:val="6FEFFFD8"/>
    <w:rsid w:val="6FF5CC65"/>
    <w:rsid w:val="6FFB47EC"/>
    <w:rsid w:val="6FFF034A"/>
    <w:rsid w:val="70484440"/>
    <w:rsid w:val="712A28F1"/>
    <w:rsid w:val="715831D8"/>
    <w:rsid w:val="715C0E4B"/>
    <w:rsid w:val="71992E7C"/>
    <w:rsid w:val="71FF4ED9"/>
    <w:rsid w:val="72233669"/>
    <w:rsid w:val="72734D90"/>
    <w:rsid w:val="73160E6D"/>
    <w:rsid w:val="7332FE48"/>
    <w:rsid w:val="73AB61DA"/>
    <w:rsid w:val="73AD73D5"/>
    <w:rsid w:val="73B6EB34"/>
    <w:rsid w:val="73FA497D"/>
    <w:rsid w:val="744731E5"/>
    <w:rsid w:val="74BBD01D"/>
    <w:rsid w:val="74ED5379"/>
    <w:rsid w:val="75DEEEC2"/>
    <w:rsid w:val="75E32345"/>
    <w:rsid w:val="764719D3"/>
    <w:rsid w:val="76E3355F"/>
    <w:rsid w:val="76FF5125"/>
    <w:rsid w:val="77487081"/>
    <w:rsid w:val="776F6FFA"/>
    <w:rsid w:val="777A7F64"/>
    <w:rsid w:val="778769C8"/>
    <w:rsid w:val="77A75DCA"/>
    <w:rsid w:val="77DC22F5"/>
    <w:rsid w:val="783E271A"/>
    <w:rsid w:val="78616DE9"/>
    <w:rsid w:val="78E875D7"/>
    <w:rsid w:val="79086DAD"/>
    <w:rsid w:val="79D7FD79"/>
    <w:rsid w:val="79EE5BA4"/>
    <w:rsid w:val="79F071FB"/>
    <w:rsid w:val="7A894339"/>
    <w:rsid w:val="7A9E6CC4"/>
    <w:rsid w:val="7AD284E8"/>
    <w:rsid w:val="7AFF7572"/>
    <w:rsid w:val="7B6C7DFB"/>
    <w:rsid w:val="7BBFBED0"/>
    <w:rsid w:val="7BC3E394"/>
    <w:rsid w:val="7C0B68EE"/>
    <w:rsid w:val="7C1F3737"/>
    <w:rsid w:val="7C5E5B58"/>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DFF6EB9"/>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EFD0B4"/>
    <w:rsid w:val="FBFF5B2E"/>
    <w:rsid w:val="FD7FFE2B"/>
    <w:rsid w:val="FDEE196B"/>
    <w:rsid w:val="FDFE6575"/>
    <w:rsid w:val="FEDFDDC2"/>
    <w:rsid w:val="FEED32F6"/>
    <w:rsid w:val="FEF781DD"/>
    <w:rsid w:val="FF3F7E3F"/>
    <w:rsid w:val="FFBA12D7"/>
    <w:rsid w:val="FFBFEE6C"/>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500" b="1" i="0" u="none" strike="noStrike" kern="1200" baseline="0">
                <a:solidFill>
                  <a:schemeClr val="dk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15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2023年、2024年收入、支出决算数（万元）                </a:t>
            </a:r>
            <a:endParaRPr sz="15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2023年</c:v>
                </c:pt>
                <c:pt idx="1">
                  <c:v>2024年</c:v>
                </c:pt>
              </c:strCache>
            </c:strRef>
          </c:cat>
          <c:val>
            <c:numRef>
              <c:f>Sheet1!$B$2:$B$3</c:f>
              <c:numCache>
                <c:formatCode>General</c:formatCode>
                <c:ptCount val="2"/>
                <c:pt idx="0">
                  <c:v>294.4</c:v>
                </c:pt>
                <c:pt idx="1">
                  <c:v>398.68</c:v>
                </c:pt>
              </c:numCache>
            </c:numRef>
          </c:val>
        </c:ser>
        <c:ser>
          <c:idx val="1"/>
          <c:order val="1"/>
          <c:tx>
            <c:strRef>
              <c:f>Sheet1!$C$1</c:f>
              <c:strCache>
                <c:ptCount val="1"/>
                <c:pt idx="0">
                  <c:v>支出数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dk1">
                          <a:lumMod val="50000"/>
                          <a:lumOff val="50000"/>
                        </a:schemeClr>
                      </a:solidFill>
                    </a:ln>
                    <a:effectLst/>
                  </c:spPr>
                </c15:leaderLines>
              </c:ext>
            </c:extLst>
          </c:dLbls>
          <c:cat>
            <c:strRef>
              <c:f>Sheet1!$A$2:$A$3</c:f>
              <c:strCache>
                <c:ptCount val="2"/>
                <c:pt idx="0">
                  <c:v>2023年</c:v>
                </c:pt>
                <c:pt idx="1">
                  <c:v>2024年</c:v>
                </c:pt>
              </c:strCache>
            </c:strRef>
          </c:cat>
          <c:val>
            <c:numRef>
              <c:f>Sheet1!$C$2:$C$3</c:f>
              <c:numCache>
                <c:formatCode>General</c:formatCode>
                <c:ptCount val="2"/>
                <c:pt idx="0">
                  <c:v>294.4</c:v>
                </c:pt>
                <c:pt idx="1">
                  <c:v>398.68</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981347099"/>
        <c:axId val="591319403"/>
      </c:barChart>
      <c:catAx>
        <c:axId val="98134709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591319403"/>
        <c:crosses val="autoZero"/>
        <c:auto val="1"/>
        <c:lblAlgn val="ctr"/>
        <c:lblOffset val="100"/>
        <c:noMultiLvlLbl val="0"/>
      </c:catAx>
      <c:valAx>
        <c:axId val="59131940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981347099"/>
        <c:crosses val="autoZero"/>
        <c:crossBetween val="between"/>
      </c:valAx>
      <c:spPr>
        <a:noFill/>
        <a:ln>
          <a:noFill/>
        </a:ln>
        <a:effectLst/>
      </c:spPr>
    </c:plotArea>
    <c:legend>
      <c:legendPos val="b"/>
      <c:legendEntry>
        <c:idx val="2"/>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金额（万元）</c:v>
                </c:pt>
              </c:strCache>
            </c:strRef>
          </c:tx>
          <c:spPr>
            <a:scene3d>
              <a:camera prst="orthographicFront"/>
              <a:lightRig rig="threePt" dir="t"/>
            </a:scene3d>
            <a:sp3d contourW="9525"/>
          </c:spPr>
          <c:explosion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contourW="9525"/>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contourW="9525"/>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一般公共预算财政拨款收入</a:t>
                    </a:r>
                    <a:r>
                      <a:rPr lang="en-US" altLang="zh-CN"/>
                      <a:t>288.51</a:t>
                    </a:r>
                    <a:endParaRPr lang="en-US" altLang="zh-CN"/>
                  </a:p>
                  <a:p>
                    <a:pPr defTabSz="914400">
                      <a:defRPr lang="zh-CN" sz="900" b="1" i="0" u="none" strike="noStrike" kern="1200" baseline="0">
                        <a:solidFill>
                          <a:schemeClr val="lt1"/>
                        </a:solidFill>
                        <a:latin typeface="+mn-lt"/>
                        <a:ea typeface="+mn-ea"/>
                        <a:cs typeface="+mn-cs"/>
                      </a:defRPr>
                    </a:pPr>
                    <a:r>
                      <a:t>72%</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政府性基金预算财政拨款收入</a:t>
                    </a:r>
                    <a:r>
                      <a:rPr lang="en-US" altLang="zh-CN"/>
                      <a:t>110.17</a:t>
                    </a:r>
                    <a:endParaRPr lang="en-US" altLang="zh-CN"/>
                  </a:p>
                  <a:p>
                    <a:pPr defTabSz="914400">
                      <a:defRPr lang="zh-CN" sz="900" b="1" i="0" u="none" strike="noStrike" kern="1200" baseline="0">
                        <a:solidFill>
                          <a:schemeClr val="lt1"/>
                        </a:solidFill>
                        <a:latin typeface="+mn-lt"/>
                        <a:ea typeface="+mn-ea"/>
                        <a:cs typeface="+mn-cs"/>
                      </a:defRPr>
                    </a:pPr>
                    <a:r>
                      <a:t>28%</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288.51</c:v>
                </c:pt>
                <c:pt idx="1">
                  <c:v>110.17</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金额（万元）</c:v>
                </c:pt>
              </c:strCache>
            </c:strRef>
          </c:tx>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Lbls>
            <c:dLbl>
              <c:idx val="0"/>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t>基本支出</a:t>
                    </a:r>
                    <a:r>
                      <a:rPr lang="en-US" altLang="zh-CN"/>
                      <a:t>229</a:t>
                    </a:r>
                    <a:r>
                      <a:rPr lang="en-US" altLang="en-US"/>
                      <a:t>.</a:t>
                    </a:r>
                    <a:r>
                      <a:rPr lang="en-US" altLang="zh-CN"/>
                      <a:t>47</a:t>
                    </a:r>
                    <a:r>
                      <a:t>58%</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2"/>
                        </a:solidFill>
                        <a:effectLst/>
                        <a:latin typeface="+mn-lt"/>
                        <a:ea typeface="+mn-ea"/>
                        <a:cs typeface="+mn-cs"/>
                      </a:defRPr>
                    </a:pPr>
                    <a:r>
                      <a:t>项目支出</a:t>
                    </a:r>
                    <a:r>
                      <a:rPr lang="en-US" altLang="zh-CN"/>
                      <a:t>169.21</a:t>
                    </a:r>
                    <a:endParaRPr lang="en-US" altLang="zh-CN"/>
                  </a:p>
                  <a:p>
                    <a:pPr defTabSz="914400">
                      <a:defRPr lang="zh-CN" sz="1000" b="0" i="0" u="none" strike="noStrike" kern="1200" baseline="0">
                        <a:solidFill>
                          <a:schemeClr val="accent2"/>
                        </a:solidFill>
                        <a:effectLst/>
                        <a:latin typeface="+mn-lt"/>
                        <a:ea typeface="+mn-ea"/>
                        <a:cs typeface="+mn-cs"/>
                      </a:defRPr>
                    </a:pPr>
                    <a:r>
                      <a:t>42%</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229.47</c:v>
                </c:pt>
                <c:pt idx="1">
                  <c:v>169.21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en-US" altLang="zh-CN" sz="1500">
                <a:latin typeface="仿宋_GB2312" panose="02010609030101010101" pitchFamily="3" charset="-122"/>
                <a:ea typeface="仿宋_GB2312" panose="02010609030101010101" pitchFamily="3" charset="-122"/>
                <a:cs typeface="仿宋_GB2312" panose="02010609030101010101" pitchFamily="3" charset="-122"/>
              </a:rPr>
              <a:t>2023</a:t>
            </a:r>
            <a:r>
              <a:rPr altLang="en-US" sz="1500">
                <a:latin typeface="仿宋_GB2312" panose="02010609030101010101" pitchFamily="3" charset="-122"/>
                <a:ea typeface="仿宋_GB2312" panose="02010609030101010101" pitchFamily="3" charset="-122"/>
                <a:cs typeface="仿宋_GB2312" panose="02010609030101010101" pitchFamily="3" charset="-122"/>
              </a:rPr>
              <a:t>年、</a:t>
            </a:r>
            <a:r>
              <a:rPr lang="en-US" altLang="zh-CN" sz="1500">
                <a:latin typeface="仿宋_GB2312" panose="02010609030101010101" pitchFamily="3" charset="-122"/>
                <a:ea typeface="仿宋_GB2312" panose="02010609030101010101" pitchFamily="3" charset="-122"/>
                <a:cs typeface="仿宋_GB2312" panose="02010609030101010101" pitchFamily="3" charset="-122"/>
              </a:rPr>
              <a:t>2024</a:t>
            </a:r>
            <a:r>
              <a:rPr altLang="en-US" sz="1500">
                <a:latin typeface="仿宋_GB2312" panose="02010609030101010101" pitchFamily="3" charset="-122"/>
                <a:ea typeface="仿宋_GB2312" panose="02010609030101010101" pitchFamily="3" charset="-122"/>
                <a:cs typeface="仿宋_GB2312" panose="02010609030101010101" pitchFamily="3" charset="-122"/>
              </a:rPr>
              <a:t>年财政拨款收入支出数（万元）</a:t>
            </a:r>
            <a:endParaRPr altLang="en-US" sz="1500">
              <a:latin typeface="仿宋_GB2312" panose="02010609030101010101" pitchFamily="3" charset="-122"/>
              <a:ea typeface="仿宋_GB2312" panose="02010609030101010101" pitchFamily="3" charset="-122"/>
              <a:cs typeface="仿宋_GB2312" panose="02010609030101010101" pitchFamily="3"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2023年</c:v>
                </c:pt>
                <c:pt idx="1">
                  <c:v>2024年</c:v>
                </c:pt>
              </c:strCache>
            </c:strRef>
          </c:cat>
          <c:val>
            <c:numRef>
              <c:f>Sheet1!$B$2:$B$3</c:f>
              <c:numCache>
                <c:formatCode>General</c:formatCode>
                <c:ptCount val="2"/>
                <c:pt idx="0">
                  <c:v>294.4</c:v>
                </c:pt>
                <c:pt idx="1">
                  <c:v>398.68</c:v>
                </c:pt>
              </c:numCache>
            </c:numRef>
          </c:val>
        </c:ser>
        <c:ser>
          <c:idx val="1"/>
          <c:order val="1"/>
          <c:tx>
            <c:strRef>
              <c:f>Sheet1!$C$1</c:f>
              <c:strCache>
                <c:ptCount val="1"/>
                <c:pt idx="0">
                  <c:v>财政拨款支出</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2023年</c:v>
                </c:pt>
                <c:pt idx="1">
                  <c:v>2024年</c:v>
                </c:pt>
              </c:strCache>
            </c:strRef>
          </c:cat>
          <c:val>
            <c:numRef>
              <c:f>Sheet1!$C$2:$C$3</c:f>
              <c:numCache>
                <c:formatCode>General</c:formatCode>
                <c:ptCount val="2"/>
                <c:pt idx="0">
                  <c:v>294.4</c:v>
                </c:pt>
                <c:pt idx="1">
                  <c:v>398.68</c:v>
                </c:pt>
              </c:numCache>
            </c:numRef>
          </c:val>
        </c:ser>
        <c:ser>
          <c:idx val="2"/>
          <c:order val="2"/>
          <c:tx>
            <c:strRef>
              <c:f>Sheet1!#REF!</c:f>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65"/>
        <c:overlap val="0"/>
        <c:axId val="341516389"/>
        <c:axId val="695166563"/>
      </c:barChart>
      <c:catAx>
        <c:axId val="341516389"/>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695166563"/>
        <c:crosses val="autoZero"/>
        <c:auto val="1"/>
        <c:lblAlgn val="ctr"/>
        <c:lblOffset val="100"/>
        <c:noMultiLvlLbl val="0"/>
      </c:catAx>
      <c:valAx>
        <c:axId val="6951665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341516389"/>
        <c:crosses val="autoZero"/>
        <c:crossBetween val="between"/>
      </c:valAx>
      <c:spPr>
        <a:noFill/>
        <a:ln>
          <a:noFill/>
        </a:ln>
        <a:effectLst/>
      </c:spPr>
    </c:plotArea>
    <c:legend>
      <c:legendPos val="b"/>
      <c:legendEntry>
        <c:idx val="2"/>
        <c:delete val="1"/>
      </c:legendEntry>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2023年、2024年一般公共预算财政拨款支出数（万元）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294.4</c:v>
                </c:pt>
                <c:pt idx="1">
                  <c:v>288.51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244168590"/>
        <c:axId val="733892681"/>
      </c:barChart>
      <c:catAx>
        <c:axId val="2441685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3892681"/>
        <c:crosses val="autoZero"/>
        <c:auto val="1"/>
        <c:lblAlgn val="ctr"/>
        <c:lblOffset val="100"/>
        <c:noMultiLvlLbl val="0"/>
      </c:catAx>
      <c:valAx>
        <c:axId val="7338926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168590"/>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solidFill>
                  <a:sysClr val="windowText" lastClr="000000"/>
                </a:solidFill>
              </a:rPr>
              <a:t>一般公共预算财政拨款支出数（万元）</a:t>
            </a:r>
            <a:endParaRPr>
              <a:solidFill>
                <a:sysClr val="windowText" lastClr="000000"/>
              </a:solidFill>
            </a:endParaRPr>
          </a:p>
        </c:rich>
      </c:tx>
      <c:layout>
        <c:manualLayout>
          <c:xMode val="edge"/>
          <c:yMode val="edge"/>
          <c:x val="0.139591719378953"/>
          <c:y val="0.00661084178052005"/>
        </c:manualLayout>
      </c:layout>
      <c:overlay val="0"/>
      <c:spPr>
        <a:noFill/>
        <a:ln>
          <a:noFill/>
        </a:ln>
        <a:effectLst/>
      </c:spPr>
    </c:title>
    <c:autoTitleDeleted val="0"/>
    <c:plotArea>
      <c:layout>
        <c:manualLayout>
          <c:layoutTarget val="inner"/>
          <c:xMode val="edge"/>
          <c:yMode val="edge"/>
          <c:x val="0.27882403680276"/>
          <c:y val="0.170780079330101"/>
          <c:w val="0.446089706728005"/>
          <c:h val="0.683781401498457"/>
        </c:manualLayout>
      </c:layout>
      <c:pieChart>
        <c:varyColors val="1"/>
        <c:ser>
          <c:idx val="0"/>
          <c:order val="0"/>
          <c:tx>
            <c:strRef>
              <c:f>Sheet1!$B$1</c:f>
              <c:strCache>
                <c:ptCount val="1"/>
                <c:pt idx="0">
                  <c:v>一般公共预算财政拨款支出（万元）</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0"/>
              <c:layout>
                <c:manualLayout>
                  <c:x val="-0.0571218153831289"/>
                  <c:y val="-0.1334242256573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节能环保支出</a:t>
                    </a:r>
                    <a:r>
                      <a:rPr lang="en-US" altLang="zh-CN">
                        <a:solidFill>
                          <a:sysClr val="windowText" lastClr="000000"/>
                        </a:solidFill>
                      </a:rPr>
                      <a:t>217.31</a:t>
                    </a:r>
                    <a:r>
                      <a:rPr>
                        <a:solidFill>
                          <a:sysClr val="windowText" lastClr="000000"/>
                        </a:solidFill>
                      </a:rPr>
                      <a:t>75%</a:t>
                    </a:r>
                    <a:endParaRPr>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5543415756182"/>
                      <c:h val="0.172983693256941"/>
                    </c:manualLayout>
                  </c15:layout>
                </c:ext>
              </c:extLst>
            </c:dLbl>
            <c:dLbl>
              <c:idx val="1"/>
              <c:layout>
                <c:manualLayout>
                  <c:x val="0.00677125425099818"/>
                  <c:y val="0.0285161020383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社会保障和就业支出</a:t>
                    </a:r>
                    <a:r>
                      <a:rPr lang="en-US" altLang="zh-CN">
                        <a:solidFill>
                          <a:sysClr val="windowText" lastClr="000000"/>
                        </a:solidFill>
                      </a:rPr>
                      <a:t>29.7</a:t>
                    </a:r>
                    <a:r>
                      <a:rPr>
                        <a:solidFill>
                          <a:sysClr val="windowText" lastClr="000000"/>
                        </a:solidFill>
                      </a:rPr>
                      <a:t>10%</a:t>
                    </a:r>
                    <a:endParaRPr>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616454071226165"/>
                  <c:y val="0.04343356603256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卫生健康支出</a:t>
                    </a:r>
                    <a:r>
                      <a:rPr lang="en-US" altLang="zh-CN">
                        <a:solidFill>
                          <a:sysClr val="windowText" lastClr="000000"/>
                        </a:solidFill>
                      </a:rPr>
                      <a:t>18.54</a:t>
                    </a:r>
                    <a:endParaRPr lang="en-US" altLang="zh-CN">
                      <a:solidFill>
                        <a:sysClr val="windowText" lastClr="000000"/>
                      </a:solidFill>
                    </a:endParaRPr>
                  </a:p>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7%</a:t>
                    </a:r>
                    <a:endParaRPr>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331799884991"/>
                      <c:h val="0.108417805200529"/>
                    </c:manualLayout>
                  </c15:layout>
                </c:ext>
              </c:extLst>
            </c:dLbl>
            <c:dLbl>
              <c:idx val="3"/>
              <c:layout>
                <c:manualLayout>
                  <c:x val="0.0378760700529915"/>
                  <c:y val="0.046812940864469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住房保障支出</a:t>
                    </a:r>
                    <a:r>
                      <a:rPr lang="en-US" altLang="zh-CN">
                        <a:solidFill>
                          <a:sysClr val="windowText" lastClr="000000"/>
                        </a:solidFill>
                      </a:rPr>
                      <a:t>22.96</a:t>
                    </a:r>
                    <a:r>
                      <a:rPr>
                        <a:solidFill>
                          <a:sysClr val="windowText" lastClr="000000"/>
                        </a:solidFill>
                      </a:rPr>
                      <a:t>8%</a:t>
                    </a:r>
                    <a:endParaRPr>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2570442783209"/>
                      <c:h val="0.11436756280299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节能环保支出</c:v>
                </c:pt>
                <c:pt idx="1">
                  <c:v>社会保障和就业支出</c:v>
                </c:pt>
                <c:pt idx="2">
                  <c:v>卫生健康支出</c:v>
                </c:pt>
                <c:pt idx="3">
                  <c:v>住房保障支出</c:v>
                </c:pt>
              </c:strCache>
            </c:strRef>
          </c:cat>
          <c:val>
            <c:numRef>
              <c:f>Sheet1!$B$2:$B$5</c:f>
              <c:numCache>
                <c:formatCode>General</c:formatCode>
                <c:ptCount val="4"/>
                <c:pt idx="0">
                  <c:v>217.3</c:v>
                </c:pt>
                <c:pt idx="1">
                  <c:v>29.7</c:v>
                </c:pt>
                <c:pt idx="2">
                  <c:v>18.54</c:v>
                </c:pt>
                <c:pt idx="3">
                  <c:v>22.96</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ysClr val="windowText" lastClr="000000"/>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“三公”经费财政拨款支出决算数</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229447382579225"/>
                  <c:y val="0.23083710590971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因公出国（境）费支出</a:t>
                    </a:r>
                    <a:r>
                      <a:rPr lang="en-US" altLang="zh-CN">
                        <a:solidFill>
                          <a:sysClr val="windowText" lastClr="000000"/>
                        </a:solidFill>
                      </a:rPr>
                      <a:t>0</a:t>
                    </a:r>
                    <a:endParaRPr lang="en-US" altLang="zh-CN">
                      <a:solidFill>
                        <a:sysClr val="windowText" lastClr="000000"/>
                      </a:solidFill>
                    </a:endParaRPr>
                  </a:p>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0%</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公务用车购置及运行维护费支出</a:t>
                    </a:r>
                    <a:r>
                      <a:rPr lang="en-US" altLang="zh-CN">
                        <a:solidFill>
                          <a:sysClr val="windowText" lastClr="000000"/>
                        </a:solidFill>
                      </a:rPr>
                      <a:t>2.8</a:t>
                    </a:r>
                    <a:endParaRPr lang="en-US" altLang="zh-CN">
                      <a:solidFill>
                        <a:sysClr val="windowText" lastClr="000000"/>
                      </a:solidFill>
                    </a:endParaRPr>
                  </a:p>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97%</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243956654626285"/>
                      <c:h val="0.237911464245176"/>
                    </c:manualLayout>
                  </c15:layout>
                </c:ext>
              </c:extLst>
            </c:dLbl>
            <c:dLbl>
              <c:idx val="2"/>
              <c:layout>
                <c:manualLayout>
                  <c:x val="-0.193194447597211"/>
                  <c:y val="0.14230162278867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公务接待费支出</a:t>
                    </a:r>
                    <a:r>
                      <a:rPr lang="en-US" altLang="zh-CN">
                        <a:solidFill>
                          <a:sysClr val="windowText" lastClr="000000"/>
                        </a:solidFill>
                      </a:rPr>
                      <a:t>0.08</a:t>
                    </a:r>
                    <a:endParaRPr lang="en-US" altLang="zh-CN">
                      <a:solidFill>
                        <a:sysClr val="windowText" lastClr="000000"/>
                      </a:solidFill>
                    </a:endParaRPr>
                  </a:p>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3%</a:t>
                    </a:r>
                    <a:endParaRPr>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0761322589608"/>
                      <c:h val="0.24108967082860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2.8</c:v>
                </c:pt>
                <c:pt idx="2">
                  <c:v>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rgbClr val="FF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36</TotalTime>
  <ScaleCrop>false</ScaleCrop>
  <LinksUpToDate>false</LinksUpToDate>
  <CharactersWithSpaces>8692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王顺莉</cp:lastModifiedBy>
  <cp:lastPrinted>2025-09-07T00:13:00Z</cp:lastPrinted>
  <dcterms:modified xsi:type="dcterms:W3CDTF">2025-09-11T07:13:30Z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04787F2533EB45DC91BCDE4AB213247F</vt:lpwstr>
  </property>
</Properties>
</file>