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2C7C2C">
      <w:pPr>
        <w:spacing w:line="300" w:lineRule="exact"/>
        <w:ind w:right="318" w:firstLine="640" w:firstLineChars="200"/>
        <w:jc w:val="right"/>
        <w:rPr>
          <w:rFonts w:eastAsia="仿宋_GB2312"/>
          <w:sz w:val="32"/>
          <w:szCs w:val="32"/>
        </w:rPr>
      </w:pPr>
    </w:p>
    <w:p w14:paraId="48E1E74B">
      <w:pPr>
        <w:spacing w:line="540" w:lineRule="exact"/>
        <w:jc w:val="center"/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  <w:t>攀枝花市生态环境局</w:t>
      </w:r>
    </w:p>
    <w:p w14:paraId="20D8437E">
      <w:pPr>
        <w:spacing w:line="540" w:lineRule="exact"/>
        <w:jc w:val="center"/>
        <w:rPr>
          <w:rFonts w:hint="eastAsia" w:ascii="方正小标宋_GBK" w:eastAsia="方正小标宋_GBK" w:cs="方正小标宋_GBK"/>
          <w:bCs/>
          <w:w w:val="10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方正小标宋_GBK"/>
          <w:bCs/>
          <w:w w:val="100"/>
          <w:sz w:val="44"/>
          <w:szCs w:val="44"/>
          <w:lang w:bidi="ar-SA"/>
        </w:rPr>
        <w:t>关于四川</w:t>
      </w:r>
      <w:r>
        <w:rPr>
          <w:rFonts w:hint="eastAsia" w:ascii="方正小标宋_GBK" w:eastAsia="方正小标宋_GBK" w:cs="方正小标宋_GBK"/>
          <w:bCs/>
          <w:w w:val="100"/>
          <w:sz w:val="44"/>
          <w:szCs w:val="44"/>
          <w:lang w:eastAsia="zh-CN" w:bidi="ar-SA"/>
        </w:rPr>
        <w:t>攀绿塑料科技</w:t>
      </w:r>
      <w:r>
        <w:rPr>
          <w:rFonts w:hint="eastAsia" w:ascii="方正小标宋_GBK" w:eastAsia="方正小标宋_GBK" w:cs="方正小标宋_GBK"/>
          <w:bCs/>
          <w:w w:val="100"/>
          <w:sz w:val="44"/>
          <w:szCs w:val="44"/>
          <w:lang w:bidi="ar-SA"/>
        </w:rPr>
        <w:t>有限公司</w:t>
      </w:r>
      <w:r>
        <w:rPr>
          <w:rFonts w:hint="eastAsia" w:ascii="方正小标宋_GBK" w:eastAsia="方正小标宋_GBK" w:cs="方正小标宋_GBK"/>
          <w:bCs/>
          <w:w w:val="100"/>
          <w:sz w:val="44"/>
          <w:szCs w:val="44"/>
          <w:lang w:eastAsia="zh-CN" w:bidi="ar-SA"/>
        </w:rPr>
        <w:t>3</w:t>
      </w:r>
      <w:r>
        <w:rPr>
          <w:rFonts w:hint="eastAsia" w:ascii="方正小标宋_GBK" w:eastAsia="方正小标宋_GBK" w:cs="方正小标宋_GBK"/>
          <w:bCs/>
          <w:w w:val="100"/>
          <w:sz w:val="44"/>
          <w:szCs w:val="44"/>
          <w:lang w:val="en-US" w:eastAsia="zh-CN" w:bidi="ar-SA"/>
        </w:rPr>
        <w:t>000t/a</w:t>
      </w:r>
    </w:p>
    <w:p w14:paraId="07D14D94">
      <w:pPr>
        <w:spacing w:line="540" w:lineRule="exact"/>
        <w:jc w:val="center"/>
        <w:rPr>
          <w:rFonts w:hint="eastAsia" w:ascii="方正小标宋_GBK" w:eastAsia="方正小标宋_GBK" w:cs="方正小标宋_GBK"/>
          <w:bCs/>
          <w:w w:val="100"/>
          <w:sz w:val="44"/>
          <w:szCs w:val="44"/>
          <w:lang w:eastAsia="zh-CN" w:bidi="ar-SA"/>
        </w:rPr>
      </w:pPr>
      <w:r>
        <w:rPr>
          <w:rFonts w:hint="eastAsia" w:ascii="方正小标宋_GBK" w:eastAsia="方正小标宋_GBK" w:cs="方正小标宋_GBK"/>
          <w:bCs/>
          <w:w w:val="100"/>
          <w:sz w:val="44"/>
          <w:szCs w:val="44"/>
          <w:lang w:val="en-US" w:eastAsia="zh-CN" w:bidi="ar-SA"/>
        </w:rPr>
        <w:t>新型塑料制品生产线</w:t>
      </w:r>
      <w:r>
        <w:rPr>
          <w:rFonts w:hint="eastAsia" w:ascii="方正小标宋_GBK" w:eastAsia="方正小标宋_GBK" w:cs="方正小标宋_GBK"/>
          <w:bCs/>
          <w:w w:val="100"/>
          <w:sz w:val="44"/>
          <w:szCs w:val="44"/>
          <w:lang w:bidi="ar-SA"/>
        </w:rPr>
        <w:t>项目</w:t>
      </w:r>
      <w:r>
        <w:rPr>
          <w:rFonts w:hint="eastAsia" w:ascii="方正小标宋_GBK" w:eastAsia="方正小标宋_GBK" w:cs="方正小标宋_GBK"/>
          <w:bCs/>
          <w:w w:val="100"/>
          <w:sz w:val="44"/>
          <w:szCs w:val="44"/>
          <w:lang w:eastAsia="zh-CN" w:bidi="ar-SA"/>
        </w:rPr>
        <w:t>（重新报批）</w:t>
      </w:r>
    </w:p>
    <w:p w14:paraId="42A1CFAC">
      <w:pPr>
        <w:spacing w:line="540" w:lineRule="exact"/>
        <w:jc w:val="center"/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  <w:t>环境影响报告</w:t>
      </w:r>
      <w:r>
        <w:rPr>
          <w:rFonts w:hint="eastAsia" w:ascii="方正小标宋_GBK" w:eastAsia="方正小标宋_GBK" w:cs="方正小标宋_GBK"/>
          <w:bCs/>
          <w:sz w:val="44"/>
          <w:szCs w:val="44"/>
          <w:lang w:eastAsia="zh-CN" w:bidi="ar-SA"/>
        </w:rPr>
        <w:t>书</w:t>
      </w:r>
      <w:r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  <w:t>的批复</w:t>
      </w:r>
    </w:p>
    <w:p w14:paraId="04A0C2D1">
      <w:pPr>
        <w:spacing w:line="540" w:lineRule="exact"/>
        <w:rPr>
          <w:rFonts w:eastAsia="仿宋_GB2312"/>
          <w:snapToGrid w:val="0"/>
          <w:kern w:val="0"/>
          <w:sz w:val="32"/>
          <w:szCs w:val="32"/>
        </w:rPr>
      </w:pPr>
    </w:p>
    <w:p w14:paraId="622E164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w w:val="100"/>
          <w:kern w:val="0"/>
          <w:sz w:val="32"/>
          <w:szCs w:val="32"/>
        </w:rPr>
        <w:t>四川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攀绿塑料科技</w:t>
      </w:r>
      <w:r>
        <w:rPr>
          <w:rFonts w:eastAsia="仿宋_GB2312"/>
          <w:snapToGrid w:val="0"/>
          <w:w w:val="100"/>
          <w:kern w:val="0"/>
          <w:sz w:val="32"/>
          <w:szCs w:val="32"/>
        </w:rPr>
        <w:t>有</w:t>
      </w:r>
      <w:r>
        <w:rPr>
          <w:rFonts w:hint="eastAsia" w:eastAsia="仿宋_GB2312"/>
          <w:snapToGrid w:val="0"/>
          <w:kern w:val="0"/>
          <w:sz w:val="32"/>
          <w:szCs w:val="32"/>
        </w:rPr>
        <w:t>限</w:t>
      </w:r>
      <w:r>
        <w:rPr>
          <w:rFonts w:eastAsia="仿宋_GB2312"/>
          <w:snapToGrid w:val="0"/>
          <w:w w:val="100"/>
          <w:kern w:val="0"/>
          <w:sz w:val="32"/>
          <w:szCs w:val="32"/>
        </w:rPr>
        <w:t>公司</w:t>
      </w:r>
      <w:r>
        <w:rPr>
          <w:rFonts w:eastAsia="仿宋_GB2312"/>
          <w:snapToGrid w:val="0"/>
          <w:kern w:val="0"/>
          <w:sz w:val="32"/>
          <w:szCs w:val="32"/>
        </w:rPr>
        <w:t>：</w:t>
      </w:r>
    </w:p>
    <w:p w14:paraId="1A027AE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《</w:t>
      </w:r>
      <w:bookmarkStart w:id="0" w:name="_GoBack"/>
      <w:r>
        <w:rPr>
          <w:rFonts w:hint="eastAsia" w:eastAsia="仿宋_GB2312"/>
          <w:sz w:val="32"/>
          <w:szCs w:val="32"/>
          <w:lang w:eastAsia="zh-CN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>000t/a新型塑料制品生产线</w:t>
      </w:r>
      <w:r>
        <w:rPr>
          <w:rFonts w:eastAsia="仿宋_GB2312"/>
          <w:w w:val="100"/>
          <w:sz w:val="32"/>
          <w:szCs w:val="32"/>
        </w:rPr>
        <w:t>项目</w:t>
      </w:r>
      <w:r>
        <w:rPr>
          <w:rFonts w:hint="eastAsia" w:eastAsia="仿宋_GB2312"/>
          <w:w w:val="100"/>
          <w:sz w:val="32"/>
          <w:szCs w:val="32"/>
          <w:lang w:eastAsia="zh-CN"/>
        </w:rPr>
        <w:t>（重新报批）</w:t>
      </w:r>
      <w:bookmarkEnd w:id="0"/>
      <w:r>
        <w:rPr>
          <w:rFonts w:eastAsia="仿宋_GB2312"/>
          <w:sz w:val="32"/>
          <w:szCs w:val="32"/>
        </w:rPr>
        <w:t>环境影响</w:t>
      </w:r>
      <w:r>
        <w:rPr>
          <w:rFonts w:hint="eastAsia" w:eastAsia="仿宋_GB2312"/>
          <w:sz w:val="32"/>
          <w:szCs w:val="32"/>
        </w:rPr>
        <w:t>报告</w:t>
      </w:r>
      <w:r>
        <w:rPr>
          <w:rFonts w:hint="eastAsia" w:eastAsia="仿宋_GB2312"/>
          <w:sz w:val="32"/>
          <w:szCs w:val="32"/>
          <w:lang w:eastAsia="zh-CN"/>
        </w:rPr>
        <w:t>书</w:t>
      </w:r>
      <w:r>
        <w:rPr>
          <w:rFonts w:eastAsia="仿宋_GB2312"/>
          <w:snapToGrid w:val="0"/>
          <w:kern w:val="0"/>
          <w:sz w:val="32"/>
          <w:szCs w:val="32"/>
        </w:rPr>
        <w:t>》（以</w:t>
      </w:r>
      <w:r>
        <w:rPr>
          <w:rFonts w:eastAsia="仿宋_GB2312"/>
          <w:sz w:val="32"/>
          <w:szCs w:val="32"/>
        </w:rPr>
        <w:t>下简称“报告</w:t>
      </w:r>
      <w:r>
        <w:rPr>
          <w:rFonts w:hint="eastAsia" w:eastAsia="仿宋_GB2312"/>
          <w:sz w:val="32"/>
          <w:szCs w:val="32"/>
          <w:lang w:eastAsia="zh-CN"/>
        </w:rPr>
        <w:t>书</w:t>
      </w:r>
      <w:r>
        <w:rPr>
          <w:rFonts w:eastAsia="仿宋_GB2312"/>
          <w:sz w:val="32"/>
          <w:szCs w:val="32"/>
        </w:rPr>
        <w:t>”）</w:t>
      </w:r>
      <w:r>
        <w:rPr>
          <w:rFonts w:eastAsia="仿宋_GB2312"/>
          <w:snapToGrid w:val="0"/>
          <w:kern w:val="0"/>
          <w:sz w:val="32"/>
          <w:szCs w:val="32"/>
        </w:rPr>
        <w:t>收悉，</w:t>
      </w:r>
      <w:r>
        <w:rPr>
          <w:rFonts w:hint="eastAsia" w:eastAsia="仿宋_GB2312"/>
          <w:kern w:val="0"/>
          <w:sz w:val="32"/>
          <w:szCs w:val="32"/>
        </w:rPr>
        <w:t>经研究</w:t>
      </w:r>
      <w:r>
        <w:rPr>
          <w:rFonts w:eastAsia="仿宋_GB2312"/>
          <w:sz w:val="32"/>
          <w:szCs w:val="32"/>
        </w:rPr>
        <w:t>，批复如下。</w:t>
      </w:r>
    </w:p>
    <w:p w14:paraId="39E66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960" w:firstLineChars="3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一、</w:t>
      </w:r>
      <w:r>
        <w:rPr>
          <w:rFonts w:hint="eastAsia" w:eastAsia="仿宋_GB2312"/>
          <w:snapToGrid w:val="0"/>
          <w:kern w:val="0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位于</w:t>
      </w:r>
      <w:r>
        <w:rPr>
          <w:rFonts w:hint="eastAsia" w:eastAsia="仿宋_GB2312"/>
          <w:sz w:val="32"/>
          <w:szCs w:val="32"/>
        </w:rPr>
        <w:t>米易县白马园区长坡工业区，</w:t>
      </w:r>
      <w:r>
        <w:rPr>
          <w:rFonts w:eastAsia="仿宋_GB2312"/>
          <w:sz w:val="32"/>
          <w:szCs w:val="32"/>
          <w:lang w:val="en-US" w:eastAsia="zh-CN" w:bidi="ar-SA"/>
        </w:rPr>
        <w:t>项目环境影响报告表于202</w:t>
      </w:r>
      <w:r>
        <w:rPr>
          <w:rFonts w:hint="eastAsia" w:eastAsia="仿宋_GB2312"/>
          <w:sz w:val="32"/>
          <w:szCs w:val="32"/>
          <w:lang w:val="en-US" w:eastAsia="zh-CN" w:bidi="ar-SA"/>
        </w:rPr>
        <w:t>4</w:t>
      </w:r>
      <w:r>
        <w:rPr>
          <w:rFonts w:eastAsia="仿宋_GB2312"/>
          <w:sz w:val="32"/>
          <w:szCs w:val="32"/>
          <w:lang w:val="en-US" w:eastAsia="zh-CN" w:bidi="ar-SA"/>
        </w:rPr>
        <w:t>年</w:t>
      </w:r>
      <w:r>
        <w:rPr>
          <w:rFonts w:hint="eastAsia" w:eastAsia="仿宋_GB2312"/>
          <w:sz w:val="32"/>
          <w:szCs w:val="32"/>
          <w:lang w:val="en-US" w:eastAsia="zh-CN" w:bidi="ar-SA"/>
        </w:rPr>
        <w:t>7</w:t>
      </w:r>
      <w:r>
        <w:rPr>
          <w:rFonts w:eastAsia="仿宋_GB2312"/>
          <w:sz w:val="32"/>
          <w:szCs w:val="32"/>
          <w:lang w:val="en-US" w:eastAsia="zh-CN" w:bidi="ar-SA"/>
        </w:rPr>
        <w:t>月</w:t>
      </w:r>
      <w:r>
        <w:rPr>
          <w:rFonts w:hint="eastAsia" w:eastAsia="仿宋_GB2312"/>
          <w:sz w:val="32"/>
          <w:szCs w:val="32"/>
          <w:lang w:val="en-US" w:eastAsia="zh-CN" w:bidi="ar-SA"/>
        </w:rPr>
        <w:t>15</w:t>
      </w:r>
      <w:r>
        <w:rPr>
          <w:rFonts w:eastAsia="仿宋_GB2312"/>
          <w:sz w:val="32"/>
          <w:szCs w:val="32"/>
          <w:lang w:val="en-US" w:eastAsia="zh-CN" w:bidi="ar-SA"/>
        </w:rPr>
        <w:t>日取得批复（</w:t>
      </w:r>
      <w:r>
        <w:rPr>
          <w:rFonts w:eastAsia="仿宋_GB2312"/>
          <w:sz w:val="32"/>
          <w:szCs w:val="32"/>
        </w:rPr>
        <w:t>攀环审批〔202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60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  <w:lang w:val="en-US" w:eastAsia="zh-CN" w:bidi="ar-SA"/>
        </w:rPr>
        <w:t>）</w:t>
      </w:r>
      <w:r>
        <w:rPr>
          <w:rFonts w:hint="eastAsia" w:eastAsia="仿宋_GB2312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因主要原料中70%全新聚乙烯颗粒变更为再生聚乙烯颗粒料，导致废气污染物非甲烷总烃排放量增加52%。</w:t>
      </w:r>
      <w:r>
        <w:rPr>
          <w:rFonts w:eastAsia="仿宋_GB2312"/>
          <w:sz w:val="32"/>
          <w:szCs w:val="32"/>
          <w:lang w:val="en-US" w:eastAsia="zh-CN" w:bidi="ar-SA"/>
        </w:rPr>
        <w:t>根据《中华人民共和国环境影响评价法》和生态环境部办公厅《关于印发</w:t>
      </w:r>
      <w:r>
        <w:rPr>
          <w:rFonts w:eastAsia="仿宋_GB2312"/>
          <w:sz w:val="32"/>
          <w:szCs w:val="32"/>
        </w:rPr>
        <w:t>〈</w:t>
      </w:r>
      <w:r>
        <w:rPr>
          <w:rFonts w:eastAsia="仿宋_GB2312"/>
          <w:sz w:val="32"/>
          <w:szCs w:val="32"/>
          <w:lang w:val="en-US" w:eastAsia="zh-CN"/>
        </w:rPr>
        <w:t>污染影响类建设项目重大变动清单（试行）</w:t>
      </w:r>
      <w:r>
        <w:rPr>
          <w:rFonts w:eastAsia="仿宋_GB2312"/>
          <w:sz w:val="32"/>
          <w:szCs w:val="32"/>
          <w:lang w:eastAsia="zh-CN"/>
        </w:rPr>
        <w:t>〉</w:t>
      </w:r>
      <w:r>
        <w:rPr>
          <w:rFonts w:eastAsia="仿宋_GB2312"/>
          <w:sz w:val="32"/>
          <w:szCs w:val="32"/>
          <w:lang w:val="en-US" w:eastAsia="zh-CN" w:bidi="ar-SA"/>
        </w:rPr>
        <w:t>的通知》（环办环评函〔2020〕688号），上述调整属于重大变动，应重新报批环境影响评价文件。</w:t>
      </w:r>
      <w:r>
        <w:rPr>
          <w:rFonts w:hint="eastAsia" w:eastAsia="仿宋_GB2312"/>
          <w:sz w:val="32"/>
          <w:szCs w:val="32"/>
          <w:lang w:val="en-US" w:eastAsia="zh-CN" w:bidi="ar-SA"/>
        </w:rPr>
        <w:t>项目调整后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以再生料聚乙烯颗粒（包括LDPE颗粒、HDPE颗粒）、全新料聚乙烯颗粒（包括LDPE颗粒、HDPE颗粒）为原料生产PE管材、滴灌带产品，以全新料聚乙烯颗粒（LLDPE颗粒）作为原料生产网套产品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共设</w:t>
      </w:r>
      <w:r>
        <w:rPr>
          <w:rFonts w:hint="eastAsia" w:eastAsia="仿宋_GB2312"/>
          <w:sz w:val="32"/>
          <w:szCs w:val="32"/>
          <w:lang w:val="en-US" w:eastAsia="zh-CN"/>
        </w:rPr>
        <w:t>4条PE管材生产线、1条滴灌带生产线和4条网套生产线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年产PE管材2500t、滴灌带250t、网套25000袋。项目总投资</w:t>
      </w:r>
      <w:r>
        <w:rPr>
          <w:rFonts w:hint="eastAsia" w:eastAsia="仿宋_GB2312"/>
          <w:sz w:val="32"/>
          <w:szCs w:val="32"/>
          <w:lang w:val="en-US" w:eastAsia="zh-CN"/>
        </w:rPr>
        <w:t>500</w:t>
      </w:r>
      <w:r>
        <w:rPr>
          <w:rFonts w:hint="eastAsia" w:eastAsia="仿宋_GB2312"/>
          <w:sz w:val="32"/>
          <w:szCs w:val="32"/>
        </w:rPr>
        <w:t>万元，其中环保投资</w:t>
      </w:r>
      <w:r>
        <w:rPr>
          <w:rFonts w:hint="eastAsia" w:eastAsia="仿宋_GB2312"/>
          <w:sz w:val="32"/>
          <w:szCs w:val="32"/>
          <w:lang w:val="en-US" w:eastAsia="zh-CN"/>
        </w:rPr>
        <w:t>48</w:t>
      </w:r>
      <w:r>
        <w:rPr>
          <w:rFonts w:hint="eastAsia" w:eastAsia="仿宋_GB2312"/>
          <w:sz w:val="32"/>
          <w:szCs w:val="32"/>
        </w:rPr>
        <w:t xml:space="preserve">万元。 </w:t>
      </w:r>
    </w:p>
    <w:p w14:paraId="3672834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二、</w:t>
      </w:r>
      <w:r>
        <w:rPr>
          <w:rFonts w:eastAsia="仿宋_GB2312"/>
          <w:kern w:val="2"/>
          <w:sz w:val="32"/>
          <w:szCs w:val="32"/>
          <w:lang w:bidi="ar-SA"/>
        </w:rPr>
        <w:t>四川英皓环境工程有限公司</w:t>
      </w:r>
      <w:r>
        <w:rPr>
          <w:rFonts w:eastAsia="仿宋_GB2312"/>
          <w:color w:val="auto"/>
          <w:kern w:val="0"/>
          <w:sz w:val="32"/>
          <w:szCs w:val="32"/>
          <w:lang w:eastAsia="zh-CN" w:bidi="ar-SA"/>
        </w:rPr>
        <w:t>受你公司委托对该项目开展环境影响评价，编制环境影响报告</w:t>
      </w:r>
      <w:r>
        <w:rPr>
          <w:rFonts w:hint="eastAsia" w:eastAsia="仿宋_GB2312"/>
          <w:color w:val="auto"/>
          <w:kern w:val="0"/>
          <w:sz w:val="32"/>
          <w:szCs w:val="32"/>
          <w:lang w:eastAsia="zh-CN" w:bidi="ar-SA"/>
        </w:rPr>
        <w:t>书</w:t>
      </w:r>
      <w:r>
        <w:rPr>
          <w:rFonts w:eastAsia="仿宋_GB2312"/>
          <w:color w:val="auto"/>
          <w:kern w:val="0"/>
          <w:sz w:val="32"/>
          <w:szCs w:val="32"/>
          <w:lang w:eastAsia="zh-CN" w:bidi="ar-SA"/>
        </w:rPr>
        <w:t>。</w:t>
      </w:r>
      <w:r>
        <w:rPr>
          <w:rFonts w:eastAsia="仿宋_GB2312"/>
          <w:kern w:val="0"/>
          <w:sz w:val="32"/>
          <w:szCs w:val="32"/>
          <w:lang w:eastAsia="zh-CN" w:bidi="ar-SA"/>
        </w:rPr>
        <w:t>“</w:t>
      </w:r>
      <w:r>
        <w:rPr>
          <w:rFonts w:eastAsia="仿宋_GB2312"/>
          <w:color w:val="auto"/>
          <w:kern w:val="0"/>
          <w:sz w:val="32"/>
          <w:szCs w:val="32"/>
          <w:lang w:eastAsia="zh-CN" w:bidi="ar-SA"/>
        </w:rPr>
        <w:t>报告</w:t>
      </w: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>书</w:t>
      </w:r>
      <w:r>
        <w:rPr>
          <w:rFonts w:eastAsia="仿宋_GB2312"/>
          <w:kern w:val="2"/>
          <w:sz w:val="32"/>
          <w:szCs w:val="32"/>
          <w:lang w:val="en-US" w:eastAsia="zh-CN" w:bidi="ar-SA"/>
        </w:rPr>
        <w:t>”认为项目符合国家产业政策，选址符合园区规划</w:t>
      </w: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eastAsia="仿宋_GB2312"/>
          <w:kern w:val="2"/>
          <w:sz w:val="32"/>
          <w:szCs w:val="32"/>
          <w:lang w:val="en-US" w:eastAsia="zh-CN" w:bidi="ar-SA"/>
        </w:rPr>
        <w:t>规划环评</w:t>
      </w: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>及生态环境分区管控</w:t>
      </w:r>
      <w:r>
        <w:rPr>
          <w:rFonts w:eastAsia="仿宋_GB2312"/>
          <w:kern w:val="2"/>
          <w:sz w:val="32"/>
          <w:szCs w:val="32"/>
          <w:lang w:val="en-US" w:eastAsia="zh-CN" w:bidi="ar-SA"/>
        </w:rPr>
        <w:t>要求。在严格落实“报告</w:t>
      </w: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>书</w:t>
      </w:r>
      <w:r>
        <w:rPr>
          <w:rFonts w:eastAsia="仿宋_GB2312"/>
          <w:kern w:val="2"/>
          <w:sz w:val="32"/>
          <w:szCs w:val="32"/>
          <w:lang w:val="en-US" w:eastAsia="zh-CN" w:bidi="ar-SA"/>
        </w:rPr>
        <w:t>”提出的环保对策及措施，严格执行“三同时”制度，确保项目污染物达标排放，认真落实环境风险防范措施的前提下，该项目的建设从生态环境保护角度可行，我局原则同意“报告</w:t>
      </w: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>书</w:t>
      </w:r>
      <w:r>
        <w:rPr>
          <w:rFonts w:eastAsia="仿宋_GB2312"/>
          <w:kern w:val="2"/>
          <w:sz w:val="32"/>
          <w:szCs w:val="32"/>
          <w:lang w:val="en-US" w:eastAsia="zh-CN" w:bidi="ar-SA"/>
        </w:rPr>
        <w:t>”的环境影响评价总体结论和拟采取的各项生态环境保护措施。你公司应严格按照“报告</w:t>
      </w: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>书</w:t>
      </w:r>
      <w:r>
        <w:rPr>
          <w:rFonts w:eastAsia="仿宋_GB2312"/>
          <w:kern w:val="2"/>
          <w:sz w:val="32"/>
          <w:szCs w:val="32"/>
          <w:lang w:val="en-US" w:eastAsia="zh-CN" w:bidi="ar-SA"/>
        </w:rPr>
        <w:t>”中所列项目的建设性质、规模、工艺、地点和拟采取的环境保护措施进行建设和运行，以确保对环境的不利影响能够得到缓解和控制。</w:t>
      </w:r>
    </w:p>
    <w:p w14:paraId="5ABE65E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三、项目建设应做好以下工作。</w:t>
      </w:r>
    </w:p>
    <w:p w14:paraId="2DE3A23C">
      <w:pPr>
        <w:pStyle w:val="15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严格落实施工期各项污染控制措施。加强施工期环境管理，采取有效措施减轻或消除施工期废水、废渣、噪声、扬尘等对周围环境的影响。</w:t>
      </w:r>
    </w:p>
    <w:p w14:paraId="2B4CD6D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仿宋_GB2312"/>
          <w:color w:val="1C1B10"/>
          <w:sz w:val="32"/>
          <w:szCs w:val="32"/>
        </w:rPr>
      </w:pPr>
      <w:r>
        <w:rPr>
          <w:rFonts w:eastAsia="仿宋_GB2312"/>
          <w:sz w:val="32"/>
          <w:szCs w:val="32"/>
        </w:rPr>
        <w:t>（二）严格落实运营期各项大气污染防治措施。</w:t>
      </w:r>
      <w:r>
        <w:rPr>
          <w:rFonts w:hint="eastAsia" w:eastAsia="仿宋_GB2312"/>
          <w:snapToGrid w:val="0"/>
          <w:color w:val="000000"/>
          <w:sz w:val="32"/>
          <w:szCs w:val="32"/>
        </w:rPr>
        <w:t>项目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管材挤塑、塑料发泡挤塑过程产生的</w:t>
      </w:r>
      <w:r>
        <w:rPr>
          <w:rFonts w:hint="eastAsia" w:eastAsia="仿宋_GB2312"/>
          <w:snapToGrid w:val="0"/>
          <w:color w:val="000000"/>
          <w:sz w:val="32"/>
          <w:szCs w:val="32"/>
        </w:rPr>
        <w:t>有机废气</w:t>
      </w:r>
      <w:r>
        <w:rPr>
          <w:rFonts w:eastAsia="仿宋_GB2312"/>
          <w:snapToGrid w:val="0"/>
          <w:color w:val="000000"/>
          <w:sz w:val="32"/>
          <w:szCs w:val="32"/>
        </w:rPr>
        <w:t>经“</w:t>
      </w:r>
      <w:r>
        <w:rPr>
          <w:rFonts w:hint="eastAsia" w:eastAsia="仿宋_GB2312"/>
          <w:snapToGrid w:val="0"/>
          <w:color w:val="000000"/>
          <w:sz w:val="32"/>
          <w:szCs w:val="32"/>
        </w:rPr>
        <w:t>集气罩</w:t>
      </w:r>
      <w:r>
        <w:rPr>
          <w:rFonts w:eastAsia="仿宋_GB2312"/>
          <w:snapToGrid w:val="0"/>
          <w:color w:val="000000"/>
          <w:sz w:val="32"/>
          <w:szCs w:val="32"/>
        </w:rPr>
        <w:t>+</w:t>
      </w:r>
      <w:r>
        <w:rPr>
          <w:rFonts w:hint="eastAsia" w:eastAsia="仿宋_GB2312"/>
          <w:snapToGrid w:val="0"/>
          <w:color w:val="000000"/>
          <w:sz w:val="32"/>
          <w:szCs w:val="32"/>
        </w:rPr>
        <w:t>二级</w:t>
      </w:r>
      <w:r>
        <w:rPr>
          <w:rFonts w:eastAsia="仿宋_GB2312"/>
          <w:snapToGrid w:val="0"/>
          <w:color w:val="000000"/>
          <w:sz w:val="32"/>
          <w:szCs w:val="32"/>
        </w:rPr>
        <w:t>活性炭吸附装置”处理后，通过15m高排气筒排放</w:t>
      </w:r>
      <w:r>
        <w:rPr>
          <w:rFonts w:hint="eastAsia" w:eastAsia="仿宋_GB2312"/>
          <w:snapToGrid w:val="0"/>
          <w:color w:val="000000"/>
          <w:sz w:val="32"/>
          <w:szCs w:val="32"/>
        </w:rPr>
        <w:t>。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原料上料过程和</w:t>
      </w:r>
      <w:r>
        <w:rPr>
          <w:rFonts w:hint="eastAsia" w:eastAsia="仿宋_GB2312"/>
          <w:snapToGrid w:val="0"/>
          <w:color w:val="000000"/>
          <w:sz w:val="32"/>
          <w:szCs w:val="32"/>
        </w:rPr>
        <w:t>不合格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管材粉碎</w:t>
      </w:r>
      <w:r>
        <w:rPr>
          <w:rFonts w:hint="eastAsia" w:eastAsia="仿宋_GB2312"/>
          <w:snapToGrid w:val="0"/>
          <w:color w:val="000000"/>
          <w:sz w:val="32"/>
          <w:szCs w:val="32"/>
        </w:rPr>
        <w:t>工序产生的无组织废气，通过封闭厂房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bidi="ar-SA"/>
        </w:rPr>
        <w:t>降低落料高差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 w:bidi="ar-SA"/>
        </w:rPr>
        <w:t>、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厂房纵深沉降</w:t>
      </w:r>
      <w:r>
        <w:rPr>
          <w:rFonts w:hint="eastAsia" w:eastAsia="仿宋_GB2312"/>
          <w:snapToGrid w:val="0"/>
          <w:color w:val="000000"/>
          <w:sz w:val="32"/>
          <w:szCs w:val="32"/>
        </w:rPr>
        <w:t>等措施控制。</w:t>
      </w:r>
      <w:r>
        <w:rPr>
          <w:rFonts w:eastAsia="仿宋_GB2312"/>
          <w:color w:val="1C1B10"/>
          <w:sz w:val="32"/>
          <w:szCs w:val="32"/>
        </w:rPr>
        <w:t>通过硬化厂区道路、定期清扫等措施控制道路扬尘。强化废气治理设施的管理和维护，定期更新活性炭，确保处理效率。</w:t>
      </w:r>
    </w:p>
    <w:p w14:paraId="1AFB5B40">
      <w:pPr>
        <w:pStyle w:val="15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（三）严格落实运营期各项水污染防治措施</w:t>
      </w:r>
      <w:r>
        <w:rPr>
          <w:rFonts w:hint="eastAsia" w:eastAsia="仿宋_GB2312"/>
          <w:kern w:val="0"/>
          <w:sz w:val="32"/>
          <w:szCs w:val="32"/>
        </w:rPr>
        <w:t>。项目设备</w:t>
      </w:r>
      <w:r>
        <w:rPr>
          <w:rFonts w:hint="eastAsia" w:eastAsia="仿宋_GB2312"/>
          <w:kern w:val="0"/>
          <w:sz w:val="32"/>
          <w:szCs w:val="32"/>
          <w:lang w:eastAsia="zh-CN"/>
        </w:rPr>
        <w:t>间接</w:t>
      </w:r>
      <w:r>
        <w:rPr>
          <w:rFonts w:hint="eastAsia" w:ascii="黑体" w:hAnsi="黑体" w:eastAsia="仿宋_GB2312"/>
          <w:color w:val="000000"/>
          <w:sz w:val="32"/>
          <w:szCs w:val="32"/>
        </w:rPr>
        <w:t>冷却废水</w:t>
      </w:r>
      <w:r>
        <w:rPr>
          <w:rFonts w:hint="eastAsia" w:ascii="黑体" w:hAnsi="黑体" w:eastAsia="仿宋_GB2312"/>
          <w:color w:val="000000"/>
          <w:sz w:val="32"/>
          <w:szCs w:val="32"/>
          <w:lang w:eastAsia="zh-CN"/>
        </w:rPr>
        <w:t>经</w:t>
      </w:r>
      <w:r>
        <w:rPr>
          <w:rFonts w:hint="eastAsia" w:ascii="黑体" w:hAnsi="黑体" w:eastAsia="仿宋_GB2312"/>
          <w:color w:val="000000"/>
          <w:sz w:val="32"/>
          <w:szCs w:val="32"/>
        </w:rPr>
        <w:t>冷却水池处理后循环利用</w:t>
      </w:r>
      <w:r>
        <w:rPr>
          <w:rFonts w:hint="eastAsia" w:eastAsia="仿宋_GB2312"/>
          <w:kern w:val="0"/>
          <w:sz w:val="32"/>
          <w:szCs w:val="32"/>
        </w:rPr>
        <w:t>，定期更换的冷却水用于厂区绿化</w:t>
      </w:r>
      <w:r>
        <w:rPr>
          <w:rFonts w:hint="eastAsia" w:eastAsia="仿宋_GB2312"/>
          <w:kern w:val="0"/>
          <w:sz w:val="32"/>
          <w:szCs w:val="32"/>
          <w:lang w:eastAsia="zh-CN"/>
        </w:rPr>
        <w:t>；直接冷却废水</w:t>
      </w:r>
      <w:r>
        <w:rPr>
          <w:rFonts w:hint="eastAsia" w:ascii="黑体" w:hAnsi="黑体" w:eastAsia="仿宋_GB2312"/>
          <w:color w:val="000000"/>
          <w:sz w:val="32"/>
          <w:szCs w:val="32"/>
        </w:rPr>
        <w:t>经冷却</w:t>
      </w:r>
      <w:r>
        <w:rPr>
          <w:rFonts w:hint="eastAsia" w:ascii="黑体" w:hAnsi="黑体" w:eastAsia="仿宋_GB2312"/>
          <w:color w:val="000000"/>
          <w:sz w:val="32"/>
          <w:szCs w:val="32"/>
          <w:lang w:eastAsia="zh-CN"/>
        </w:rPr>
        <w:t>水池处理后循环利用</w:t>
      </w:r>
      <w:r>
        <w:rPr>
          <w:rFonts w:hint="eastAsia" w:eastAsia="仿宋_GB2312"/>
          <w:kern w:val="0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生活污水经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化粪池+一体化生化处理装置</w:t>
      </w:r>
      <w:r>
        <w:rPr>
          <w:rFonts w:hint="eastAsia" w:eastAsia="仿宋_GB2312"/>
          <w:sz w:val="32"/>
          <w:szCs w:val="32"/>
        </w:rPr>
        <w:t>”</w:t>
      </w:r>
      <w:r>
        <w:rPr>
          <w:rFonts w:hint="eastAsia" w:eastAsia="仿宋_GB2312"/>
          <w:color w:val="1C1B10"/>
          <w:sz w:val="32"/>
          <w:szCs w:val="32"/>
        </w:rPr>
        <w:t>处理，</w:t>
      </w:r>
      <w:r>
        <w:rPr>
          <w:rFonts w:hint="eastAsia" w:ascii="仿宋_GB2312" w:eastAsia="仿宋_GB2312" w:cs="Times New Roman"/>
          <w:color w:val="1C1B10"/>
          <w:kern w:val="2"/>
          <w:sz w:val="32"/>
          <w:szCs w:val="32"/>
          <w:lang w:bidi="ar-SA"/>
        </w:rPr>
        <w:t>用于</w:t>
      </w:r>
      <w:r>
        <w:rPr>
          <w:rFonts w:ascii="Times New Roman" w:hAnsi="Times New Roman" w:eastAsia="仿宋_GB2312" w:cs="Times New Roman"/>
          <w:sz w:val="32"/>
          <w:szCs w:val="32"/>
          <w:lang w:eastAsia="zh-CN" w:bidi="ar-SA"/>
        </w:rPr>
        <w:t>厂区绿化</w:t>
      </w:r>
      <w:r>
        <w:rPr>
          <w:rFonts w:eastAsia="仿宋_GB2312"/>
          <w:color w:val="1C1B10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严格落实危废暂存间的重点防渗措施，防止污染地下水和土壤环境。</w:t>
      </w:r>
    </w:p>
    <w:p w14:paraId="34A97B8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（四）严格</w:t>
      </w:r>
      <w:r>
        <w:rPr>
          <w:rFonts w:eastAsia="仿宋_GB2312"/>
          <w:kern w:val="0"/>
          <w:sz w:val="32"/>
          <w:szCs w:val="32"/>
        </w:rPr>
        <w:t>落实运营期各项固废</w:t>
      </w:r>
      <w:r>
        <w:rPr>
          <w:rFonts w:eastAsia="仿宋_GB2312"/>
          <w:sz w:val="32"/>
          <w:szCs w:val="32"/>
        </w:rPr>
        <w:t>处置措施，</w:t>
      </w:r>
      <w:r>
        <w:rPr>
          <w:rFonts w:eastAsia="仿宋_GB2312"/>
          <w:kern w:val="0"/>
          <w:sz w:val="32"/>
          <w:szCs w:val="32"/>
        </w:rPr>
        <w:t>按照“减量化、资源化、无害化”原则进行合理、规范</w:t>
      </w:r>
      <w:r>
        <w:rPr>
          <w:rFonts w:eastAsia="仿宋_GB2312"/>
          <w:sz w:val="32"/>
          <w:szCs w:val="32"/>
        </w:rPr>
        <w:t>处置。</w:t>
      </w:r>
      <w:r>
        <w:rPr>
          <w:rFonts w:hint="eastAsia" w:eastAsia="仿宋_GB2312"/>
          <w:sz w:val="32"/>
          <w:szCs w:val="32"/>
        </w:rPr>
        <w:t>运营期</w:t>
      </w:r>
      <w:r>
        <w:rPr>
          <w:rFonts w:eastAsia="仿宋_GB2312"/>
          <w:sz w:val="32"/>
          <w:szCs w:val="32"/>
        </w:rPr>
        <w:t>项目不合格</w:t>
      </w:r>
      <w:r>
        <w:rPr>
          <w:rFonts w:hint="eastAsia" w:eastAsia="仿宋_GB2312"/>
          <w:sz w:val="32"/>
          <w:szCs w:val="32"/>
          <w:lang w:eastAsia="zh-CN"/>
        </w:rPr>
        <w:t>管材（包括</w:t>
      </w:r>
      <w:r>
        <w:rPr>
          <w:rFonts w:hint="eastAsia" w:eastAsia="仿宋_GB2312"/>
          <w:sz w:val="32"/>
          <w:szCs w:val="32"/>
          <w:lang w:val="en-US" w:eastAsia="zh-CN"/>
        </w:rPr>
        <w:t>PE管和滴灌带）</w:t>
      </w:r>
      <w:r>
        <w:rPr>
          <w:rFonts w:hint="eastAsia" w:eastAsia="仿宋_GB2312"/>
          <w:sz w:val="32"/>
          <w:szCs w:val="32"/>
        </w:rPr>
        <w:t>经破碎机粉碎后返回</w:t>
      </w:r>
      <w:r>
        <w:rPr>
          <w:rFonts w:eastAsia="仿宋_GB2312"/>
          <w:sz w:val="32"/>
          <w:szCs w:val="32"/>
        </w:rPr>
        <w:t>生产工序</w:t>
      </w:r>
      <w:r>
        <w:rPr>
          <w:rFonts w:hint="eastAsia" w:eastAsia="仿宋_GB2312"/>
          <w:sz w:val="32"/>
          <w:szCs w:val="32"/>
        </w:rPr>
        <w:t>作为原料使用；原辅料废包装袋</w:t>
      </w:r>
      <w:r>
        <w:rPr>
          <w:rFonts w:hint="eastAsia" w:eastAsia="仿宋_GB2312"/>
          <w:sz w:val="32"/>
          <w:szCs w:val="32"/>
          <w:lang w:eastAsia="zh-CN"/>
        </w:rPr>
        <w:t>、不合格网套</w:t>
      </w:r>
      <w:r>
        <w:rPr>
          <w:rFonts w:hint="eastAsia" w:eastAsia="仿宋_GB2312"/>
          <w:sz w:val="32"/>
          <w:szCs w:val="32"/>
        </w:rPr>
        <w:t>经收集</w:t>
      </w:r>
      <w:r>
        <w:rPr>
          <w:rFonts w:eastAsia="仿宋_GB2312"/>
          <w:sz w:val="32"/>
          <w:szCs w:val="32"/>
        </w:rPr>
        <w:t>暂存</w:t>
      </w:r>
      <w:r>
        <w:rPr>
          <w:rFonts w:hint="eastAsia" w:eastAsia="仿宋_GB2312"/>
          <w:sz w:val="32"/>
          <w:szCs w:val="32"/>
        </w:rPr>
        <w:t>后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定期外售至废品收购站；</w:t>
      </w:r>
      <w:r>
        <w:rPr>
          <w:rFonts w:hint="eastAsia" w:eastAsia="仿宋_GB2312" w:cs="仿宋_GB2312"/>
          <w:sz w:val="32"/>
          <w:szCs w:val="32"/>
          <w:lang w:bidi="ar-SA"/>
        </w:rPr>
        <w:t>生活垃圾收集后由环卫部门统一清运处置。</w:t>
      </w:r>
      <w:r>
        <w:rPr>
          <w:rFonts w:hint="eastAsia" w:eastAsia="仿宋_GB2312"/>
          <w:bCs/>
          <w:sz w:val="32"/>
          <w:szCs w:val="32"/>
        </w:rPr>
        <w:t>废活性炭</w:t>
      </w:r>
      <w:r>
        <w:rPr>
          <w:rFonts w:eastAsia="仿宋_GB2312"/>
          <w:bCs/>
          <w:sz w:val="32"/>
          <w:szCs w:val="32"/>
        </w:rPr>
        <w:t>、废润滑油</w:t>
      </w:r>
      <w:r>
        <w:rPr>
          <w:rFonts w:hint="eastAsia" w:eastAsia="仿宋_GB2312"/>
          <w:bCs/>
          <w:sz w:val="32"/>
          <w:szCs w:val="32"/>
        </w:rPr>
        <w:t>、废液压油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含油</w:t>
      </w:r>
      <w:r>
        <w:rPr>
          <w:rFonts w:hint="eastAsia" w:eastAsia="仿宋_GB2312"/>
          <w:bCs/>
          <w:sz w:val="32"/>
          <w:szCs w:val="32"/>
          <w:lang w:eastAsia="zh-CN"/>
        </w:rPr>
        <w:t>抹布</w:t>
      </w:r>
      <w:r>
        <w:rPr>
          <w:rFonts w:hint="eastAsia" w:eastAsia="仿宋_GB2312"/>
          <w:bCs/>
          <w:sz w:val="32"/>
          <w:szCs w:val="32"/>
        </w:rPr>
        <w:t>和</w:t>
      </w:r>
      <w:r>
        <w:rPr>
          <w:rFonts w:eastAsia="仿宋_GB2312"/>
          <w:bCs/>
          <w:sz w:val="32"/>
          <w:szCs w:val="32"/>
        </w:rPr>
        <w:t>手套</w:t>
      </w:r>
      <w:r>
        <w:rPr>
          <w:rFonts w:hint="eastAsia" w:eastAsia="仿宋_GB2312"/>
          <w:bCs/>
          <w:sz w:val="32"/>
          <w:szCs w:val="32"/>
        </w:rPr>
        <w:t>废油桶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等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分</w:t>
      </w:r>
      <w:r>
        <w:rPr>
          <w:rFonts w:eastAsia="仿宋_GB2312"/>
          <w:sz w:val="32"/>
          <w:szCs w:val="32"/>
        </w:rPr>
        <w:t>类暂存于危废暂存间，交有相应资质的单位处置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。</w:t>
      </w:r>
    </w:p>
    <w:p w14:paraId="0B65A96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（五）严格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落实运营期各项噪声防治措施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>采取厂房隔声、</w:t>
      </w:r>
      <w:r>
        <w:rPr>
          <w:rFonts w:eastAsia="仿宋_GB2312"/>
          <w:sz w:val="32"/>
          <w:szCs w:val="32"/>
        </w:rPr>
        <w:t>选用低噪设备、安装减震垫、</w:t>
      </w:r>
      <w:r>
        <w:rPr>
          <w:rFonts w:hint="eastAsia" w:eastAsia="仿宋_GB2312"/>
          <w:sz w:val="32"/>
          <w:szCs w:val="32"/>
        </w:rPr>
        <w:t>风机设置消声器、水泵采用地埋式安装、</w:t>
      </w:r>
      <w:r>
        <w:rPr>
          <w:rFonts w:eastAsia="仿宋_GB2312"/>
          <w:sz w:val="32"/>
          <w:szCs w:val="32"/>
        </w:rPr>
        <w:t>定期维护</w:t>
      </w:r>
      <w:r>
        <w:rPr>
          <w:rFonts w:hint="eastAsia" w:eastAsia="仿宋_GB2312"/>
          <w:sz w:val="32"/>
          <w:szCs w:val="32"/>
        </w:rPr>
        <w:t>、夜间不生产</w:t>
      </w:r>
      <w:r>
        <w:rPr>
          <w:rFonts w:eastAsia="仿宋_GB2312"/>
          <w:sz w:val="32"/>
          <w:szCs w:val="32"/>
        </w:rPr>
        <w:t>等措施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确保厂界噪声达标</w:t>
      </w:r>
      <w:r>
        <w:rPr>
          <w:rFonts w:eastAsia="仿宋_GB2312"/>
          <w:color w:val="000000"/>
          <w:sz w:val="32"/>
          <w:szCs w:val="32"/>
        </w:rPr>
        <w:t>。</w:t>
      </w:r>
    </w:p>
    <w:p w14:paraId="153897E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（六）高度重视环境风险防范工作。严格落实“</w:t>
      </w:r>
      <w:r>
        <w:rPr>
          <w:rFonts w:hint="eastAsia" w:eastAsia="仿宋_GB2312"/>
          <w:sz w:val="32"/>
          <w:szCs w:val="32"/>
        </w:rPr>
        <w:t>报告</w:t>
      </w:r>
      <w:r>
        <w:rPr>
          <w:rFonts w:hint="eastAsia" w:eastAsia="仿宋_GB2312"/>
          <w:sz w:val="32"/>
          <w:szCs w:val="32"/>
          <w:lang w:eastAsia="zh-CN"/>
        </w:rPr>
        <w:t>书</w:t>
      </w:r>
      <w:r>
        <w:rPr>
          <w:rFonts w:eastAsia="仿宋_GB2312"/>
          <w:sz w:val="32"/>
          <w:szCs w:val="32"/>
        </w:rPr>
        <w:t>”提出的各项环境风险防范措施，保证出现事故时能得到及时、有效处理，强化环境风险管理工作，确保环境安全。严格规范排污口建设，落实环境监测计划，建立健全环境管理机制和环保规章制度，落实岗位环保责任制，加强污染治理设施的日常运行及维护管理，提升环境保护管理水平，确保污染物稳定达标排放。</w:t>
      </w:r>
    </w:p>
    <w:p w14:paraId="7D28C5F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（七）加强公众参与。项目在建设及运行管理中，应根据公众的反映，进一步</w:t>
      </w:r>
      <w:r>
        <w:rPr>
          <w:rFonts w:eastAsia="仿宋_GB2312"/>
          <w:snapToGrid w:val="0"/>
          <w:kern w:val="0"/>
          <w:sz w:val="32"/>
          <w:szCs w:val="32"/>
        </w:rPr>
        <w:t>加强与公众的沟通，以适当、稳妥、有效的方式，切实做好宣传、解释、维稳工作，及时解决公众提出的合理环境诉求，避免因公众参与工作落实不到位、相关环保措施不落实，导致环境纠纷和社会稳定问题。</w:t>
      </w:r>
    </w:p>
    <w:p w14:paraId="21AB64C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（八）其他应注意的事项按国家相关法律法规和“</w:t>
      </w:r>
      <w:r>
        <w:rPr>
          <w:rFonts w:hint="eastAsia" w:eastAsia="仿宋_GB2312"/>
          <w:sz w:val="32"/>
          <w:szCs w:val="32"/>
        </w:rPr>
        <w:t>报告书</w:t>
      </w:r>
      <w:r>
        <w:rPr>
          <w:rFonts w:eastAsia="仿宋_GB2312"/>
          <w:sz w:val="32"/>
          <w:szCs w:val="32"/>
        </w:rPr>
        <w:t>”中提出的相关要求落实。</w:t>
      </w:r>
    </w:p>
    <w:p w14:paraId="0078523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四、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报告书</w:t>
      </w:r>
      <w:r>
        <w:rPr>
          <w:rFonts w:eastAsia="仿宋_GB2312"/>
          <w:sz w:val="32"/>
          <w:szCs w:val="32"/>
        </w:rPr>
        <w:t>”预测本项目实施后，</w:t>
      </w:r>
      <w:r>
        <w:rPr>
          <w:rFonts w:hint="eastAsia" w:eastAsia="仿宋_GB2312"/>
          <w:sz w:val="32"/>
          <w:szCs w:val="32"/>
        </w:rPr>
        <w:t>本项</w:t>
      </w:r>
      <w:r>
        <w:rPr>
          <w:rFonts w:hint="eastAsia" w:eastAsia="仿宋_GB2312"/>
          <w:snapToGrid w:val="0"/>
          <w:kern w:val="0"/>
          <w:sz w:val="32"/>
          <w:szCs w:val="32"/>
        </w:rPr>
        <w:t>目新增</w:t>
      </w:r>
      <w:r>
        <w:rPr>
          <w:rFonts w:eastAsia="仿宋_GB2312"/>
          <w:snapToGrid w:val="0"/>
          <w:kern w:val="0"/>
          <w:sz w:val="32"/>
          <w:szCs w:val="32"/>
        </w:rPr>
        <w:t>污染物排放量为</w:t>
      </w:r>
      <w:r>
        <w:rPr>
          <w:rFonts w:hint="eastAsia" w:eastAsia="仿宋_GB2312"/>
          <w:sz w:val="32"/>
          <w:szCs w:val="32"/>
        </w:rPr>
        <w:t xml:space="preserve">VOCs </w:t>
      </w:r>
      <w:r>
        <w:rPr>
          <w:rFonts w:hint="eastAsia" w:eastAsia="仿宋_GB2312"/>
          <w:snapToGrid w:val="0"/>
          <w:kern w:val="0"/>
          <w:sz w:val="32"/>
          <w:szCs w:val="32"/>
        </w:rPr>
        <w:t>0.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36</w:t>
      </w:r>
      <w:r>
        <w:rPr>
          <w:rFonts w:eastAsia="仿宋_GB2312"/>
          <w:snapToGrid w:val="0"/>
          <w:kern w:val="0"/>
          <w:sz w:val="32"/>
          <w:szCs w:val="32"/>
        </w:rPr>
        <w:t>t/a，你公司</w:t>
      </w:r>
      <w:r>
        <w:rPr>
          <w:rFonts w:hint="eastAsia" w:eastAsia="仿宋_GB2312"/>
          <w:snapToGrid w:val="0"/>
          <w:kern w:val="0"/>
          <w:sz w:val="32"/>
          <w:szCs w:val="32"/>
        </w:rPr>
        <w:t>在生产运营中应</w:t>
      </w:r>
      <w:r>
        <w:rPr>
          <w:rFonts w:eastAsia="仿宋_GB2312"/>
          <w:sz w:val="32"/>
          <w:szCs w:val="32"/>
        </w:rPr>
        <w:t>严格落实总量</w:t>
      </w:r>
      <w:r>
        <w:rPr>
          <w:rFonts w:hint="eastAsia" w:eastAsia="仿宋_GB2312"/>
          <w:sz w:val="32"/>
          <w:szCs w:val="32"/>
        </w:rPr>
        <w:t>控制</w:t>
      </w:r>
      <w:r>
        <w:rPr>
          <w:rFonts w:eastAsia="仿宋_GB2312"/>
          <w:sz w:val="32"/>
          <w:szCs w:val="32"/>
        </w:rPr>
        <w:t>要求。</w:t>
      </w:r>
    </w:p>
    <w:p w14:paraId="0B37051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30"/>
        <w:textAlignment w:val="auto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五</w:t>
      </w:r>
      <w:r>
        <w:rPr>
          <w:rFonts w:hint="eastAsia" w:eastAsia="仿宋_GB2312"/>
          <w:snapToGrid w:val="0"/>
          <w:kern w:val="0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napToGrid w:val="0"/>
          <w:kern w:val="0"/>
          <w:sz w:val="32"/>
          <w:szCs w:val="32"/>
        </w:rPr>
        <w:t>必须严格执行环保“三同时”制度和排污许可制度，竣工后必须按规定程序开展竣工环境保护验收</w:t>
      </w:r>
      <w:r>
        <w:rPr>
          <w:rFonts w:hint="eastAsia" w:eastAsia="仿宋_GB2312"/>
          <w:snapToGrid w:val="0"/>
          <w:kern w:val="0"/>
          <w:sz w:val="32"/>
          <w:szCs w:val="32"/>
        </w:rPr>
        <w:t>，</w:t>
      </w:r>
      <w:r>
        <w:rPr>
          <w:rFonts w:eastAsia="仿宋_GB2312"/>
          <w:snapToGrid w:val="0"/>
          <w:kern w:val="0"/>
          <w:sz w:val="32"/>
          <w:szCs w:val="32"/>
        </w:rPr>
        <w:t>调试排污前申领排污许可证或进行排污登记。</w:t>
      </w:r>
    </w:p>
    <w:p w14:paraId="07FB301E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项目环境影响评价文件经批准后，如项目的性质、规模、</w:t>
      </w:r>
      <w:r>
        <w:rPr>
          <w:rFonts w:hint="eastAsia" w:eastAsia="仿宋_GB2312"/>
          <w:sz w:val="32"/>
          <w:szCs w:val="32"/>
        </w:rPr>
        <w:t>工艺、地点或者防治污染、防止生态破坏的措施发生重大变化的</w:t>
      </w:r>
      <w:r>
        <w:rPr>
          <w:rFonts w:eastAsia="仿宋_GB2312"/>
          <w:snapToGrid w:val="0"/>
          <w:kern w:val="0"/>
          <w:sz w:val="32"/>
          <w:szCs w:val="32"/>
        </w:rPr>
        <w:t>，建设单位应当重新报批环境影响评价文件，否则不得实施。</w:t>
      </w:r>
      <w:r>
        <w:rPr>
          <w:rFonts w:hint="eastAsia" w:eastAsia="仿宋_GB2312"/>
          <w:sz w:val="32"/>
          <w:szCs w:val="32"/>
        </w:rPr>
        <w:t>自环评批复文件批复之日起，如工程超过5年方决定开工建设，环境影响评价文件应当报我局重新审核。</w:t>
      </w:r>
    </w:p>
    <w:p w14:paraId="2458826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w w:val="95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六、请市生态环境保护综合行政执法支队和</w:t>
      </w:r>
      <w:r>
        <w:rPr>
          <w:rFonts w:hint="eastAsia" w:eastAsia="仿宋_GB2312"/>
          <w:sz w:val="32"/>
          <w:szCs w:val="32"/>
        </w:rPr>
        <w:t>攀枝花市</w:t>
      </w:r>
      <w:r>
        <w:rPr>
          <w:rFonts w:eastAsia="仿宋_GB2312"/>
          <w:sz w:val="32"/>
          <w:szCs w:val="32"/>
        </w:rPr>
        <w:t>米易生态</w:t>
      </w:r>
      <w:r>
        <w:rPr>
          <w:rFonts w:eastAsia="仿宋_GB2312"/>
          <w:w w:val="95"/>
          <w:sz w:val="32"/>
          <w:szCs w:val="32"/>
        </w:rPr>
        <w:t>环境局</w:t>
      </w:r>
      <w:r>
        <w:rPr>
          <w:rFonts w:hint="eastAsia" w:eastAsia="仿宋_GB2312"/>
          <w:sz w:val="32"/>
          <w:szCs w:val="32"/>
        </w:rPr>
        <w:t>加强对该项目的监督管理。</w:t>
      </w:r>
    </w:p>
    <w:p w14:paraId="6C8CB1DB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你公司应在收到本批复15个工作日内将批准后的“报告书”送达攀枝花市米易</w:t>
      </w:r>
      <w:r>
        <w:rPr>
          <w:rFonts w:eastAsia="仿宋_GB2312"/>
          <w:kern w:val="0"/>
          <w:sz w:val="32"/>
          <w:szCs w:val="32"/>
        </w:rPr>
        <w:t>生态环境局</w:t>
      </w:r>
      <w:r>
        <w:rPr>
          <w:rFonts w:hint="eastAsia" w:eastAsia="仿宋_GB2312"/>
          <w:kern w:val="0"/>
          <w:sz w:val="32"/>
          <w:szCs w:val="32"/>
        </w:rPr>
        <w:t>备案，并接受各级生态环境主管部门的监管。</w:t>
      </w:r>
    </w:p>
    <w:p w14:paraId="2019F826">
      <w:pPr>
        <w:pStyle w:val="10"/>
        <w:spacing w:after="0" w:line="540" w:lineRule="exact"/>
      </w:pPr>
    </w:p>
    <w:p w14:paraId="71916C7D">
      <w:pPr>
        <w:pStyle w:val="10"/>
        <w:spacing w:after="0" w:line="540" w:lineRule="exact"/>
      </w:pPr>
    </w:p>
    <w:p w14:paraId="1637B751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攀枝花市生态环境局</w:t>
      </w:r>
    </w:p>
    <w:p w14:paraId="63536D63">
      <w:pPr>
        <w:spacing w:line="540" w:lineRule="exac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 xml:space="preserve">                               202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snapToGrid w:val="0"/>
          <w:kern w:val="0"/>
          <w:sz w:val="32"/>
          <w:szCs w:val="32"/>
        </w:rPr>
        <w:t>年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snapToGrid w:val="0"/>
          <w:kern w:val="0"/>
          <w:sz w:val="32"/>
          <w:szCs w:val="32"/>
        </w:rPr>
        <w:t>月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 xml:space="preserve">日 </w:t>
      </w:r>
    </w:p>
    <w:p w14:paraId="2B2BEA31">
      <w:pPr>
        <w:pStyle w:val="10"/>
        <w:spacing w:line="480" w:lineRule="auto"/>
      </w:pPr>
    </w:p>
    <w:p w14:paraId="49221C43">
      <w:pPr>
        <w:pStyle w:val="10"/>
        <w:spacing w:line="480" w:lineRule="auto"/>
      </w:pPr>
    </w:p>
    <w:p w14:paraId="6E664071">
      <w:pPr>
        <w:spacing w:line="520" w:lineRule="exact"/>
        <w:ind w:right="4"/>
        <w:jc w:val="left"/>
        <w:rPr>
          <w:rFonts w:eastAsia="仿宋_GB2312"/>
        </w:rPr>
      </w:pPr>
      <w:r>
        <w:rPr>
          <w:rFonts w:eastAsia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7019925</wp:posOffset>
                </wp:positionV>
                <wp:extent cx="5390515" cy="1270"/>
                <wp:effectExtent l="0" t="0" r="0" b="0"/>
                <wp:wrapNone/>
                <wp:docPr id="2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0515" cy="1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8.2pt;margin-top:552.75pt;height:0.1pt;width:424.45pt;z-index:251659264;mso-width-relative:page;mso-height-relative:page;" fillcolor="#FFFFFF" filled="t" stroked="t" coordsize="21600,21600" o:gfxdata="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En9LTZ&#10;AAAADQEAAA8AAAAAAAAAAQAgAAAAIgAAAGRycy9kb3ducmV2LnhtbFBLAQIUABQAAAAIAIdO4kDQ&#10;Z0gIHwIAAEsEAAAOAAAAAAAAAAEAIAAAACgBAABkcnMvZTJvRG9jLnhtbFBLBQYAAAAABgAGAFkB&#10;AAC5BQAAAAA=&#10;">
                <v:fill on="t" focussize="0,0"/>
                <v:stroke weight="3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6967220</wp:posOffset>
                </wp:positionV>
                <wp:extent cx="5390515" cy="5080"/>
                <wp:effectExtent l="0" t="0" r="0" b="0"/>
                <wp:wrapNone/>
                <wp:docPr id="29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390515" cy="5079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-8.2pt;margin-top:548.6pt;height:0.4pt;width:424.45pt;z-index:251659264;mso-width-relative:page;mso-height-relative:page;" fillcolor="#FFFFFF" filled="t" stroked="t" coordsize="21600,21600" o:gfxdata="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ByCYH1wAAAA0BAAAPAAAAAAAAAAEAIAAAACIAAABkcnMvZG93bnJldi54bWxQSwEC&#10;FAAUAAAACACHTuJAfAM3fi4CAABkBAAADgAAAAAAAAABACAAAAAmAQAAZHJzL2Uyb0RvYy54bWxQ&#10;SwUGAAAAAAYABgBZAQAAxgUAAAAA&#10;">
                <v:fill on="t" focussize="0,0"/>
                <v:stroke weight="1.25pt" color="#FF0000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ucida Sans">
    <w:altName w:val="Noto Mus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3E02E">
    <w:pPr>
      <w:pStyle w:val="7"/>
      <w:framePr w:wrap="around" w:vAnchor="text" w:hAnchor="margin" w:xAlign="outside" w:y="1"/>
      <w:ind w:left="0"/>
      <w:rPr>
        <w:rStyle w:val="13"/>
        <w:rFonts w:hint="eastAsia" w:ascii="宋体"/>
        <w:sz w:val="28"/>
        <w:szCs w:val="28"/>
      </w:rPr>
    </w:pPr>
    <w:r>
      <w:rPr>
        <w:rStyle w:val="13"/>
        <w:rFonts w:hint="eastAsia" w:ascii="宋体"/>
        <w:sz w:val="28"/>
        <w:szCs w:val="28"/>
      </w:rPr>
      <w:t xml:space="preserve">— </w:t>
    </w:r>
    <w:r>
      <w:rPr>
        <w:rStyle w:val="13"/>
        <w:rFonts w:hint="eastAsia" w:ascii="宋体"/>
        <w:sz w:val="28"/>
        <w:szCs w:val="28"/>
      </w:rPr>
      <w:fldChar w:fldCharType="begin"/>
    </w:r>
    <w:r>
      <w:rPr>
        <w:rStyle w:val="13"/>
        <w:rFonts w:hint="eastAsia" w:ascii="宋体"/>
        <w:sz w:val="28"/>
        <w:szCs w:val="28"/>
      </w:rPr>
      <w:instrText xml:space="preserve">PAGE  </w:instrText>
    </w:r>
    <w:r>
      <w:rPr>
        <w:rStyle w:val="13"/>
        <w:rFonts w:hint="eastAsia" w:ascii="宋体"/>
        <w:sz w:val="28"/>
        <w:szCs w:val="28"/>
      </w:rPr>
      <w:fldChar w:fldCharType="separate"/>
    </w:r>
    <w:r>
      <w:rPr>
        <w:rStyle w:val="13"/>
        <w:rFonts w:hint="eastAsia" w:ascii="宋体"/>
        <w:sz w:val="28"/>
        <w:szCs w:val="28"/>
        <w:lang w:val="en-US" w:eastAsia="zh-CN"/>
      </w:rPr>
      <w:t>2</w:t>
    </w:r>
    <w:r>
      <w:rPr>
        <w:rStyle w:val="13"/>
        <w:rFonts w:hint="eastAsia" w:ascii="宋体"/>
        <w:sz w:val="28"/>
        <w:szCs w:val="28"/>
      </w:rPr>
      <w:fldChar w:fldCharType="end"/>
    </w:r>
    <w:r>
      <w:rPr>
        <w:rStyle w:val="13"/>
        <w:rFonts w:hint="eastAsia" w:ascii="宋体"/>
        <w:sz w:val="28"/>
        <w:szCs w:val="28"/>
      </w:rPr>
      <w:t xml:space="preserve"> —</w:t>
    </w:r>
  </w:p>
  <w:p w14:paraId="296D97AF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18050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  <w:vanish/>
      </w:rPr>
      <w:t xml:space="preserve"> </w:t>
    </w:r>
    <w:r>
      <w:rPr>
        <w:rStyle w:val="13"/>
      </w:rPr>
      <w:fldChar w:fldCharType="end"/>
    </w:r>
  </w:p>
  <w:p w14:paraId="0CA4BE4A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7F447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DIzMDg0Njc4ZjI3MmQzYmJkMDlkM2NkMzAxOTkifQ=="/>
  </w:docVars>
  <w:rsids>
    <w:rsidRoot w:val="00000000"/>
    <w:rsid w:val="3ADBF99B"/>
    <w:rsid w:val="59FDF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24" w:lineRule="auto"/>
      <w:ind w:left="0" w:right="0" w:firstLine="200" w:firstLineChars="200"/>
      <w:jc w:val="both"/>
    </w:pPr>
    <w:rPr>
      <w:rFonts w:ascii="Calibri" w:hAnsi="Calibri" w:eastAsia="宋体" w:cs="Times New Roman"/>
      <w:kern w:val="2"/>
      <w:sz w:val="24"/>
      <w:szCs w:val="20"/>
      <w:lang w:val="en-US" w:eastAsia="zh-CN" w:bidi="ar-SA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toc 2"/>
    <w:basedOn w:val="1"/>
    <w:next w:val="1"/>
    <w:qFormat/>
    <w:uiPriority w:val="0"/>
    <w:pPr>
      <w:tabs>
        <w:tab w:val="right" w:leader="dot" w:pos="8296"/>
      </w:tabs>
      <w:ind w:left="200" w:leftChars="200" w:firstLine="0"/>
    </w:p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rFonts w:ascii="Calibri" w:hAnsi="Calibri" w:cs="Calibri"/>
      <w:lang w:bidi="ar-SA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Char Char Char Char Char2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cs="宋体"/>
      <w:sz w:val="28"/>
      <w:szCs w:val="28"/>
      <w:lang w:bidi="ar-SA"/>
    </w:rPr>
  </w:style>
  <w:style w:type="paragraph" w:customStyle="1" w:styleId="15">
    <w:name w:val="hst  正文"/>
    <w:basedOn w:val="1"/>
    <w:qFormat/>
    <w:uiPriority w:val="0"/>
    <w:pPr>
      <w:spacing w:line="500" w:lineRule="exact"/>
      <w:ind w:firstLine="200" w:firstLineChars="200"/>
    </w:pPr>
    <w:rPr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15875" cap="flat" cmpd="sng">
          <a:solidFill>
            <a:srgbClr val="739CC3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 cap="flat" cmpd="sng">
          <a:solidFill>
            <a:srgbClr val="739CC3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5</Pages>
  <Words>0</Words>
  <Characters>1826</Characters>
  <Lines>0</Lines>
  <Paragraphs>69</Paragraphs>
  <TotalTime>33</TotalTime>
  <ScaleCrop>false</ScaleCrop>
  <LinksUpToDate>false</LinksUpToDate>
  <CharactersWithSpaces>2435</CharactersWithSpaces>
  <Application>WPS Office_12.8.2.18605_F1E327BC-269C-435d-A152-05C5408002CA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2024-06-24T21:52:00Z</dcterms:created>
  <dc:creator>吕鹏</dc:creator>
  <cp:lastModifiedBy>user</cp:lastModifiedBy>
  <cp:lastPrinted>2025-09-02T09:11:00Z</cp:lastPrinted>
  <dcterms:modified xsi:type="dcterms:W3CDTF">2025-09-19T09:34:59Z</dcterms:modified>
  <dc:title>攀枝花市环境保护局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  ">
    <vt:lpwstr>B98503F106C64F2A8E9DE832B33B01E1</vt:lpwstr>
  </property>
  <property fmtid="{D5CDD505-2E9C-101B-9397-08002B2CF9AE}" pid="4" name="ICV">
    <vt:lpwstr>F857C7E0B47B046F43B3CC68D17AEF37_43</vt:lpwstr>
  </property>
</Properties>
</file>