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368D3">
      <w:pPr>
        <w:spacing w:line="600" w:lineRule="exact"/>
        <w:jc w:val="center"/>
        <w:rPr>
          <w:rFonts w:eastAsia="方正小标宋简体"/>
          <w:sz w:val="44"/>
          <w:szCs w:val="44"/>
        </w:rPr>
      </w:pPr>
    </w:p>
    <w:p w14:paraId="270A1767">
      <w:pPr>
        <w:spacing w:line="600" w:lineRule="exact"/>
        <w:jc w:val="center"/>
        <w:rPr>
          <w:rFonts w:eastAsia="方正小标宋简体"/>
          <w:sz w:val="44"/>
          <w:szCs w:val="44"/>
        </w:rPr>
      </w:pPr>
    </w:p>
    <w:p w14:paraId="1EFEA0F9">
      <w:pPr>
        <w:spacing w:line="600" w:lineRule="exact"/>
        <w:jc w:val="center"/>
        <w:rPr>
          <w:rFonts w:eastAsia="方正小标宋简体"/>
          <w:sz w:val="44"/>
          <w:szCs w:val="44"/>
        </w:rPr>
      </w:pPr>
    </w:p>
    <w:p w14:paraId="362E7310">
      <w:pPr>
        <w:spacing w:line="600" w:lineRule="exact"/>
        <w:jc w:val="center"/>
        <w:rPr>
          <w:rFonts w:eastAsia="方正小标宋简体"/>
          <w:sz w:val="44"/>
          <w:szCs w:val="44"/>
        </w:rPr>
      </w:pPr>
    </w:p>
    <w:p w14:paraId="69A58EB3">
      <w:pPr>
        <w:spacing w:line="600" w:lineRule="exact"/>
        <w:jc w:val="center"/>
        <w:rPr>
          <w:rFonts w:eastAsia="方正小标宋简体"/>
          <w:sz w:val="44"/>
          <w:szCs w:val="44"/>
        </w:rPr>
      </w:pPr>
    </w:p>
    <w:p w14:paraId="628F7024">
      <w:pPr>
        <w:spacing w:line="600" w:lineRule="exact"/>
        <w:jc w:val="center"/>
        <w:rPr>
          <w:rFonts w:eastAsia="方正小标宋简体"/>
          <w:sz w:val="44"/>
          <w:szCs w:val="44"/>
        </w:rPr>
      </w:pPr>
      <w:r>
        <w:rPr>
          <w:rFonts w:hint="eastAsia" w:eastAsia="方正小标宋简体"/>
          <w:sz w:val="44"/>
          <w:szCs w:val="44"/>
        </w:rPr>
        <w:t>攀枝花市米易生态环境局</w:t>
      </w:r>
    </w:p>
    <w:p w14:paraId="7E1E0F74">
      <w:pPr>
        <w:spacing w:line="600" w:lineRule="exact"/>
        <w:jc w:val="center"/>
        <w:rPr>
          <w:rFonts w:eastAsia="方正小标宋简体"/>
          <w:sz w:val="44"/>
          <w:szCs w:val="44"/>
        </w:rPr>
      </w:pPr>
      <w:r>
        <w:rPr>
          <w:rFonts w:eastAsia="方正小标宋简体"/>
          <w:sz w:val="44"/>
          <w:szCs w:val="44"/>
        </w:rPr>
        <w:t>202</w:t>
      </w:r>
      <w:r>
        <w:rPr>
          <w:rFonts w:hint="eastAsia" w:eastAsia="方正小标宋简体"/>
          <w:sz w:val="44"/>
          <w:szCs w:val="44"/>
        </w:rPr>
        <w:t>6</w:t>
      </w:r>
      <w:r>
        <w:rPr>
          <w:rFonts w:eastAsia="方正小标宋简体"/>
          <w:sz w:val="44"/>
          <w:szCs w:val="44"/>
        </w:rPr>
        <w:t>年</w:t>
      </w:r>
    </w:p>
    <w:p w14:paraId="6D563EC6">
      <w:pPr>
        <w:spacing w:line="600" w:lineRule="exact"/>
        <w:jc w:val="center"/>
        <w:rPr>
          <w:rFonts w:eastAsia="方正小标宋简体"/>
          <w:sz w:val="44"/>
          <w:szCs w:val="44"/>
          <w:u w:val="single"/>
        </w:rPr>
      </w:pPr>
      <w:r>
        <w:rPr>
          <w:rFonts w:hint="eastAsia" w:eastAsia="方正小标宋简体"/>
          <w:sz w:val="44"/>
          <w:szCs w:val="44"/>
        </w:rPr>
        <w:t>单位</w:t>
      </w:r>
      <w:r>
        <w:rPr>
          <w:rFonts w:eastAsia="方正小标宋简体"/>
          <w:sz w:val="44"/>
          <w:szCs w:val="44"/>
        </w:rPr>
        <w:t>预算编制说明</w:t>
      </w:r>
    </w:p>
    <w:p w14:paraId="4DBFCD0B">
      <w:pPr>
        <w:spacing w:line="600" w:lineRule="exact"/>
        <w:jc w:val="both"/>
        <w:rPr>
          <w:rFonts w:eastAsia="方正小标宋简体"/>
          <w:sz w:val="44"/>
          <w:szCs w:val="44"/>
          <w:u w:val="single"/>
        </w:rPr>
      </w:pPr>
    </w:p>
    <w:p w14:paraId="3C2D861A">
      <w:pPr>
        <w:pStyle w:val="2"/>
        <w:rPr>
          <w:rFonts w:eastAsia="方正小标宋简体"/>
          <w:sz w:val="44"/>
          <w:szCs w:val="44"/>
          <w:u w:val="single"/>
        </w:rPr>
      </w:pPr>
    </w:p>
    <w:p w14:paraId="04D53120">
      <w:pPr>
        <w:pStyle w:val="2"/>
        <w:rPr>
          <w:rFonts w:eastAsia="方正小标宋简体"/>
          <w:sz w:val="44"/>
          <w:szCs w:val="44"/>
          <w:u w:val="single"/>
        </w:rPr>
      </w:pPr>
    </w:p>
    <w:p w14:paraId="72FE298C">
      <w:pPr>
        <w:pStyle w:val="2"/>
        <w:rPr>
          <w:rFonts w:eastAsia="方正小标宋简体"/>
          <w:sz w:val="44"/>
          <w:szCs w:val="44"/>
          <w:u w:val="single"/>
        </w:rPr>
      </w:pPr>
    </w:p>
    <w:p w14:paraId="0D4E3859">
      <w:pPr>
        <w:pStyle w:val="2"/>
        <w:rPr>
          <w:rFonts w:eastAsia="方正小标宋简体"/>
          <w:sz w:val="44"/>
          <w:szCs w:val="44"/>
          <w:u w:val="single"/>
        </w:rPr>
      </w:pPr>
    </w:p>
    <w:p w14:paraId="4561ED32">
      <w:pPr>
        <w:pStyle w:val="2"/>
        <w:rPr>
          <w:rFonts w:eastAsia="方正小标宋简体"/>
          <w:sz w:val="44"/>
          <w:szCs w:val="44"/>
          <w:u w:val="single"/>
        </w:rPr>
      </w:pPr>
    </w:p>
    <w:p w14:paraId="6819BB35">
      <w:pPr>
        <w:pStyle w:val="2"/>
        <w:rPr>
          <w:rFonts w:eastAsia="方正小标宋简体"/>
          <w:sz w:val="44"/>
          <w:szCs w:val="44"/>
          <w:u w:val="single"/>
        </w:rPr>
      </w:pPr>
    </w:p>
    <w:p w14:paraId="04FA5F52">
      <w:pPr>
        <w:pStyle w:val="2"/>
        <w:rPr>
          <w:rFonts w:eastAsia="方正小标宋简体"/>
          <w:sz w:val="44"/>
          <w:szCs w:val="44"/>
          <w:u w:val="single"/>
        </w:rPr>
      </w:pPr>
    </w:p>
    <w:p w14:paraId="563D6151">
      <w:pPr>
        <w:pStyle w:val="2"/>
        <w:rPr>
          <w:rFonts w:eastAsia="方正小标宋简体"/>
          <w:sz w:val="44"/>
          <w:szCs w:val="44"/>
          <w:u w:val="single"/>
        </w:rPr>
      </w:pPr>
    </w:p>
    <w:p w14:paraId="1919BBB2">
      <w:pPr>
        <w:pStyle w:val="2"/>
        <w:rPr>
          <w:rFonts w:eastAsia="方正小标宋简体"/>
          <w:sz w:val="44"/>
          <w:szCs w:val="44"/>
          <w:u w:val="single"/>
        </w:rPr>
      </w:pPr>
    </w:p>
    <w:p w14:paraId="1826C0AD">
      <w:pPr>
        <w:pStyle w:val="2"/>
        <w:rPr>
          <w:rFonts w:eastAsia="方正小标宋简体"/>
          <w:sz w:val="44"/>
          <w:szCs w:val="44"/>
          <w:u w:val="single"/>
        </w:rPr>
      </w:pPr>
    </w:p>
    <w:p w14:paraId="3E1822F0">
      <w:pPr>
        <w:spacing w:before="0" w:beforeLines="0" w:after="0" w:afterLines="0" w:line="240" w:lineRule="auto"/>
        <w:ind w:left="0" w:leftChars="0" w:right="0" w:rightChars="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录</w:t>
      </w:r>
    </w:p>
    <w:p w14:paraId="25DC4A9A">
      <w:pPr>
        <w:pStyle w:val="5"/>
        <w:keepNext w:val="0"/>
        <w:keepLines w:val="0"/>
        <w:pageBreakBefore w:val="0"/>
        <w:widowControl w:val="0"/>
        <w:tabs>
          <w:tab w:val="right" w:leader="dot" w:pos="8266"/>
        </w:tabs>
        <w:kinsoku/>
        <w:wordWrap/>
        <w:overflowPunct/>
        <w:topLinePunct w:val="0"/>
        <w:autoSpaceDE/>
        <w:autoSpaceDN/>
        <w:bidi w:val="0"/>
        <w:adjustRightInd/>
        <w:snapToGrid/>
        <w:spacing w:line="600" w:lineRule="exact"/>
        <w:textAlignment w:val="auto"/>
        <w:rPr>
          <w:rFonts w:eastAsia="仿宋_GB2312"/>
          <w:sz w:val="32"/>
        </w:rPr>
      </w:pPr>
      <w:r>
        <w:rPr>
          <w:rFonts w:eastAsia="方正小标宋简体"/>
          <w:sz w:val="44"/>
          <w:szCs w:val="44"/>
          <w:u w:val="single"/>
        </w:rPr>
        <w:fldChar w:fldCharType="begin"/>
      </w:r>
      <w:r>
        <w:rPr>
          <w:rFonts w:eastAsia="方正小标宋简体"/>
          <w:sz w:val="44"/>
          <w:szCs w:val="44"/>
          <w:u w:val="single"/>
        </w:rPr>
        <w:instrText xml:space="preserve">TOC \o "1-2" \h \u </w:instrText>
      </w:r>
      <w:r>
        <w:rPr>
          <w:rFonts w:eastAsia="方正小标宋简体"/>
          <w:sz w:val="44"/>
          <w:szCs w:val="44"/>
          <w:u w:val="single"/>
        </w:rPr>
        <w:fldChar w:fldCharType="separate"/>
      </w:r>
      <w:r>
        <w:rPr>
          <w:rFonts w:eastAsia="仿宋_GB2312"/>
          <w:sz w:val="32"/>
          <w:szCs w:val="44"/>
          <w:u w:val="single"/>
        </w:rPr>
        <w:fldChar w:fldCharType="begin"/>
      </w:r>
      <w:r>
        <w:rPr>
          <w:rFonts w:eastAsia="仿宋_GB2312"/>
          <w:sz w:val="32"/>
          <w:szCs w:val="44"/>
        </w:rPr>
        <w:instrText xml:space="preserve"> HYPERLINK \l _Toc664656378 </w:instrText>
      </w:r>
      <w:r>
        <w:rPr>
          <w:rFonts w:eastAsia="仿宋_GB2312"/>
          <w:sz w:val="32"/>
          <w:szCs w:val="44"/>
        </w:rPr>
        <w:fldChar w:fldCharType="separate"/>
      </w:r>
      <w:r>
        <w:rPr>
          <w:rFonts w:eastAsia="仿宋_GB2312"/>
          <w:sz w:val="32"/>
        </w:rPr>
        <w:t>一、基本职能及主要工作</w:t>
      </w:r>
      <w:r>
        <w:rPr>
          <w:rFonts w:eastAsia="仿宋_GB2312"/>
          <w:sz w:val="32"/>
        </w:rPr>
        <w:tab/>
      </w:r>
      <w:r>
        <w:rPr>
          <w:rFonts w:eastAsia="仿宋_GB2312"/>
          <w:sz w:val="32"/>
        </w:rPr>
        <w:fldChar w:fldCharType="begin"/>
      </w:r>
      <w:r>
        <w:rPr>
          <w:rFonts w:eastAsia="仿宋_GB2312"/>
          <w:sz w:val="32"/>
        </w:rPr>
        <w:instrText xml:space="preserve"> PAGEREF _Toc664656378 \h </w:instrText>
      </w:r>
      <w:r>
        <w:rPr>
          <w:rFonts w:eastAsia="仿宋_GB2312"/>
          <w:sz w:val="32"/>
        </w:rPr>
        <w:fldChar w:fldCharType="separate"/>
      </w:r>
      <w:r>
        <w:rPr>
          <w:rFonts w:eastAsia="仿宋_GB2312"/>
          <w:sz w:val="32"/>
        </w:rPr>
        <w:t>- 1 -</w:t>
      </w:r>
      <w:r>
        <w:rPr>
          <w:rFonts w:eastAsia="仿宋_GB2312"/>
          <w:sz w:val="32"/>
        </w:rPr>
        <w:fldChar w:fldCharType="end"/>
      </w:r>
      <w:r>
        <w:rPr>
          <w:rFonts w:eastAsia="仿宋_GB2312"/>
          <w:sz w:val="32"/>
          <w:szCs w:val="44"/>
          <w:u w:val="single"/>
        </w:rPr>
        <w:fldChar w:fldCharType="end"/>
      </w:r>
    </w:p>
    <w:p w14:paraId="49311D45">
      <w:pPr>
        <w:pStyle w:val="8"/>
        <w:keepNext w:val="0"/>
        <w:keepLines w:val="0"/>
        <w:pageBreakBefore w:val="0"/>
        <w:widowControl w:val="0"/>
        <w:tabs>
          <w:tab w:val="right" w:leader="dot" w:pos="8266"/>
        </w:tabs>
        <w:kinsoku/>
        <w:wordWrap/>
        <w:overflowPunct/>
        <w:topLinePunct w:val="0"/>
        <w:autoSpaceDE/>
        <w:autoSpaceDN/>
        <w:bidi w:val="0"/>
        <w:adjustRightInd/>
        <w:snapToGrid/>
        <w:spacing w:line="600" w:lineRule="exact"/>
        <w:textAlignment w:val="auto"/>
        <w:rPr>
          <w:rFonts w:eastAsia="仿宋_GB2312"/>
          <w:sz w:val="32"/>
        </w:rPr>
      </w:pPr>
      <w:r>
        <w:rPr>
          <w:rFonts w:eastAsia="仿宋_GB2312"/>
          <w:sz w:val="32"/>
          <w:szCs w:val="44"/>
          <w:u w:val="single"/>
        </w:rPr>
        <w:fldChar w:fldCharType="begin"/>
      </w:r>
      <w:r>
        <w:rPr>
          <w:rFonts w:eastAsia="仿宋_GB2312"/>
          <w:sz w:val="32"/>
          <w:szCs w:val="44"/>
        </w:rPr>
        <w:instrText xml:space="preserve"> HYPERLINK \l _Toc1427134881 </w:instrText>
      </w:r>
      <w:r>
        <w:rPr>
          <w:rFonts w:eastAsia="仿宋_GB2312"/>
          <w:sz w:val="32"/>
          <w:szCs w:val="44"/>
        </w:rPr>
        <w:fldChar w:fldCharType="separate"/>
      </w:r>
      <w:r>
        <w:rPr>
          <w:rFonts w:hint="eastAsia" w:ascii="楷体_GB2312" w:hAnsi="楷体_GB2312" w:eastAsia="仿宋_GB2312" w:cs="楷体_GB2312"/>
          <w:bCs w:val="0"/>
          <w:kern w:val="2"/>
          <w:sz w:val="32"/>
          <w:szCs w:val="32"/>
          <w:lang w:val="en-US" w:eastAsia="zh-CN" w:bidi="ar-SA"/>
        </w:rPr>
        <w:t>（一）米易生态环境局职能简介。</w:t>
      </w:r>
      <w:r>
        <w:rPr>
          <w:rFonts w:eastAsia="仿宋_GB2312"/>
          <w:sz w:val="32"/>
        </w:rPr>
        <w:tab/>
      </w:r>
      <w:r>
        <w:rPr>
          <w:rFonts w:eastAsia="仿宋_GB2312"/>
          <w:sz w:val="32"/>
        </w:rPr>
        <w:fldChar w:fldCharType="begin"/>
      </w:r>
      <w:r>
        <w:rPr>
          <w:rFonts w:eastAsia="仿宋_GB2312"/>
          <w:sz w:val="32"/>
        </w:rPr>
        <w:instrText xml:space="preserve"> PAGEREF _Toc1427134881 \h </w:instrText>
      </w:r>
      <w:r>
        <w:rPr>
          <w:rFonts w:eastAsia="仿宋_GB2312"/>
          <w:sz w:val="32"/>
        </w:rPr>
        <w:fldChar w:fldCharType="separate"/>
      </w:r>
      <w:r>
        <w:rPr>
          <w:rFonts w:eastAsia="仿宋_GB2312"/>
          <w:sz w:val="32"/>
        </w:rPr>
        <w:t>- 1 -</w:t>
      </w:r>
      <w:r>
        <w:rPr>
          <w:rFonts w:eastAsia="仿宋_GB2312"/>
          <w:sz w:val="32"/>
        </w:rPr>
        <w:fldChar w:fldCharType="end"/>
      </w:r>
      <w:r>
        <w:rPr>
          <w:rFonts w:eastAsia="仿宋_GB2312"/>
          <w:sz w:val="32"/>
          <w:szCs w:val="44"/>
          <w:u w:val="single"/>
        </w:rPr>
        <w:fldChar w:fldCharType="end"/>
      </w:r>
    </w:p>
    <w:p w14:paraId="6B2058A2">
      <w:pPr>
        <w:pStyle w:val="8"/>
        <w:keepNext w:val="0"/>
        <w:keepLines w:val="0"/>
        <w:pageBreakBefore w:val="0"/>
        <w:widowControl w:val="0"/>
        <w:tabs>
          <w:tab w:val="right" w:leader="dot" w:pos="8266"/>
        </w:tabs>
        <w:kinsoku/>
        <w:wordWrap/>
        <w:overflowPunct/>
        <w:topLinePunct w:val="0"/>
        <w:autoSpaceDE/>
        <w:autoSpaceDN/>
        <w:bidi w:val="0"/>
        <w:adjustRightInd/>
        <w:snapToGrid/>
        <w:spacing w:line="600" w:lineRule="exact"/>
        <w:textAlignment w:val="auto"/>
        <w:rPr>
          <w:rFonts w:eastAsia="仿宋_GB2312"/>
          <w:sz w:val="32"/>
        </w:rPr>
      </w:pPr>
      <w:r>
        <w:rPr>
          <w:rFonts w:eastAsia="仿宋_GB2312"/>
          <w:sz w:val="32"/>
          <w:szCs w:val="44"/>
          <w:u w:val="single"/>
        </w:rPr>
        <w:fldChar w:fldCharType="begin"/>
      </w:r>
      <w:r>
        <w:rPr>
          <w:rFonts w:eastAsia="仿宋_GB2312"/>
          <w:sz w:val="32"/>
          <w:szCs w:val="44"/>
        </w:rPr>
        <w:instrText xml:space="preserve"> HYPERLINK \l _Toc2041551807 </w:instrText>
      </w:r>
      <w:r>
        <w:rPr>
          <w:rFonts w:eastAsia="仿宋_GB2312"/>
          <w:sz w:val="32"/>
          <w:szCs w:val="44"/>
        </w:rPr>
        <w:fldChar w:fldCharType="separate"/>
      </w:r>
      <w:r>
        <w:rPr>
          <w:rFonts w:hint="eastAsia" w:ascii="楷体_GB2312" w:hAnsi="楷体_GB2312" w:eastAsia="仿宋_GB2312" w:cs="楷体_GB2312"/>
          <w:bCs w:val="0"/>
          <w:kern w:val="2"/>
          <w:sz w:val="32"/>
          <w:szCs w:val="32"/>
          <w:lang w:val="en-US" w:eastAsia="zh-CN" w:bidi="ar-SA"/>
        </w:rPr>
        <w:t>（二）米易生态环境局2026年重点工作。</w:t>
      </w:r>
      <w:r>
        <w:rPr>
          <w:rFonts w:eastAsia="仿宋_GB2312"/>
          <w:sz w:val="32"/>
        </w:rPr>
        <w:tab/>
      </w:r>
      <w:r>
        <w:rPr>
          <w:rFonts w:eastAsia="仿宋_GB2312"/>
          <w:sz w:val="32"/>
        </w:rPr>
        <w:fldChar w:fldCharType="begin"/>
      </w:r>
      <w:r>
        <w:rPr>
          <w:rFonts w:eastAsia="仿宋_GB2312"/>
          <w:sz w:val="32"/>
        </w:rPr>
        <w:instrText xml:space="preserve"> PAGEREF _Toc2041551807 \h </w:instrText>
      </w:r>
      <w:r>
        <w:rPr>
          <w:rFonts w:eastAsia="仿宋_GB2312"/>
          <w:sz w:val="32"/>
        </w:rPr>
        <w:fldChar w:fldCharType="separate"/>
      </w:r>
      <w:r>
        <w:rPr>
          <w:rFonts w:eastAsia="仿宋_GB2312"/>
          <w:sz w:val="32"/>
        </w:rPr>
        <w:t>- 4 -</w:t>
      </w:r>
      <w:r>
        <w:rPr>
          <w:rFonts w:eastAsia="仿宋_GB2312"/>
          <w:sz w:val="32"/>
        </w:rPr>
        <w:fldChar w:fldCharType="end"/>
      </w:r>
      <w:r>
        <w:rPr>
          <w:rFonts w:eastAsia="仿宋_GB2312"/>
          <w:sz w:val="32"/>
          <w:szCs w:val="44"/>
          <w:u w:val="single"/>
        </w:rPr>
        <w:fldChar w:fldCharType="end"/>
      </w:r>
    </w:p>
    <w:p w14:paraId="2CCD429A">
      <w:pPr>
        <w:pStyle w:val="5"/>
        <w:keepNext w:val="0"/>
        <w:keepLines w:val="0"/>
        <w:pageBreakBefore w:val="0"/>
        <w:widowControl w:val="0"/>
        <w:tabs>
          <w:tab w:val="right" w:leader="dot" w:pos="8266"/>
        </w:tabs>
        <w:kinsoku/>
        <w:wordWrap/>
        <w:overflowPunct/>
        <w:topLinePunct w:val="0"/>
        <w:autoSpaceDE/>
        <w:autoSpaceDN/>
        <w:bidi w:val="0"/>
        <w:adjustRightInd/>
        <w:snapToGrid/>
        <w:spacing w:line="600" w:lineRule="exact"/>
        <w:textAlignment w:val="auto"/>
        <w:rPr>
          <w:rFonts w:eastAsia="仿宋_GB2312"/>
          <w:sz w:val="32"/>
        </w:rPr>
      </w:pPr>
      <w:r>
        <w:rPr>
          <w:rFonts w:eastAsia="仿宋_GB2312"/>
          <w:sz w:val="32"/>
          <w:szCs w:val="44"/>
          <w:u w:val="single"/>
        </w:rPr>
        <w:fldChar w:fldCharType="begin"/>
      </w:r>
      <w:r>
        <w:rPr>
          <w:rFonts w:eastAsia="仿宋_GB2312"/>
          <w:sz w:val="32"/>
          <w:szCs w:val="44"/>
        </w:rPr>
        <w:instrText xml:space="preserve"> HYPERLINK \l _Toc604431708 </w:instrText>
      </w:r>
      <w:r>
        <w:rPr>
          <w:rFonts w:eastAsia="仿宋_GB2312"/>
          <w:sz w:val="32"/>
          <w:szCs w:val="44"/>
        </w:rPr>
        <w:fldChar w:fldCharType="separate"/>
      </w:r>
      <w:r>
        <w:rPr>
          <w:rFonts w:eastAsia="仿宋_GB2312"/>
          <w:sz w:val="32"/>
        </w:rPr>
        <w:t>二、机构设置情况</w:t>
      </w:r>
      <w:r>
        <w:rPr>
          <w:rFonts w:eastAsia="仿宋_GB2312"/>
          <w:sz w:val="32"/>
        </w:rPr>
        <w:tab/>
      </w:r>
      <w:r>
        <w:rPr>
          <w:rFonts w:eastAsia="仿宋_GB2312"/>
          <w:sz w:val="32"/>
        </w:rPr>
        <w:fldChar w:fldCharType="begin"/>
      </w:r>
      <w:r>
        <w:rPr>
          <w:rFonts w:eastAsia="仿宋_GB2312"/>
          <w:sz w:val="32"/>
        </w:rPr>
        <w:instrText xml:space="preserve"> PAGEREF _Toc604431708 \h </w:instrText>
      </w:r>
      <w:r>
        <w:rPr>
          <w:rFonts w:eastAsia="仿宋_GB2312"/>
          <w:sz w:val="32"/>
        </w:rPr>
        <w:fldChar w:fldCharType="separate"/>
      </w:r>
      <w:r>
        <w:rPr>
          <w:rFonts w:eastAsia="仿宋_GB2312"/>
          <w:sz w:val="32"/>
        </w:rPr>
        <w:t>- 6 -</w:t>
      </w:r>
      <w:r>
        <w:rPr>
          <w:rFonts w:eastAsia="仿宋_GB2312"/>
          <w:sz w:val="32"/>
        </w:rPr>
        <w:fldChar w:fldCharType="end"/>
      </w:r>
      <w:r>
        <w:rPr>
          <w:rFonts w:eastAsia="仿宋_GB2312"/>
          <w:sz w:val="32"/>
          <w:szCs w:val="44"/>
          <w:u w:val="single"/>
        </w:rPr>
        <w:fldChar w:fldCharType="end"/>
      </w:r>
    </w:p>
    <w:p w14:paraId="617E5E59">
      <w:pPr>
        <w:pStyle w:val="5"/>
        <w:keepNext w:val="0"/>
        <w:keepLines w:val="0"/>
        <w:pageBreakBefore w:val="0"/>
        <w:widowControl w:val="0"/>
        <w:tabs>
          <w:tab w:val="right" w:leader="dot" w:pos="8266"/>
        </w:tabs>
        <w:kinsoku/>
        <w:wordWrap/>
        <w:overflowPunct/>
        <w:topLinePunct w:val="0"/>
        <w:autoSpaceDE/>
        <w:autoSpaceDN/>
        <w:bidi w:val="0"/>
        <w:adjustRightInd/>
        <w:snapToGrid/>
        <w:spacing w:line="600" w:lineRule="exact"/>
        <w:textAlignment w:val="auto"/>
        <w:rPr>
          <w:rFonts w:eastAsia="仿宋_GB2312"/>
          <w:sz w:val="32"/>
        </w:rPr>
      </w:pPr>
      <w:r>
        <w:rPr>
          <w:rFonts w:eastAsia="仿宋_GB2312"/>
          <w:sz w:val="32"/>
          <w:szCs w:val="44"/>
          <w:u w:val="single"/>
        </w:rPr>
        <w:fldChar w:fldCharType="begin"/>
      </w:r>
      <w:r>
        <w:rPr>
          <w:rFonts w:eastAsia="仿宋_GB2312"/>
          <w:sz w:val="32"/>
          <w:szCs w:val="44"/>
        </w:rPr>
        <w:instrText xml:space="preserve"> HYPERLINK \l _Toc1426070287 </w:instrText>
      </w:r>
      <w:r>
        <w:rPr>
          <w:rFonts w:eastAsia="仿宋_GB2312"/>
          <w:sz w:val="32"/>
          <w:szCs w:val="44"/>
        </w:rPr>
        <w:fldChar w:fldCharType="separate"/>
      </w:r>
      <w:r>
        <w:rPr>
          <w:rFonts w:eastAsia="仿宋_GB2312"/>
          <w:sz w:val="32"/>
        </w:rPr>
        <w:t>三、收支预算情况说明</w:t>
      </w:r>
      <w:r>
        <w:rPr>
          <w:rFonts w:eastAsia="仿宋_GB2312"/>
          <w:sz w:val="32"/>
        </w:rPr>
        <w:tab/>
      </w:r>
      <w:r>
        <w:rPr>
          <w:rFonts w:eastAsia="仿宋_GB2312"/>
          <w:sz w:val="32"/>
        </w:rPr>
        <w:fldChar w:fldCharType="begin"/>
      </w:r>
      <w:r>
        <w:rPr>
          <w:rFonts w:eastAsia="仿宋_GB2312"/>
          <w:sz w:val="32"/>
        </w:rPr>
        <w:instrText xml:space="preserve"> PAGEREF _Toc1426070287 \h </w:instrText>
      </w:r>
      <w:r>
        <w:rPr>
          <w:rFonts w:eastAsia="仿宋_GB2312"/>
          <w:sz w:val="32"/>
        </w:rPr>
        <w:fldChar w:fldCharType="separate"/>
      </w:r>
      <w:r>
        <w:rPr>
          <w:rFonts w:eastAsia="仿宋_GB2312"/>
          <w:sz w:val="32"/>
        </w:rPr>
        <w:t>- 6 -</w:t>
      </w:r>
      <w:r>
        <w:rPr>
          <w:rFonts w:eastAsia="仿宋_GB2312"/>
          <w:sz w:val="32"/>
        </w:rPr>
        <w:fldChar w:fldCharType="end"/>
      </w:r>
      <w:r>
        <w:rPr>
          <w:rFonts w:eastAsia="仿宋_GB2312"/>
          <w:sz w:val="32"/>
          <w:szCs w:val="44"/>
          <w:u w:val="single"/>
        </w:rPr>
        <w:fldChar w:fldCharType="end"/>
      </w:r>
    </w:p>
    <w:p w14:paraId="2E95580F">
      <w:pPr>
        <w:pStyle w:val="8"/>
        <w:keepNext w:val="0"/>
        <w:keepLines w:val="0"/>
        <w:pageBreakBefore w:val="0"/>
        <w:widowControl w:val="0"/>
        <w:tabs>
          <w:tab w:val="right" w:leader="dot" w:pos="8266"/>
        </w:tabs>
        <w:kinsoku/>
        <w:wordWrap/>
        <w:overflowPunct/>
        <w:topLinePunct w:val="0"/>
        <w:autoSpaceDE/>
        <w:autoSpaceDN/>
        <w:bidi w:val="0"/>
        <w:adjustRightInd/>
        <w:snapToGrid/>
        <w:spacing w:line="600" w:lineRule="exact"/>
        <w:textAlignment w:val="auto"/>
        <w:rPr>
          <w:rFonts w:eastAsia="仿宋_GB2312"/>
          <w:sz w:val="32"/>
        </w:rPr>
      </w:pPr>
      <w:r>
        <w:rPr>
          <w:rFonts w:eastAsia="仿宋_GB2312"/>
          <w:sz w:val="32"/>
          <w:szCs w:val="44"/>
          <w:u w:val="single"/>
        </w:rPr>
        <w:fldChar w:fldCharType="begin"/>
      </w:r>
      <w:r>
        <w:rPr>
          <w:rFonts w:eastAsia="仿宋_GB2312"/>
          <w:sz w:val="32"/>
          <w:szCs w:val="44"/>
        </w:rPr>
        <w:instrText xml:space="preserve"> HYPERLINK \l _Toc2125342257 </w:instrText>
      </w:r>
      <w:r>
        <w:rPr>
          <w:rFonts w:eastAsia="仿宋_GB2312"/>
          <w:sz w:val="32"/>
          <w:szCs w:val="44"/>
        </w:rPr>
        <w:fldChar w:fldCharType="separate"/>
      </w:r>
      <w:r>
        <w:rPr>
          <w:rFonts w:hint="eastAsia" w:ascii="楷体_GB2312" w:hAnsi="楷体_GB2312" w:eastAsia="仿宋_GB2312" w:cs="楷体_GB2312"/>
          <w:bCs w:val="0"/>
          <w:kern w:val="2"/>
          <w:sz w:val="32"/>
          <w:szCs w:val="32"/>
          <w:lang w:val="en-US" w:eastAsia="zh-CN" w:bidi="ar-SA"/>
        </w:rPr>
        <w:t>（一）收入预算情况。</w:t>
      </w:r>
      <w:r>
        <w:rPr>
          <w:rFonts w:eastAsia="仿宋_GB2312"/>
          <w:sz w:val="32"/>
        </w:rPr>
        <w:tab/>
      </w:r>
      <w:r>
        <w:rPr>
          <w:rFonts w:eastAsia="仿宋_GB2312"/>
          <w:sz w:val="32"/>
        </w:rPr>
        <w:fldChar w:fldCharType="begin"/>
      </w:r>
      <w:r>
        <w:rPr>
          <w:rFonts w:eastAsia="仿宋_GB2312"/>
          <w:sz w:val="32"/>
        </w:rPr>
        <w:instrText xml:space="preserve"> PAGEREF _Toc2125342257 \h </w:instrText>
      </w:r>
      <w:r>
        <w:rPr>
          <w:rFonts w:eastAsia="仿宋_GB2312"/>
          <w:sz w:val="32"/>
        </w:rPr>
        <w:fldChar w:fldCharType="separate"/>
      </w:r>
      <w:r>
        <w:rPr>
          <w:rFonts w:eastAsia="仿宋_GB2312"/>
          <w:sz w:val="32"/>
        </w:rPr>
        <w:t>- 6 -</w:t>
      </w:r>
      <w:r>
        <w:rPr>
          <w:rFonts w:eastAsia="仿宋_GB2312"/>
          <w:sz w:val="32"/>
        </w:rPr>
        <w:fldChar w:fldCharType="end"/>
      </w:r>
      <w:r>
        <w:rPr>
          <w:rFonts w:eastAsia="仿宋_GB2312"/>
          <w:sz w:val="32"/>
          <w:szCs w:val="44"/>
          <w:u w:val="single"/>
        </w:rPr>
        <w:fldChar w:fldCharType="end"/>
      </w:r>
    </w:p>
    <w:p w14:paraId="37F8E0CA">
      <w:pPr>
        <w:pStyle w:val="8"/>
        <w:keepNext w:val="0"/>
        <w:keepLines w:val="0"/>
        <w:pageBreakBefore w:val="0"/>
        <w:widowControl w:val="0"/>
        <w:tabs>
          <w:tab w:val="right" w:leader="dot" w:pos="8266"/>
        </w:tabs>
        <w:kinsoku/>
        <w:wordWrap/>
        <w:overflowPunct/>
        <w:topLinePunct w:val="0"/>
        <w:autoSpaceDE/>
        <w:autoSpaceDN/>
        <w:bidi w:val="0"/>
        <w:adjustRightInd/>
        <w:snapToGrid/>
        <w:spacing w:line="600" w:lineRule="exact"/>
        <w:textAlignment w:val="auto"/>
        <w:rPr>
          <w:rFonts w:eastAsia="仿宋_GB2312"/>
          <w:sz w:val="32"/>
        </w:rPr>
      </w:pPr>
      <w:r>
        <w:rPr>
          <w:rFonts w:eastAsia="仿宋_GB2312"/>
          <w:sz w:val="32"/>
          <w:szCs w:val="44"/>
          <w:u w:val="single"/>
        </w:rPr>
        <w:fldChar w:fldCharType="begin"/>
      </w:r>
      <w:r>
        <w:rPr>
          <w:rFonts w:eastAsia="仿宋_GB2312"/>
          <w:sz w:val="32"/>
          <w:szCs w:val="44"/>
        </w:rPr>
        <w:instrText xml:space="preserve"> HYPERLINK \l _Toc873031980 </w:instrText>
      </w:r>
      <w:r>
        <w:rPr>
          <w:rFonts w:eastAsia="仿宋_GB2312"/>
          <w:sz w:val="32"/>
          <w:szCs w:val="44"/>
        </w:rPr>
        <w:fldChar w:fldCharType="separate"/>
      </w:r>
      <w:r>
        <w:rPr>
          <w:rFonts w:hint="eastAsia" w:ascii="楷体_GB2312" w:hAnsi="楷体_GB2312" w:eastAsia="仿宋_GB2312" w:cs="楷体_GB2312"/>
          <w:bCs w:val="0"/>
          <w:kern w:val="2"/>
          <w:sz w:val="32"/>
          <w:szCs w:val="32"/>
          <w:lang w:val="en-US" w:eastAsia="zh-CN" w:bidi="ar-SA"/>
        </w:rPr>
        <w:t>（二）支出预算情况。</w:t>
      </w:r>
      <w:r>
        <w:rPr>
          <w:rFonts w:eastAsia="仿宋_GB2312"/>
          <w:sz w:val="32"/>
        </w:rPr>
        <w:tab/>
      </w:r>
      <w:r>
        <w:rPr>
          <w:rFonts w:eastAsia="仿宋_GB2312"/>
          <w:sz w:val="32"/>
        </w:rPr>
        <w:fldChar w:fldCharType="begin"/>
      </w:r>
      <w:r>
        <w:rPr>
          <w:rFonts w:eastAsia="仿宋_GB2312"/>
          <w:sz w:val="32"/>
        </w:rPr>
        <w:instrText xml:space="preserve"> PAGEREF _Toc873031980 \h </w:instrText>
      </w:r>
      <w:r>
        <w:rPr>
          <w:rFonts w:eastAsia="仿宋_GB2312"/>
          <w:sz w:val="32"/>
        </w:rPr>
        <w:fldChar w:fldCharType="separate"/>
      </w:r>
      <w:r>
        <w:rPr>
          <w:rFonts w:eastAsia="仿宋_GB2312"/>
          <w:sz w:val="32"/>
        </w:rPr>
        <w:t>- 6 -</w:t>
      </w:r>
      <w:r>
        <w:rPr>
          <w:rFonts w:eastAsia="仿宋_GB2312"/>
          <w:sz w:val="32"/>
        </w:rPr>
        <w:fldChar w:fldCharType="end"/>
      </w:r>
      <w:r>
        <w:rPr>
          <w:rFonts w:eastAsia="仿宋_GB2312"/>
          <w:sz w:val="32"/>
          <w:szCs w:val="44"/>
          <w:u w:val="single"/>
        </w:rPr>
        <w:fldChar w:fldCharType="end"/>
      </w:r>
    </w:p>
    <w:p w14:paraId="593183BE">
      <w:pPr>
        <w:pStyle w:val="5"/>
        <w:keepNext w:val="0"/>
        <w:keepLines w:val="0"/>
        <w:pageBreakBefore w:val="0"/>
        <w:widowControl w:val="0"/>
        <w:tabs>
          <w:tab w:val="right" w:leader="dot" w:pos="8266"/>
        </w:tabs>
        <w:kinsoku/>
        <w:wordWrap/>
        <w:overflowPunct/>
        <w:topLinePunct w:val="0"/>
        <w:autoSpaceDE/>
        <w:autoSpaceDN/>
        <w:bidi w:val="0"/>
        <w:adjustRightInd/>
        <w:snapToGrid/>
        <w:spacing w:line="600" w:lineRule="exact"/>
        <w:textAlignment w:val="auto"/>
        <w:rPr>
          <w:rFonts w:eastAsia="仿宋_GB2312"/>
          <w:sz w:val="32"/>
        </w:rPr>
      </w:pPr>
      <w:r>
        <w:rPr>
          <w:rFonts w:eastAsia="仿宋_GB2312"/>
          <w:sz w:val="32"/>
          <w:szCs w:val="44"/>
          <w:u w:val="single"/>
        </w:rPr>
        <w:fldChar w:fldCharType="begin"/>
      </w:r>
      <w:r>
        <w:rPr>
          <w:rFonts w:eastAsia="仿宋_GB2312"/>
          <w:sz w:val="32"/>
          <w:szCs w:val="44"/>
        </w:rPr>
        <w:instrText xml:space="preserve"> HYPERLINK \l _Toc2099095882 </w:instrText>
      </w:r>
      <w:r>
        <w:rPr>
          <w:rFonts w:eastAsia="仿宋_GB2312"/>
          <w:sz w:val="32"/>
          <w:szCs w:val="44"/>
        </w:rPr>
        <w:fldChar w:fldCharType="separate"/>
      </w:r>
      <w:r>
        <w:rPr>
          <w:rFonts w:eastAsia="仿宋_GB2312"/>
          <w:sz w:val="32"/>
        </w:rPr>
        <w:t>四、财政拨款收支预算情况说明</w:t>
      </w:r>
      <w:r>
        <w:rPr>
          <w:rFonts w:eastAsia="仿宋_GB2312"/>
          <w:sz w:val="32"/>
        </w:rPr>
        <w:tab/>
      </w:r>
      <w:r>
        <w:rPr>
          <w:rFonts w:eastAsia="仿宋_GB2312"/>
          <w:sz w:val="32"/>
        </w:rPr>
        <w:fldChar w:fldCharType="begin"/>
      </w:r>
      <w:r>
        <w:rPr>
          <w:rFonts w:eastAsia="仿宋_GB2312"/>
          <w:sz w:val="32"/>
        </w:rPr>
        <w:instrText xml:space="preserve"> PAGEREF _Toc2099095882 \h </w:instrText>
      </w:r>
      <w:r>
        <w:rPr>
          <w:rFonts w:eastAsia="仿宋_GB2312"/>
          <w:sz w:val="32"/>
        </w:rPr>
        <w:fldChar w:fldCharType="separate"/>
      </w:r>
      <w:r>
        <w:rPr>
          <w:rFonts w:eastAsia="仿宋_GB2312"/>
          <w:sz w:val="32"/>
        </w:rPr>
        <w:t>- 7 -</w:t>
      </w:r>
      <w:r>
        <w:rPr>
          <w:rFonts w:eastAsia="仿宋_GB2312"/>
          <w:sz w:val="32"/>
        </w:rPr>
        <w:fldChar w:fldCharType="end"/>
      </w:r>
      <w:r>
        <w:rPr>
          <w:rFonts w:eastAsia="仿宋_GB2312"/>
          <w:sz w:val="32"/>
          <w:szCs w:val="44"/>
          <w:u w:val="single"/>
        </w:rPr>
        <w:fldChar w:fldCharType="end"/>
      </w:r>
    </w:p>
    <w:p w14:paraId="52CD76B0">
      <w:pPr>
        <w:pStyle w:val="5"/>
        <w:keepNext w:val="0"/>
        <w:keepLines w:val="0"/>
        <w:pageBreakBefore w:val="0"/>
        <w:widowControl w:val="0"/>
        <w:tabs>
          <w:tab w:val="right" w:leader="dot" w:pos="8266"/>
        </w:tabs>
        <w:kinsoku/>
        <w:wordWrap/>
        <w:overflowPunct/>
        <w:topLinePunct w:val="0"/>
        <w:autoSpaceDE/>
        <w:autoSpaceDN/>
        <w:bidi w:val="0"/>
        <w:adjustRightInd/>
        <w:snapToGrid/>
        <w:spacing w:line="600" w:lineRule="exact"/>
        <w:textAlignment w:val="auto"/>
        <w:rPr>
          <w:rFonts w:eastAsia="仿宋_GB2312"/>
          <w:sz w:val="32"/>
        </w:rPr>
      </w:pPr>
      <w:r>
        <w:rPr>
          <w:rFonts w:eastAsia="仿宋_GB2312"/>
          <w:sz w:val="32"/>
          <w:szCs w:val="44"/>
          <w:u w:val="single"/>
        </w:rPr>
        <w:fldChar w:fldCharType="begin"/>
      </w:r>
      <w:r>
        <w:rPr>
          <w:rFonts w:eastAsia="仿宋_GB2312"/>
          <w:sz w:val="32"/>
          <w:szCs w:val="44"/>
        </w:rPr>
        <w:instrText xml:space="preserve"> HYPERLINK \l _Toc1035013041 </w:instrText>
      </w:r>
      <w:r>
        <w:rPr>
          <w:rFonts w:eastAsia="仿宋_GB2312"/>
          <w:sz w:val="32"/>
          <w:szCs w:val="44"/>
        </w:rPr>
        <w:fldChar w:fldCharType="separate"/>
      </w:r>
      <w:r>
        <w:rPr>
          <w:rFonts w:eastAsia="仿宋_GB2312"/>
          <w:sz w:val="32"/>
        </w:rPr>
        <w:t>五、一般公共预算当年拨款情况说明</w:t>
      </w:r>
      <w:r>
        <w:rPr>
          <w:rFonts w:eastAsia="仿宋_GB2312"/>
          <w:sz w:val="32"/>
        </w:rPr>
        <w:tab/>
      </w:r>
      <w:r>
        <w:rPr>
          <w:rFonts w:eastAsia="仿宋_GB2312"/>
          <w:sz w:val="32"/>
        </w:rPr>
        <w:fldChar w:fldCharType="begin"/>
      </w:r>
      <w:r>
        <w:rPr>
          <w:rFonts w:eastAsia="仿宋_GB2312"/>
          <w:sz w:val="32"/>
        </w:rPr>
        <w:instrText xml:space="preserve"> PAGEREF _Toc1035013041 \h </w:instrText>
      </w:r>
      <w:r>
        <w:rPr>
          <w:rFonts w:eastAsia="仿宋_GB2312"/>
          <w:sz w:val="32"/>
        </w:rPr>
        <w:fldChar w:fldCharType="separate"/>
      </w:r>
      <w:r>
        <w:rPr>
          <w:rFonts w:eastAsia="仿宋_GB2312"/>
          <w:sz w:val="32"/>
        </w:rPr>
        <w:t>- 7 -</w:t>
      </w:r>
      <w:r>
        <w:rPr>
          <w:rFonts w:eastAsia="仿宋_GB2312"/>
          <w:sz w:val="32"/>
        </w:rPr>
        <w:fldChar w:fldCharType="end"/>
      </w:r>
      <w:r>
        <w:rPr>
          <w:rFonts w:eastAsia="仿宋_GB2312"/>
          <w:sz w:val="32"/>
          <w:szCs w:val="44"/>
          <w:u w:val="single"/>
        </w:rPr>
        <w:fldChar w:fldCharType="end"/>
      </w:r>
    </w:p>
    <w:p w14:paraId="1B231045">
      <w:pPr>
        <w:pStyle w:val="8"/>
        <w:keepNext w:val="0"/>
        <w:keepLines w:val="0"/>
        <w:pageBreakBefore w:val="0"/>
        <w:widowControl w:val="0"/>
        <w:tabs>
          <w:tab w:val="right" w:leader="dot" w:pos="8266"/>
        </w:tabs>
        <w:kinsoku/>
        <w:wordWrap/>
        <w:overflowPunct/>
        <w:topLinePunct w:val="0"/>
        <w:autoSpaceDE/>
        <w:autoSpaceDN/>
        <w:bidi w:val="0"/>
        <w:adjustRightInd/>
        <w:snapToGrid/>
        <w:spacing w:line="600" w:lineRule="exact"/>
        <w:textAlignment w:val="auto"/>
        <w:rPr>
          <w:rFonts w:eastAsia="仿宋_GB2312"/>
          <w:sz w:val="32"/>
        </w:rPr>
      </w:pPr>
      <w:r>
        <w:rPr>
          <w:rFonts w:eastAsia="仿宋_GB2312"/>
          <w:sz w:val="32"/>
          <w:szCs w:val="44"/>
          <w:u w:val="single"/>
        </w:rPr>
        <w:fldChar w:fldCharType="begin"/>
      </w:r>
      <w:r>
        <w:rPr>
          <w:rFonts w:eastAsia="仿宋_GB2312"/>
          <w:sz w:val="32"/>
          <w:szCs w:val="44"/>
        </w:rPr>
        <w:instrText xml:space="preserve"> HYPERLINK \l _Toc1239550664 </w:instrText>
      </w:r>
      <w:r>
        <w:rPr>
          <w:rFonts w:eastAsia="仿宋_GB2312"/>
          <w:sz w:val="32"/>
          <w:szCs w:val="44"/>
        </w:rPr>
        <w:fldChar w:fldCharType="separate"/>
      </w:r>
      <w:r>
        <w:rPr>
          <w:rFonts w:hint="eastAsia" w:ascii="楷体_GB2312" w:hAnsi="楷体_GB2312" w:eastAsia="仿宋_GB2312" w:cs="楷体_GB2312"/>
          <w:bCs w:val="0"/>
          <w:kern w:val="2"/>
          <w:sz w:val="32"/>
          <w:szCs w:val="32"/>
          <w:lang w:val="en-US" w:eastAsia="zh-CN" w:bidi="ar-SA"/>
        </w:rPr>
        <w:t>（一）一般公共预算当年拨款规模变化情况。</w:t>
      </w:r>
      <w:r>
        <w:rPr>
          <w:rFonts w:eastAsia="仿宋_GB2312"/>
          <w:sz w:val="32"/>
        </w:rPr>
        <w:tab/>
      </w:r>
      <w:r>
        <w:rPr>
          <w:rFonts w:eastAsia="仿宋_GB2312"/>
          <w:sz w:val="32"/>
        </w:rPr>
        <w:fldChar w:fldCharType="begin"/>
      </w:r>
      <w:r>
        <w:rPr>
          <w:rFonts w:eastAsia="仿宋_GB2312"/>
          <w:sz w:val="32"/>
        </w:rPr>
        <w:instrText xml:space="preserve"> PAGEREF _Toc1239550664 \h </w:instrText>
      </w:r>
      <w:r>
        <w:rPr>
          <w:rFonts w:eastAsia="仿宋_GB2312"/>
          <w:sz w:val="32"/>
        </w:rPr>
        <w:fldChar w:fldCharType="separate"/>
      </w:r>
      <w:r>
        <w:rPr>
          <w:rFonts w:eastAsia="仿宋_GB2312"/>
          <w:sz w:val="32"/>
        </w:rPr>
        <w:t>- 7 -</w:t>
      </w:r>
      <w:r>
        <w:rPr>
          <w:rFonts w:eastAsia="仿宋_GB2312"/>
          <w:sz w:val="32"/>
        </w:rPr>
        <w:fldChar w:fldCharType="end"/>
      </w:r>
      <w:r>
        <w:rPr>
          <w:rFonts w:eastAsia="仿宋_GB2312"/>
          <w:sz w:val="32"/>
          <w:szCs w:val="44"/>
          <w:u w:val="single"/>
        </w:rPr>
        <w:fldChar w:fldCharType="end"/>
      </w:r>
    </w:p>
    <w:p w14:paraId="3316DB39">
      <w:pPr>
        <w:pStyle w:val="8"/>
        <w:keepNext w:val="0"/>
        <w:keepLines w:val="0"/>
        <w:pageBreakBefore w:val="0"/>
        <w:widowControl w:val="0"/>
        <w:tabs>
          <w:tab w:val="right" w:leader="dot" w:pos="8266"/>
        </w:tabs>
        <w:kinsoku/>
        <w:wordWrap/>
        <w:overflowPunct/>
        <w:topLinePunct w:val="0"/>
        <w:autoSpaceDE/>
        <w:autoSpaceDN/>
        <w:bidi w:val="0"/>
        <w:adjustRightInd/>
        <w:snapToGrid/>
        <w:spacing w:line="600" w:lineRule="exact"/>
        <w:textAlignment w:val="auto"/>
        <w:rPr>
          <w:rFonts w:eastAsia="仿宋_GB2312"/>
          <w:sz w:val="32"/>
        </w:rPr>
      </w:pPr>
      <w:r>
        <w:rPr>
          <w:rFonts w:eastAsia="仿宋_GB2312"/>
          <w:sz w:val="32"/>
          <w:szCs w:val="44"/>
          <w:u w:val="single"/>
        </w:rPr>
        <w:fldChar w:fldCharType="begin"/>
      </w:r>
      <w:r>
        <w:rPr>
          <w:rFonts w:eastAsia="仿宋_GB2312"/>
          <w:sz w:val="32"/>
          <w:szCs w:val="44"/>
        </w:rPr>
        <w:instrText xml:space="preserve"> HYPERLINK \l _Toc875010534 </w:instrText>
      </w:r>
      <w:r>
        <w:rPr>
          <w:rFonts w:eastAsia="仿宋_GB2312"/>
          <w:sz w:val="32"/>
          <w:szCs w:val="44"/>
        </w:rPr>
        <w:fldChar w:fldCharType="separate"/>
      </w:r>
      <w:r>
        <w:rPr>
          <w:rFonts w:hint="eastAsia" w:ascii="楷体_GB2312" w:hAnsi="楷体_GB2312" w:eastAsia="仿宋_GB2312" w:cs="楷体_GB2312"/>
          <w:bCs w:val="0"/>
          <w:kern w:val="2"/>
          <w:sz w:val="32"/>
          <w:szCs w:val="32"/>
          <w:lang w:val="en-US" w:eastAsia="zh-CN" w:bidi="ar-SA"/>
        </w:rPr>
        <w:t>（二）一般公共预算当年拨款结构情况。</w:t>
      </w:r>
      <w:r>
        <w:rPr>
          <w:rFonts w:eastAsia="仿宋_GB2312"/>
          <w:sz w:val="32"/>
        </w:rPr>
        <w:tab/>
      </w:r>
      <w:r>
        <w:rPr>
          <w:rFonts w:eastAsia="仿宋_GB2312"/>
          <w:sz w:val="32"/>
        </w:rPr>
        <w:fldChar w:fldCharType="begin"/>
      </w:r>
      <w:r>
        <w:rPr>
          <w:rFonts w:eastAsia="仿宋_GB2312"/>
          <w:sz w:val="32"/>
        </w:rPr>
        <w:instrText xml:space="preserve"> PAGEREF _Toc875010534 \h </w:instrText>
      </w:r>
      <w:r>
        <w:rPr>
          <w:rFonts w:eastAsia="仿宋_GB2312"/>
          <w:sz w:val="32"/>
        </w:rPr>
        <w:fldChar w:fldCharType="separate"/>
      </w:r>
      <w:r>
        <w:rPr>
          <w:rFonts w:eastAsia="仿宋_GB2312"/>
          <w:sz w:val="32"/>
        </w:rPr>
        <w:t>- 7 -</w:t>
      </w:r>
      <w:r>
        <w:rPr>
          <w:rFonts w:eastAsia="仿宋_GB2312"/>
          <w:sz w:val="32"/>
        </w:rPr>
        <w:fldChar w:fldCharType="end"/>
      </w:r>
      <w:r>
        <w:rPr>
          <w:rFonts w:eastAsia="仿宋_GB2312"/>
          <w:sz w:val="32"/>
          <w:szCs w:val="44"/>
          <w:u w:val="single"/>
        </w:rPr>
        <w:fldChar w:fldCharType="end"/>
      </w:r>
    </w:p>
    <w:p w14:paraId="24335551">
      <w:pPr>
        <w:pStyle w:val="8"/>
        <w:keepNext w:val="0"/>
        <w:keepLines w:val="0"/>
        <w:pageBreakBefore w:val="0"/>
        <w:widowControl w:val="0"/>
        <w:tabs>
          <w:tab w:val="right" w:leader="dot" w:pos="8266"/>
        </w:tabs>
        <w:kinsoku/>
        <w:wordWrap/>
        <w:overflowPunct/>
        <w:topLinePunct w:val="0"/>
        <w:autoSpaceDE/>
        <w:autoSpaceDN/>
        <w:bidi w:val="0"/>
        <w:adjustRightInd/>
        <w:snapToGrid/>
        <w:spacing w:line="600" w:lineRule="exact"/>
        <w:textAlignment w:val="auto"/>
        <w:rPr>
          <w:rFonts w:eastAsia="仿宋_GB2312"/>
          <w:sz w:val="32"/>
        </w:rPr>
      </w:pPr>
      <w:r>
        <w:rPr>
          <w:rFonts w:eastAsia="仿宋_GB2312"/>
          <w:sz w:val="32"/>
          <w:szCs w:val="44"/>
          <w:u w:val="single"/>
        </w:rPr>
        <w:fldChar w:fldCharType="begin"/>
      </w:r>
      <w:r>
        <w:rPr>
          <w:rFonts w:eastAsia="仿宋_GB2312"/>
          <w:sz w:val="32"/>
          <w:szCs w:val="44"/>
        </w:rPr>
        <w:instrText xml:space="preserve"> HYPERLINK \l _Toc1005106313 </w:instrText>
      </w:r>
      <w:r>
        <w:rPr>
          <w:rFonts w:eastAsia="仿宋_GB2312"/>
          <w:sz w:val="32"/>
          <w:szCs w:val="44"/>
        </w:rPr>
        <w:fldChar w:fldCharType="separate"/>
      </w:r>
      <w:r>
        <w:rPr>
          <w:rFonts w:hint="eastAsia" w:ascii="楷体_GB2312" w:hAnsi="楷体_GB2312" w:eastAsia="仿宋_GB2312" w:cs="楷体_GB2312"/>
          <w:bCs w:val="0"/>
          <w:kern w:val="2"/>
          <w:sz w:val="32"/>
          <w:szCs w:val="32"/>
          <w:lang w:val="en-US" w:eastAsia="zh-CN" w:bidi="ar-SA"/>
        </w:rPr>
        <w:t>（三）一般公共预算当年拨款具体使用情况。</w:t>
      </w:r>
      <w:r>
        <w:rPr>
          <w:rFonts w:eastAsia="仿宋_GB2312"/>
          <w:sz w:val="32"/>
        </w:rPr>
        <w:tab/>
      </w:r>
      <w:r>
        <w:rPr>
          <w:rFonts w:eastAsia="仿宋_GB2312"/>
          <w:sz w:val="32"/>
        </w:rPr>
        <w:fldChar w:fldCharType="begin"/>
      </w:r>
      <w:r>
        <w:rPr>
          <w:rFonts w:eastAsia="仿宋_GB2312"/>
          <w:sz w:val="32"/>
        </w:rPr>
        <w:instrText xml:space="preserve"> PAGEREF _Toc1005106313 \h </w:instrText>
      </w:r>
      <w:r>
        <w:rPr>
          <w:rFonts w:eastAsia="仿宋_GB2312"/>
          <w:sz w:val="32"/>
        </w:rPr>
        <w:fldChar w:fldCharType="separate"/>
      </w:r>
      <w:r>
        <w:rPr>
          <w:rFonts w:eastAsia="仿宋_GB2312"/>
          <w:sz w:val="32"/>
        </w:rPr>
        <w:t>- 7 -</w:t>
      </w:r>
      <w:r>
        <w:rPr>
          <w:rFonts w:eastAsia="仿宋_GB2312"/>
          <w:sz w:val="32"/>
        </w:rPr>
        <w:fldChar w:fldCharType="end"/>
      </w:r>
      <w:r>
        <w:rPr>
          <w:rFonts w:eastAsia="仿宋_GB2312"/>
          <w:sz w:val="32"/>
          <w:szCs w:val="44"/>
          <w:u w:val="single"/>
        </w:rPr>
        <w:fldChar w:fldCharType="end"/>
      </w:r>
    </w:p>
    <w:p w14:paraId="4776256A">
      <w:pPr>
        <w:pStyle w:val="5"/>
        <w:keepNext w:val="0"/>
        <w:keepLines w:val="0"/>
        <w:pageBreakBefore w:val="0"/>
        <w:widowControl w:val="0"/>
        <w:tabs>
          <w:tab w:val="right" w:leader="dot" w:pos="8266"/>
        </w:tabs>
        <w:kinsoku/>
        <w:wordWrap/>
        <w:overflowPunct/>
        <w:topLinePunct w:val="0"/>
        <w:autoSpaceDE/>
        <w:autoSpaceDN/>
        <w:bidi w:val="0"/>
        <w:adjustRightInd/>
        <w:snapToGrid/>
        <w:spacing w:line="600" w:lineRule="exact"/>
        <w:textAlignment w:val="auto"/>
        <w:rPr>
          <w:rFonts w:eastAsia="仿宋_GB2312"/>
          <w:sz w:val="32"/>
        </w:rPr>
      </w:pPr>
      <w:r>
        <w:rPr>
          <w:rFonts w:eastAsia="仿宋_GB2312"/>
          <w:sz w:val="32"/>
          <w:szCs w:val="44"/>
          <w:u w:val="single"/>
        </w:rPr>
        <w:fldChar w:fldCharType="begin"/>
      </w:r>
      <w:r>
        <w:rPr>
          <w:rFonts w:eastAsia="仿宋_GB2312"/>
          <w:sz w:val="32"/>
          <w:szCs w:val="44"/>
        </w:rPr>
        <w:instrText xml:space="preserve"> HYPERLINK \l _Toc1130873884 </w:instrText>
      </w:r>
      <w:r>
        <w:rPr>
          <w:rFonts w:eastAsia="仿宋_GB2312"/>
          <w:sz w:val="32"/>
          <w:szCs w:val="44"/>
        </w:rPr>
        <w:fldChar w:fldCharType="separate"/>
      </w:r>
      <w:r>
        <w:rPr>
          <w:rFonts w:eastAsia="仿宋_GB2312"/>
          <w:sz w:val="32"/>
        </w:rPr>
        <w:t>六、一般公共预算基本支出情况说明</w:t>
      </w:r>
      <w:r>
        <w:rPr>
          <w:rFonts w:eastAsia="仿宋_GB2312"/>
          <w:sz w:val="32"/>
        </w:rPr>
        <w:tab/>
      </w:r>
      <w:r>
        <w:rPr>
          <w:rFonts w:eastAsia="仿宋_GB2312"/>
          <w:sz w:val="32"/>
        </w:rPr>
        <w:fldChar w:fldCharType="begin"/>
      </w:r>
      <w:r>
        <w:rPr>
          <w:rFonts w:eastAsia="仿宋_GB2312"/>
          <w:sz w:val="32"/>
        </w:rPr>
        <w:instrText xml:space="preserve"> PAGEREF _Toc1130873884 \h </w:instrText>
      </w:r>
      <w:r>
        <w:rPr>
          <w:rFonts w:eastAsia="仿宋_GB2312"/>
          <w:sz w:val="32"/>
        </w:rPr>
        <w:fldChar w:fldCharType="separate"/>
      </w:r>
      <w:r>
        <w:rPr>
          <w:rFonts w:eastAsia="仿宋_GB2312"/>
          <w:sz w:val="32"/>
        </w:rPr>
        <w:t>- 8 -</w:t>
      </w:r>
      <w:r>
        <w:rPr>
          <w:rFonts w:eastAsia="仿宋_GB2312"/>
          <w:sz w:val="32"/>
        </w:rPr>
        <w:fldChar w:fldCharType="end"/>
      </w:r>
      <w:r>
        <w:rPr>
          <w:rFonts w:eastAsia="仿宋_GB2312"/>
          <w:sz w:val="32"/>
          <w:szCs w:val="44"/>
          <w:u w:val="single"/>
        </w:rPr>
        <w:fldChar w:fldCharType="end"/>
      </w:r>
    </w:p>
    <w:p w14:paraId="24619B19">
      <w:pPr>
        <w:pStyle w:val="5"/>
        <w:keepNext w:val="0"/>
        <w:keepLines w:val="0"/>
        <w:pageBreakBefore w:val="0"/>
        <w:widowControl w:val="0"/>
        <w:tabs>
          <w:tab w:val="right" w:leader="dot" w:pos="8266"/>
        </w:tabs>
        <w:kinsoku/>
        <w:wordWrap/>
        <w:overflowPunct/>
        <w:topLinePunct w:val="0"/>
        <w:autoSpaceDE/>
        <w:autoSpaceDN/>
        <w:bidi w:val="0"/>
        <w:adjustRightInd/>
        <w:snapToGrid/>
        <w:spacing w:line="600" w:lineRule="exact"/>
        <w:textAlignment w:val="auto"/>
        <w:rPr>
          <w:rFonts w:eastAsia="仿宋_GB2312"/>
          <w:sz w:val="32"/>
        </w:rPr>
      </w:pPr>
      <w:r>
        <w:rPr>
          <w:rFonts w:eastAsia="仿宋_GB2312"/>
          <w:sz w:val="32"/>
          <w:szCs w:val="44"/>
          <w:u w:val="single"/>
        </w:rPr>
        <w:fldChar w:fldCharType="begin"/>
      </w:r>
      <w:r>
        <w:rPr>
          <w:rFonts w:eastAsia="仿宋_GB2312"/>
          <w:sz w:val="32"/>
          <w:szCs w:val="44"/>
        </w:rPr>
        <w:instrText xml:space="preserve"> HYPERLINK \l _Toc1122482368 </w:instrText>
      </w:r>
      <w:r>
        <w:rPr>
          <w:rFonts w:eastAsia="仿宋_GB2312"/>
          <w:sz w:val="32"/>
          <w:szCs w:val="44"/>
        </w:rPr>
        <w:fldChar w:fldCharType="separate"/>
      </w:r>
      <w:r>
        <w:rPr>
          <w:rFonts w:eastAsia="仿宋_GB2312"/>
          <w:sz w:val="32"/>
        </w:rPr>
        <w:t>七、“三公”经费财政拨款预算安排情况说明</w:t>
      </w:r>
      <w:r>
        <w:rPr>
          <w:rFonts w:eastAsia="仿宋_GB2312"/>
          <w:sz w:val="32"/>
        </w:rPr>
        <w:tab/>
      </w:r>
      <w:r>
        <w:rPr>
          <w:rFonts w:eastAsia="仿宋_GB2312"/>
          <w:sz w:val="32"/>
        </w:rPr>
        <w:fldChar w:fldCharType="begin"/>
      </w:r>
      <w:r>
        <w:rPr>
          <w:rFonts w:eastAsia="仿宋_GB2312"/>
          <w:sz w:val="32"/>
        </w:rPr>
        <w:instrText xml:space="preserve"> PAGEREF _Toc1122482368 \h </w:instrText>
      </w:r>
      <w:r>
        <w:rPr>
          <w:rFonts w:eastAsia="仿宋_GB2312"/>
          <w:sz w:val="32"/>
        </w:rPr>
        <w:fldChar w:fldCharType="separate"/>
      </w:r>
      <w:r>
        <w:rPr>
          <w:rFonts w:eastAsia="仿宋_GB2312"/>
          <w:sz w:val="32"/>
        </w:rPr>
        <w:t>- 8 -</w:t>
      </w:r>
      <w:r>
        <w:rPr>
          <w:rFonts w:eastAsia="仿宋_GB2312"/>
          <w:sz w:val="32"/>
        </w:rPr>
        <w:fldChar w:fldCharType="end"/>
      </w:r>
      <w:r>
        <w:rPr>
          <w:rFonts w:eastAsia="仿宋_GB2312"/>
          <w:sz w:val="32"/>
          <w:szCs w:val="44"/>
          <w:u w:val="single"/>
        </w:rPr>
        <w:fldChar w:fldCharType="end"/>
      </w:r>
    </w:p>
    <w:p w14:paraId="4B4BC1E7">
      <w:pPr>
        <w:pStyle w:val="5"/>
        <w:keepNext w:val="0"/>
        <w:keepLines w:val="0"/>
        <w:pageBreakBefore w:val="0"/>
        <w:widowControl w:val="0"/>
        <w:tabs>
          <w:tab w:val="right" w:leader="dot" w:pos="8266"/>
        </w:tabs>
        <w:kinsoku/>
        <w:wordWrap/>
        <w:overflowPunct/>
        <w:topLinePunct w:val="0"/>
        <w:autoSpaceDE/>
        <w:autoSpaceDN/>
        <w:bidi w:val="0"/>
        <w:adjustRightInd/>
        <w:snapToGrid/>
        <w:spacing w:line="600" w:lineRule="exact"/>
        <w:textAlignment w:val="auto"/>
        <w:rPr>
          <w:rFonts w:eastAsia="仿宋_GB2312"/>
          <w:sz w:val="32"/>
        </w:rPr>
      </w:pPr>
      <w:r>
        <w:rPr>
          <w:rFonts w:eastAsia="仿宋_GB2312"/>
          <w:sz w:val="32"/>
          <w:szCs w:val="44"/>
          <w:u w:val="single"/>
        </w:rPr>
        <w:fldChar w:fldCharType="begin"/>
      </w:r>
      <w:r>
        <w:rPr>
          <w:rFonts w:eastAsia="仿宋_GB2312"/>
          <w:sz w:val="32"/>
          <w:szCs w:val="44"/>
        </w:rPr>
        <w:instrText xml:space="preserve"> HYPERLINK \l _Toc1663175508 </w:instrText>
      </w:r>
      <w:r>
        <w:rPr>
          <w:rFonts w:eastAsia="仿宋_GB2312"/>
          <w:sz w:val="32"/>
          <w:szCs w:val="44"/>
        </w:rPr>
        <w:fldChar w:fldCharType="separate"/>
      </w:r>
      <w:r>
        <w:rPr>
          <w:rFonts w:hint="eastAsia" w:eastAsia="仿宋_GB2312"/>
          <w:sz w:val="32"/>
        </w:rPr>
        <w:t>八、“三公”经费非财政拨款预算安排情况说明</w:t>
      </w:r>
      <w:r>
        <w:rPr>
          <w:rFonts w:eastAsia="仿宋_GB2312"/>
          <w:sz w:val="32"/>
        </w:rPr>
        <w:tab/>
      </w:r>
      <w:r>
        <w:rPr>
          <w:rFonts w:eastAsia="仿宋_GB2312"/>
          <w:sz w:val="32"/>
        </w:rPr>
        <w:fldChar w:fldCharType="begin"/>
      </w:r>
      <w:r>
        <w:rPr>
          <w:rFonts w:eastAsia="仿宋_GB2312"/>
          <w:sz w:val="32"/>
        </w:rPr>
        <w:instrText xml:space="preserve"> PAGEREF _Toc1663175508 \h </w:instrText>
      </w:r>
      <w:r>
        <w:rPr>
          <w:rFonts w:eastAsia="仿宋_GB2312"/>
          <w:sz w:val="32"/>
        </w:rPr>
        <w:fldChar w:fldCharType="separate"/>
      </w:r>
      <w:r>
        <w:rPr>
          <w:rFonts w:eastAsia="仿宋_GB2312"/>
          <w:sz w:val="32"/>
        </w:rPr>
        <w:t>- 9 -</w:t>
      </w:r>
      <w:r>
        <w:rPr>
          <w:rFonts w:eastAsia="仿宋_GB2312"/>
          <w:sz w:val="32"/>
        </w:rPr>
        <w:fldChar w:fldCharType="end"/>
      </w:r>
      <w:r>
        <w:rPr>
          <w:rFonts w:eastAsia="仿宋_GB2312"/>
          <w:sz w:val="32"/>
          <w:szCs w:val="44"/>
          <w:u w:val="single"/>
        </w:rPr>
        <w:fldChar w:fldCharType="end"/>
      </w:r>
    </w:p>
    <w:p w14:paraId="721BBF88">
      <w:pPr>
        <w:pStyle w:val="5"/>
        <w:keepNext w:val="0"/>
        <w:keepLines w:val="0"/>
        <w:pageBreakBefore w:val="0"/>
        <w:widowControl w:val="0"/>
        <w:tabs>
          <w:tab w:val="right" w:leader="dot" w:pos="8266"/>
        </w:tabs>
        <w:kinsoku/>
        <w:wordWrap/>
        <w:overflowPunct/>
        <w:topLinePunct w:val="0"/>
        <w:autoSpaceDE/>
        <w:autoSpaceDN/>
        <w:bidi w:val="0"/>
        <w:adjustRightInd/>
        <w:snapToGrid/>
        <w:spacing w:line="600" w:lineRule="exact"/>
        <w:textAlignment w:val="auto"/>
        <w:rPr>
          <w:rFonts w:eastAsia="仿宋_GB2312"/>
          <w:sz w:val="32"/>
        </w:rPr>
      </w:pPr>
      <w:r>
        <w:rPr>
          <w:rFonts w:eastAsia="仿宋_GB2312"/>
          <w:sz w:val="32"/>
          <w:szCs w:val="44"/>
          <w:u w:val="single"/>
        </w:rPr>
        <w:fldChar w:fldCharType="begin"/>
      </w:r>
      <w:r>
        <w:rPr>
          <w:rFonts w:eastAsia="仿宋_GB2312"/>
          <w:sz w:val="32"/>
          <w:szCs w:val="44"/>
        </w:rPr>
        <w:instrText xml:space="preserve"> HYPERLINK \l _Toc164004221 </w:instrText>
      </w:r>
      <w:r>
        <w:rPr>
          <w:rFonts w:eastAsia="仿宋_GB2312"/>
          <w:sz w:val="32"/>
          <w:szCs w:val="44"/>
        </w:rPr>
        <w:fldChar w:fldCharType="separate"/>
      </w:r>
      <w:r>
        <w:rPr>
          <w:rFonts w:hint="eastAsia" w:eastAsia="仿宋_GB2312"/>
          <w:sz w:val="32"/>
        </w:rPr>
        <w:t>九、政府性基金预算支出情况说明</w:t>
      </w:r>
      <w:r>
        <w:rPr>
          <w:rFonts w:eastAsia="仿宋_GB2312"/>
          <w:sz w:val="32"/>
        </w:rPr>
        <w:tab/>
      </w:r>
      <w:r>
        <w:rPr>
          <w:rFonts w:eastAsia="仿宋_GB2312"/>
          <w:sz w:val="32"/>
        </w:rPr>
        <w:fldChar w:fldCharType="begin"/>
      </w:r>
      <w:r>
        <w:rPr>
          <w:rFonts w:eastAsia="仿宋_GB2312"/>
          <w:sz w:val="32"/>
        </w:rPr>
        <w:instrText xml:space="preserve"> PAGEREF _Toc164004221 \h </w:instrText>
      </w:r>
      <w:r>
        <w:rPr>
          <w:rFonts w:eastAsia="仿宋_GB2312"/>
          <w:sz w:val="32"/>
        </w:rPr>
        <w:fldChar w:fldCharType="separate"/>
      </w:r>
      <w:r>
        <w:rPr>
          <w:rFonts w:eastAsia="仿宋_GB2312"/>
          <w:sz w:val="32"/>
        </w:rPr>
        <w:t>- 10 -</w:t>
      </w:r>
      <w:r>
        <w:rPr>
          <w:rFonts w:eastAsia="仿宋_GB2312"/>
          <w:sz w:val="32"/>
        </w:rPr>
        <w:fldChar w:fldCharType="end"/>
      </w:r>
      <w:r>
        <w:rPr>
          <w:rFonts w:eastAsia="仿宋_GB2312"/>
          <w:sz w:val="32"/>
          <w:szCs w:val="44"/>
          <w:u w:val="single"/>
        </w:rPr>
        <w:fldChar w:fldCharType="end"/>
      </w:r>
    </w:p>
    <w:p w14:paraId="1A5A405D">
      <w:pPr>
        <w:pStyle w:val="5"/>
        <w:keepNext w:val="0"/>
        <w:keepLines w:val="0"/>
        <w:pageBreakBefore w:val="0"/>
        <w:widowControl w:val="0"/>
        <w:tabs>
          <w:tab w:val="right" w:leader="dot" w:pos="8266"/>
        </w:tabs>
        <w:kinsoku/>
        <w:wordWrap/>
        <w:overflowPunct/>
        <w:topLinePunct w:val="0"/>
        <w:autoSpaceDE/>
        <w:autoSpaceDN/>
        <w:bidi w:val="0"/>
        <w:adjustRightInd/>
        <w:snapToGrid/>
        <w:spacing w:line="600" w:lineRule="exact"/>
        <w:textAlignment w:val="auto"/>
        <w:rPr>
          <w:rFonts w:eastAsia="仿宋_GB2312"/>
          <w:sz w:val="32"/>
        </w:rPr>
      </w:pPr>
      <w:r>
        <w:rPr>
          <w:rFonts w:eastAsia="仿宋_GB2312"/>
          <w:sz w:val="32"/>
          <w:szCs w:val="44"/>
          <w:u w:val="single"/>
        </w:rPr>
        <w:fldChar w:fldCharType="begin"/>
      </w:r>
      <w:r>
        <w:rPr>
          <w:rFonts w:eastAsia="仿宋_GB2312"/>
          <w:sz w:val="32"/>
          <w:szCs w:val="44"/>
        </w:rPr>
        <w:instrText xml:space="preserve"> HYPERLINK \l _Toc1095473487 </w:instrText>
      </w:r>
      <w:r>
        <w:rPr>
          <w:rFonts w:eastAsia="仿宋_GB2312"/>
          <w:sz w:val="32"/>
          <w:szCs w:val="44"/>
        </w:rPr>
        <w:fldChar w:fldCharType="separate"/>
      </w:r>
      <w:r>
        <w:rPr>
          <w:rFonts w:hint="eastAsia" w:eastAsia="仿宋_GB2312"/>
          <w:sz w:val="32"/>
        </w:rPr>
        <w:t>十、国有资本经营预算情况说明</w:t>
      </w:r>
      <w:r>
        <w:rPr>
          <w:rFonts w:eastAsia="仿宋_GB2312"/>
          <w:sz w:val="32"/>
        </w:rPr>
        <w:tab/>
      </w:r>
      <w:r>
        <w:rPr>
          <w:rFonts w:eastAsia="仿宋_GB2312"/>
          <w:sz w:val="32"/>
        </w:rPr>
        <w:fldChar w:fldCharType="begin"/>
      </w:r>
      <w:r>
        <w:rPr>
          <w:rFonts w:eastAsia="仿宋_GB2312"/>
          <w:sz w:val="32"/>
        </w:rPr>
        <w:instrText xml:space="preserve"> PAGEREF _Toc1095473487 \h </w:instrText>
      </w:r>
      <w:r>
        <w:rPr>
          <w:rFonts w:eastAsia="仿宋_GB2312"/>
          <w:sz w:val="32"/>
        </w:rPr>
        <w:fldChar w:fldCharType="separate"/>
      </w:r>
      <w:r>
        <w:rPr>
          <w:rFonts w:eastAsia="仿宋_GB2312"/>
          <w:sz w:val="32"/>
        </w:rPr>
        <w:t>- 10 -</w:t>
      </w:r>
      <w:r>
        <w:rPr>
          <w:rFonts w:eastAsia="仿宋_GB2312"/>
          <w:sz w:val="32"/>
        </w:rPr>
        <w:fldChar w:fldCharType="end"/>
      </w:r>
      <w:r>
        <w:rPr>
          <w:rFonts w:eastAsia="仿宋_GB2312"/>
          <w:sz w:val="32"/>
          <w:szCs w:val="44"/>
          <w:u w:val="single"/>
        </w:rPr>
        <w:fldChar w:fldCharType="end"/>
      </w:r>
    </w:p>
    <w:p w14:paraId="3BA79B9B">
      <w:pPr>
        <w:pStyle w:val="5"/>
        <w:keepNext w:val="0"/>
        <w:keepLines w:val="0"/>
        <w:pageBreakBefore w:val="0"/>
        <w:widowControl w:val="0"/>
        <w:tabs>
          <w:tab w:val="right" w:leader="dot" w:pos="8266"/>
        </w:tabs>
        <w:kinsoku/>
        <w:wordWrap/>
        <w:overflowPunct/>
        <w:topLinePunct w:val="0"/>
        <w:autoSpaceDE/>
        <w:autoSpaceDN/>
        <w:bidi w:val="0"/>
        <w:adjustRightInd/>
        <w:snapToGrid/>
        <w:spacing w:line="600" w:lineRule="exact"/>
        <w:textAlignment w:val="auto"/>
        <w:rPr>
          <w:rFonts w:eastAsia="仿宋_GB2312"/>
          <w:sz w:val="32"/>
        </w:rPr>
      </w:pPr>
      <w:r>
        <w:rPr>
          <w:rFonts w:eastAsia="仿宋_GB2312"/>
          <w:sz w:val="32"/>
          <w:szCs w:val="44"/>
          <w:u w:val="single"/>
        </w:rPr>
        <w:fldChar w:fldCharType="begin"/>
      </w:r>
      <w:r>
        <w:rPr>
          <w:rFonts w:eastAsia="仿宋_GB2312"/>
          <w:sz w:val="32"/>
          <w:szCs w:val="44"/>
        </w:rPr>
        <w:instrText xml:space="preserve"> HYPERLINK \l _Toc1496072082 </w:instrText>
      </w:r>
      <w:r>
        <w:rPr>
          <w:rFonts w:eastAsia="仿宋_GB2312"/>
          <w:sz w:val="32"/>
          <w:szCs w:val="44"/>
        </w:rPr>
        <w:fldChar w:fldCharType="separate"/>
      </w:r>
      <w:r>
        <w:rPr>
          <w:rFonts w:hint="eastAsia" w:eastAsia="仿宋_GB2312"/>
          <w:sz w:val="32"/>
        </w:rPr>
        <w:t>十一、其他重要事项的情况说明</w:t>
      </w:r>
      <w:r>
        <w:rPr>
          <w:rFonts w:eastAsia="仿宋_GB2312"/>
          <w:sz w:val="32"/>
        </w:rPr>
        <w:tab/>
      </w:r>
      <w:r>
        <w:rPr>
          <w:rFonts w:eastAsia="仿宋_GB2312"/>
          <w:sz w:val="32"/>
        </w:rPr>
        <w:fldChar w:fldCharType="begin"/>
      </w:r>
      <w:r>
        <w:rPr>
          <w:rFonts w:eastAsia="仿宋_GB2312"/>
          <w:sz w:val="32"/>
        </w:rPr>
        <w:instrText xml:space="preserve"> PAGEREF _Toc1496072082 \h </w:instrText>
      </w:r>
      <w:r>
        <w:rPr>
          <w:rFonts w:eastAsia="仿宋_GB2312"/>
          <w:sz w:val="32"/>
        </w:rPr>
        <w:fldChar w:fldCharType="separate"/>
      </w:r>
      <w:r>
        <w:rPr>
          <w:rFonts w:eastAsia="仿宋_GB2312"/>
          <w:sz w:val="32"/>
        </w:rPr>
        <w:t>- 10 -</w:t>
      </w:r>
      <w:r>
        <w:rPr>
          <w:rFonts w:eastAsia="仿宋_GB2312"/>
          <w:sz w:val="32"/>
        </w:rPr>
        <w:fldChar w:fldCharType="end"/>
      </w:r>
      <w:r>
        <w:rPr>
          <w:rFonts w:eastAsia="仿宋_GB2312"/>
          <w:sz w:val="32"/>
          <w:szCs w:val="44"/>
          <w:u w:val="single"/>
        </w:rPr>
        <w:fldChar w:fldCharType="end"/>
      </w:r>
    </w:p>
    <w:p w14:paraId="57A35C26">
      <w:pPr>
        <w:pStyle w:val="8"/>
        <w:keepNext w:val="0"/>
        <w:keepLines w:val="0"/>
        <w:pageBreakBefore w:val="0"/>
        <w:widowControl w:val="0"/>
        <w:tabs>
          <w:tab w:val="right" w:leader="dot" w:pos="8266"/>
        </w:tabs>
        <w:kinsoku/>
        <w:wordWrap/>
        <w:overflowPunct/>
        <w:topLinePunct w:val="0"/>
        <w:autoSpaceDE/>
        <w:autoSpaceDN/>
        <w:bidi w:val="0"/>
        <w:adjustRightInd/>
        <w:snapToGrid/>
        <w:spacing w:line="600" w:lineRule="exact"/>
        <w:textAlignment w:val="auto"/>
        <w:rPr>
          <w:rFonts w:eastAsia="仿宋_GB2312"/>
          <w:sz w:val="32"/>
        </w:rPr>
      </w:pPr>
      <w:r>
        <w:rPr>
          <w:rFonts w:eastAsia="仿宋_GB2312"/>
          <w:sz w:val="32"/>
          <w:szCs w:val="44"/>
          <w:u w:val="single"/>
        </w:rPr>
        <w:fldChar w:fldCharType="begin"/>
      </w:r>
      <w:r>
        <w:rPr>
          <w:rFonts w:eastAsia="仿宋_GB2312"/>
          <w:sz w:val="32"/>
          <w:szCs w:val="44"/>
        </w:rPr>
        <w:instrText xml:space="preserve"> HYPERLINK \l _Toc933369775 </w:instrText>
      </w:r>
      <w:r>
        <w:rPr>
          <w:rFonts w:eastAsia="仿宋_GB2312"/>
          <w:sz w:val="32"/>
          <w:szCs w:val="44"/>
        </w:rPr>
        <w:fldChar w:fldCharType="separate"/>
      </w:r>
      <w:r>
        <w:rPr>
          <w:rFonts w:hint="eastAsia" w:ascii="楷体_GB2312" w:hAnsi="楷体_GB2312" w:eastAsia="仿宋_GB2312" w:cs="楷体_GB2312"/>
          <w:bCs w:val="0"/>
          <w:kern w:val="2"/>
          <w:sz w:val="32"/>
          <w:szCs w:val="32"/>
          <w:lang w:val="en-US" w:eastAsia="zh-CN" w:bidi="ar-SA"/>
        </w:rPr>
        <w:t>（一）机关运行经费。</w:t>
      </w:r>
      <w:r>
        <w:rPr>
          <w:rFonts w:eastAsia="仿宋_GB2312"/>
          <w:sz w:val="32"/>
        </w:rPr>
        <w:tab/>
      </w:r>
      <w:r>
        <w:rPr>
          <w:rFonts w:eastAsia="仿宋_GB2312"/>
          <w:sz w:val="32"/>
        </w:rPr>
        <w:fldChar w:fldCharType="begin"/>
      </w:r>
      <w:r>
        <w:rPr>
          <w:rFonts w:eastAsia="仿宋_GB2312"/>
          <w:sz w:val="32"/>
        </w:rPr>
        <w:instrText xml:space="preserve"> PAGEREF _Toc933369775 \h </w:instrText>
      </w:r>
      <w:r>
        <w:rPr>
          <w:rFonts w:eastAsia="仿宋_GB2312"/>
          <w:sz w:val="32"/>
        </w:rPr>
        <w:fldChar w:fldCharType="separate"/>
      </w:r>
      <w:r>
        <w:rPr>
          <w:rFonts w:eastAsia="仿宋_GB2312"/>
          <w:sz w:val="32"/>
        </w:rPr>
        <w:t>- 10 -</w:t>
      </w:r>
      <w:r>
        <w:rPr>
          <w:rFonts w:eastAsia="仿宋_GB2312"/>
          <w:sz w:val="32"/>
        </w:rPr>
        <w:fldChar w:fldCharType="end"/>
      </w:r>
      <w:r>
        <w:rPr>
          <w:rFonts w:eastAsia="仿宋_GB2312"/>
          <w:sz w:val="32"/>
          <w:szCs w:val="44"/>
          <w:u w:val="single"/>
        </w:rPr>
        <w:fldChar w:fldCharType="end"/>
      </w:r>
    </w:p>
    <w:p w14:paraId="73BD6B09">
      <w:pPr>
        <w:pStyle w:val="8"/>
        <w:keepNext w:val="0"/>
        <w:keepLines w:val="0"/>
        <w:pageBreakBefore w:val="0"/>
        <w:widowControl w:val="0"/>
        <w:tabs>
          <w:tab w:val="right" w:leader="dot" w:pos="8266"/>
        </w:tabs>
        <w:kinsoku/>
        <w:wordWrap/>
        <w:overflowPunct/>
        <w:topLinePunct w:val="0"/>
        <w:autoSpaceDE/>
        <w:autoSpaceDN/>
        <w:bidi w:val="0"/>
        <w:adjustRightInd/>
        <w:snapToGrid/>
        <w:spacing w:line="600" w:lineRule="exact"/>
        <w:textAlignment w:val="auto"/>
        <w:rPr>
          <w:rFonts w:eastAsia="仿宋_GB2312"/>
          <w:sz w:val="32"/>
        </w:rPr>
      </w:pPr>
      <w:r>
        <w:rPr>
          <w:rFonts w:eastAsia="仿宋_GB2312"/>
          <w:sz w:val="32"/>
          <w:szCs w:val="44"/>
          <w:u w:val="single"/>
        </w:rPr>
        <w:fldChar w:fldCharType="begin"/>
      </w:r>
      <w:r>
        <w:rPr>
          <w:rFonts w:eastAsia="仿宋_GB2312"/>
          <w:sz w:val="32"/>
          <w:szCs w:val="44"/>
        </w:rPr>
        <w:instrText xml:space="preserve"> HYPERLINK \l _Toc1672420237 </w:instrText>
      </w:r>
      <w:r>
        <w:rPr>
          <w:rFonts w:eastAsia="仿宋_GB2312"/>
          <w:sz w:val="32"/>
          <w:szCs w:val="44"/>
        </w:rPr>
        <w:fldChar w:fldCharType="separate"/>
      </w:r>
      <w:r>
        <w:rPr>
          <w:rFonts w:hint="eastAsia" w:ascii="楷体_GB2312" w:hAnsi="楷体_GB2312" w:eastAsia="仿宋_GB2312" w:cs="楷体_GB2312"/>
          <w:bCs w:val="0"/>
          <w:kern w:val="2"/>
          <w:sz w:val="32"/>
          <w:szCs w:val="32"/>
          <w:lang w:val="en-US" w:eastAsia="zh-CN" w:bidi="ar-SA"/>
        </w:rPr>
        <w:t>（二）政府采购情况。</w:t>
      </w:r>
      <w:r>
        <w:rPr>
          <w:rFonts w:eastAsia="仿宋_GB2312"/>
          <w:sz w:val="32"/>
        </w:rPr>
        <w:tab/>
      </w:r>
      <w:r>
        <w:rPr>
          <w:rFonts w:eastAsia="仿宋_GB2312"/>
          <w:sz w:val="32"/>
        </w:rPr>
        <w:fldChar w:fldCharType="begin"/>
      </w:r>
      <w:r>
        <w:rPr>
          <w:rFonts w:eastAsia="仿宋_GB2312"/>
          <w:sz w:val="32"/>
        </w:rPr>
        <w:instrText xml:space="preserve"> PAGEREF _Toc1672420237 \h </w:instrText>
      </w:r>
      <w:r>
        <w:rPr>
          <w:rFonts w:eastAsia="仿宋_GB2312"/>
          <w:sz w:val="32"/>
        </w:rPr>
        <w:fldChar w:fldCharType="separate"/>
      </w:r>
      <w:r>
        <w:rPr>
          <w:rFonts w:eastAsia="仿宋_GB2312"/>
          <w:sz w:val="32"/>
        </w:rPr>
        <w:t>- 10 -</w:t>
      </w:r>
      <w:r>
        <w:rPr>
          <w:rFonts w:eastAsia="仿宋_GB2312"/>
          <w:sz w:val="32"/>
        </w:rPr>
        <w:fldChar w:fldCharType="end"/>
      </w:r>
      <w:r>
        <w:rPr>
          <w:rFonts w:eastAsia="仿宋_GB2312"/>
          <w:sz w:val="32"/>
          <w:szCs w:val="44"/>
          <w:u w:val="single"/>
        </w:rPr>
        <w:fldChar w:fldCharType="end"/>
      </w:r>
    </w:p>
    <w:p w14:paraId="3CAD08C3">
      <w:pPr>
        <w:pStyle w:val="8"/>
        <w:keepNext w:val="0"/>
        <w:keepLines w:val="0"/>
        <w:pageBreakBefore w:val="0"/>
        <w:widowControl w:val="0"/>
        <w:tabs>
          <w:tab w:val="right" w:leader="dot" w:pos="8266"/>
        </w:tabs>
        <w:kinsoku/>
        <w:wordWrap/>
        <w:overflowPunct/>
        <w:topLinePunct w:val="0"/>
        <w:autoSpaceDE/>
        <w:autoSpaceDN/>
        <w:bidi w:val="0"/>
        <w:adjustRightInd/>
        <w:snapToGrid/>
        <w:spacing w:line="600" w:lineRule="exact"/>
        <w:textAlignment w:val="auto"/>
        <w:rPr>
          <w:rFonts w:eastAsia="仿宋_GB2312"/>
          <w:sz w:val="32"/>
        </w:rPr>
      </w:pPr>
      <w:r>
        <w:rPr>
          <w:rFonts w:eastAsia="仿宋_GB2312"/>
          <w:sz w:val="32"/>
          <w:szCs w:val="44"/>
          <w:u w:val="single"/>
        </w:rPr>
        <w:fldChar w:fldCharType="begin"/>
      </w:r>
      <w:r>
        <w:rPr>
          <w:rFonts w:eastAsia="仿宋_GB2312"/>
          <w:sz w:val="32"/>
          <w:szCs w:val="44"/>
        </w:rPr>
        <w:instrText xml:space="preserve"> HYPERLINK \l _Toc1790375673 </w:instrText>
      </w:r>
      <w:r>
        <w:rPr>
          <w:rFonts w:eastAsia="仿宋_GB2312"/>
          <w:sz w:val="32"/>
          <w:szCs w:val="44"/>
        </w:rPr>
        <w:fldChar w:fldCharType="separate"/>
      </w:r>
      <w:r>
        <w:rPr>
          <w:rFonts w:hint="eastAsia" w:ascii="楷体_GB2312" w:hAnsi="楷体_GB2312" w:eastAsia="仿宋_GB2312" w:cs="楷体_GB2312"/>
          <w:bCs w:val="0"/>
          <w:kern w:val="2"/>
          <w:sz w:val="32"/>
          <w:szCs w:val="32"/>
          <w:lang w:val="en-US" w:eastAsia="zh-CN" w:bidi="ar-SA"/>
        </w:rPr>
        <w:t>（三）国有资产占有使用情况。</w:t>
      </w:r>
      <w:r>
        <w:rPr>
          <w:rFonts w:eastAsia="仿宋_GB2312"/>
          <w:sz w:val="32"/>
        </w:rPr>
        <w:tab/>
      </w:r>
      <w:r>
        <w:rPr>
          <w:rFonts w:eastAsia="仿宋_GB2312"/>
          <w:sz w:val="32"/>
        </w:rPr>
        <w:fldChar w:fldCharType="begin"/>
      </w:r>
      <w:r>
        <w:rPr>
          <w:rFonts w:eastAsia="仿宋_GB2312"/>
          <w:sz w:val="32"/>
        </w:rPr>
        <w:instrText xml:space="preserve"> PAGEREF _Toc1790375673 \h </w:instrText>
      </w:r>
      <w:r>
        <w:rPr>
          <w:rFonts w:eastAsia="仿宋_GB2312"/>
          <w:sz w:val="32"/>
        </w:rPr>
        <w:fldChar w:fldCharType="separate"/>
      </w:r>
      <w:r>
        <w:rPr>
          <w:rFonts w:eastAsia="仿宋_GB2312"/>
          <w:sz w:val="32"/>
        </w:rPr>
        <w:t>- 10 -</w:t>
      </w:r>
      <w:r>
        <w:rPr>
          <w:rFonts w:eastAsia="仿宋_GB2312"/>
          <w:sz w:val="32"/>
        </w:rPr>
        <w:fldChar w:fldCharType="end"/>
      </w:r>
      <w:r>
        <w:rPr>
          <w:rFonts w:eastAsia="仿宋_GB2312"/>
          <w:sz w:val="32"/>
          <w:szCs w:val="44"/>
          <w:u w:val="single"/>
        </w:rPr>
        <w:fldChar w:fldCharType="end"/>
      </w:r>
    </w:p>
    <w:p w14:paraId="04BC67E8">
      <w:pPr>
        <w:pStyle w:val="8"/>
        <w:keepNext w:val="0"/>
        <w:keepLines w:val="0"/>
        <w:pageBreakBefore w:val="0"/>
        <w:widowControl w:val="0"/>
        <w:tabs>
          <w:tab w:val="right" w:leader="dot" w:pos="8266"/>
        </w:tabs>
        <w:kinsoku/>
        <w:wordWrap/>
        <w:overflowPunct/>
        <w:topLinePunct w:val="0"/>
        <w:autoSpaceDE/>
        <w:autoSpaceDN/>
        <w:bidi w:val="0"/>
        <w:adjustRightInd/>
        <w:snapToGrid/>
        <w:spacing w:line="600" w:lineRule="exact"/>
        <w:textAlignment w:val="auto"/>
        <w:rPr>
          <w:rFonts w:eastAsia="仿宋_GB2312"/>
          <w:sz w:val="32"/>
        </w:rPr>
      </w:pPr>
      <w:r>
        <w:rPr>
          <w:rFonts w:eastAsia="仿宋_GB2312"/>
          <w:sz w:val="32"/>
          <w:szCs w:val="44"/>
          <w:u w:val="single"/>
        </w:rPr>
        <w:fldChar w:fldCharType="begin"/>
      </w:r>
      <w:r>
        <w:rPr>
          <w:rFonts w:eastAsia="仿宋_GB2312"/>
          <w:sz w:val="32"/>
          <w:szCs w:val="44"/>
        </w:rPr>
        <w:instrText xml:space="preserve"> HYPERLINK \l _Toc1181133875 </w:instrText>
      </w:r>
      <w:r>
        <w:rPr>
          <w:rFonts w:eastAsia="仿宋_GB2312"/>
          <w:sz w:val="32"/>
          <w:szCs w:val="44"/>
        </w:rPr>
        <w:fldChar w:fldCharType="separate"/>
      </w:r>
      <w:r>
        <w:rPr>
          <w:rFonts w:hint="eastAsia" w:ascii="楷体_GB2312" w:hAnsi="楷体_GB2312" w:eastAsia="仿宋_GB2312" w:cs="楷体_GB2312"/>
          <w:bCs w:val="0"/>
          <w:kern w:val="2"/>
          <w:sz w:val="32"/>
          <w:szCs w:val="32"/>
          <w:lang w:val="en-US" w:eastAsia="zh-CN" w:bidi="ar-SA"/>
        </w:rPr>
        <w:t>（四）预算绩效情况。</w:t>
      </w:r>
      <w:r>
        <w:rPr>
          <w:rFonts w:eastAsia="仿宋_GB2312"/>
          <w:sz w:val="32"/>
        </w:rPr>
        <w:tab/>
      </w:r>
      <w:r>
        <w:rPr>
          <w:rFonts w:eastAsia="仿宋_GB2312"/>
          <w:sz w:val="32"/>
        </w:rPr>
        <w:fldChar w:fldCharType="begin"/>
      </w:r>
      <w:r>
        <w:rPr>
          <w:rFonts w:eastAsia="仿宋_GB2312"/>
          <w:sz w:val="32"/>
        </w:rPr>
        <w:instrText xml:space="preserve"> PAGEREF _Toc1181133875 \h </w:instrText>
      </w:r>
      <w:r>
        <w:rPr>
          <w:rFonts w:eastAsia="仿宋_GB2312"/>
          <w:sz w:val="32"/>
        </w:rPr>
        <w:fldChar w:fldCharType="separate"/>
      </w:r>
      <w:r>
        <w:rPr>
          <w:rFonts w:eastAsia="仿宋_GB2312"/>
          <w:sz w:val="32"/>
        </w:rPr>
        <w:t>- 10 -</w:t>
      </w:r>
      <w:r>
        <w:rPr>
          <w:rFonts w:eastAsia="仿宋_GB2312"/>
          <w:sz w:val="32"/>
        </w:rPr>
        <w:fldChar w:fldCharType="end"/>
      </w:r>
      <w:r>
        <w:rPr>
          <w:rFonts w:eastAsia="仿宋_GB2312"/>
          <w:sz w:val="32"/>
          <w:szCs w:val="44"/>
          <w:u w:val="single"/>
        </w:rPr>
        <w:fldChar w:fldCharType="end"/>
      </w:r>
    </w:p>
    <w:p w14:paraId="00DAAAD6">
      <w:pPr>
        <w:pStyle w:val="5"/>
        <w:keepNext w:val="0"/>
        <w:keepLines w:val="0"/>
        <w:pageBreakBefore w:val="0"/>
        <w:widowControl w:val="0"/>
        <w:tabs>
          <w:tab w:val="right" w:leader="dot" w:pos="8266"/>
        </w:tabs>
        <w:kinsoku/>
        <w:wordWrap/>
        <w:overflowPunct/>
        <w:topLinePunct w:val="0"/>
        <w:autoSpaceDE/>
        <w:autoSpaceDN/>
        <w:bidi w:val="0"/>
        <w:adjustRightInd/>
        <w:snapToGrid/>
        <w:spacing w:line="600" w:lineRule="exact"/>
        <w:textAlignment w:val="auto"/>
      </w:pPr>
      <w:r>
        <w:rPr>
          <w:rFonts w:eastAsia="仿宋_GB2312"/>
          <w:sz w:val="32"/>
          <w:szCs w:val="44"/>
          <w:u w:val="single"/>
        </w:rPr>
        <w:fldChar w:fldCharType="begin"/>
      </w:r>
      <w:r>
        <w:rPr>
          <w:rFonts w:eastAsia="仿宋_GB2312"/>
          <w:sz w:val="32"/>
          <w:szCs w:val="44"/>
        </w:rPr>
        <w:instrText xml:space="preserve"> HYPERLINK \l _Toc1976282444 </w:instrText>
      </w:r>
      <w:r>
        <w:rPr>
          <w:rFonts w:eastAsia="仿宋_GB2312"/>
          <w:sz w:val="32"/>
          <w:szCs w:val="44"/>
        </w:rPr>
        <w:fldChar w:fldCharType="separate"/>
      </w:r>
      <w:r>
        <w:rPr>
          <w:rFonts w:hint="eastAsia" w:eastAsia="仿宋_GB2312"/>
          <w:sz w:val="32"/>
        </w:rPr>
        <w:t>十二、名词解释</w:t>
      </w:r>
      <w:r>
        <w:rPr>
          <w:rFonts w:eastAsia="仿宋_GB2312"/>
          <w:sz w:val="32"/>
        </w:rPr>
        <w:tab/>
      </w:r>
      <w:r>
        <w:rPr>
          <w:rFonts w:eastAsia="仿宋_GB2312"/>
          <w:sz w:val="32"/>
        </w:rPr>
        <w:fldChar w:fldCharType="begin"/>
      </w:r>
      <w:r>
        <w:rPr>
          <w:rFonts w:eastAsia="仿宋_GB2312"/>
          <w:sz w:val="32"/>
        </w:rPr>
        <w:instrText xml:space="preserve"> PAGEREF _Toc1976282444 \h </w:instrText>
      </w:r>
      <w:r>
        <w:rPr>
          <w:rFonts w:eastAsia="仿宋_GB2312"/>
          <w:sz w:val="32"/>
        </w:rPr>
        <w:fldChar w:fldCharType="separate"/>
      </w:r>
      <w:r>
        <w:rPr>
          <w:rFonts w:eastAsia="仿宋_GB2312"/>
          <w:sz w:val="32"/>
        </w:rPr>
        <w:t>- 11 -</w:t>
      </w:r>
      <w:r>
        <w:rPr>
          <w:rFonts w:eastAsia="仿宋_GB2312"/>
          <w:sz w:val="32"/>
        </w:rPr>
        <w:fldChar w:fldCharType="end"/>
      </w:r>
      <w:r>
        <w:rPr>
          <w:rFonts w:eastAsia="仿宋_GB2312"/>
          <w:sz w:val="32"/>
          <w:szCs w:val="44"/>
          <w:u w:val="single"/>
        </w:rPr>
        <w:fldChar w:fldCharType="end"/>
      </w:r>
    </w:p>
    <w:p w14:paraId="2B09230D">
      <w:pPr>
        <w:pStyle w:val="2"/>
        <w:rPr>
          <w:rFonts w:eastAsia="黑体"/>
        </w:rPr>
        <w:sectPr>
          <w:footerReference r:id="rId3" w:type="even"/>
          <w:pgSz w:w="11906" w:h="16838"/>
          <w:pgMar w:top="1247" w:right="1542" w:bottom="1247" w:left="2098" w:header="851" w:footer="992" w:gutter="0"/>
          <w:pgNumType w:fmt="numberInDash" w:start="1"/>
          <w:cols w:space="720" w:num="1"/>
          <w:docGrid w:type="lines" w:linePitch="435" w:charSpace="0"/>
        </w:sectPr>
      </w:pPr>
      <w:r>
        <w:rPr>
          <w:rFonts w:eastAsia="方正小标宋简体"/>
          <w:szCs w:val="44"/>
          <w:u w:val="single"/>
        </w:rPr>
        <w:fldChar w:fldCharType="end"/>
      </w:r>
    </w:p>
    <w:p w14:paraId="4A385B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eastAsia="黑体"/>
        </w:rPr>
      </w:pPr>
      <w:bookmarkStart w:id="0" w:name="_Toc664656378"/>
      <w:r>
        <w:rPr>
          <w:rFonts w:eastAsia="黑体"/>
        </w:rPr>
        <w:t>一、基本职能及主要工作</w:t>
      </w:r>
      <w:bookmarkEnd w:id="0"/>
    </w:p>
    <w:p w14:paraId="4161D9A3">
      <w:pPr>
        <w:pStyle w:val="4"/>
        <w:keepNext w:val="0"/>
        <w:keepLines w:val="0"/>
        <w:pageBreakBefore w:val="0"/>
        <w:widowControl w:val="0"/>
        <w:kinsoku/>
        <w:wordWrap/>
        <w:overflowPunct/>
        <w:topLinePunct w:val="0"/>
        <w:autoSpaceDE/>
        <w:autoSpaceDN/>
        <w:bidi w:val="0"/>
        <w:adjustRightInd w:val="0"/>
        <w:snapToGrid/>
        <w:spacing w:before="130" w:line="600" w:lineRule="exact"/>
        <w:ind w:firstLine="675" w:firstLineChars="210"/>
        <w:textAlignment w:val="auto"/>
        <w:outlineLvl w:val="1"/>
        <w:rPr>
          <w:rFonts w:hint="eastAsia" w:ascii="楷体_GB2312" w:hAnsi="楷体_GB2312" w:eastAsia="楷体_GB2312" w:cs="楷体_GB2312"/>
          <w:b/>
          <w:bCs w:val="0"/>
          <w:kern w:val="2"/>
          <w:sz w:val="32"/>
          <w:szCs w:val="32"/>
          <w:lang w:val="en-US" w:eastAsia="zh-CN" w:bidi="ar-SA"/>
        </w:rPr>
      </w:pPr>
      <w:bookmarkStart w:id="1" w:name="_Toc1427134881"/>
      <w:r>
        <w:rPr>
          <w:rFonts w:hint="eastAsia" w:ascii="楷体_GB2312" w:hAnsi="楷体_GB2312" w:eastAsia="楷体_GB2312" w:cs="楷体_GB2312"/>
          <w:b/>
          <w:bCs w:val="0"/>
          <w:kern w:val="2"/>
          <w:sz w:val="32"/>
          <w:szCs w:val="32"/>
          <w:lang w:val="en-US" w:eastAsia="zh-CN" w:bidi="ar-SA"/>
        </w:rPr>
        <w:t>（一）米易生态环境局职能简介。</w:t>
      </w:r>
      <w:bookmarkEnd w:id="1"/>
    </w:p>
    <w:p w14:paraId="498647AF">
      <w:pPr>
        <w:pStyle w:val="4"/>
        <w:keepNext w:val="0"/>
        <w:keepLines w:val="0"/>
        <w:pageBreakBefore w:val="0"/>
        <w:widowControl w:val="0"/>
        <w:kinsoku/>
        <w:wordWrap/>
        <w:overflowPunct/>
        <w:topLinePunct w:val="0"/>
        <w:autoSpaceDE/>
        <w:autoSpaceDN/>
        <w:bidi w:val="0"/>
        <w:adjustRightInd w:val="0"/>
        <w:snapToGrid/>
        <w:spacing w:before="130" w:line="600" w:lineRule="exact"/>
        <w:ind w:firstLine="672" w:firstLineChars="21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1.负责建立健全并执行各项生态环境基本制度。贯彻执行国家、省、市有关法律、法规、规章和政策，会同有关部门拟订并组织实施区域内生态环境政策、规划。组织编制环境功能区划，会同有关部门编制并监督实施重点区域、流域、饮用水水源地生态环境规划和水功能区划，参与制定与区域内生态环境相关的经济、技术、资源配置和产业政策。参与拟订并贯彻执行区域内主体功能区划。</w:t>
      </w:r>
    </w:p>
    <w:p w14:paraId="08AD87AC">
      <w:pPr>
        <w:pStyle w:val="4"/>
        <w:keepNext w:val="0"/>
        <w:keepLines w:val="0"/>
        <w:pageBreakBefore w:val="0"/>
        <w:kinsoku/>
        <w:wordWrap/>
        <w:overflowPunct/>
        <w:topLinePunct w:val="0"/>
        <w:bidi w:val="0"/>
        <w:adjustRightInd w:val="0"/>
        <w:snapToGrid/>
        <w:spacing w:before="130" w:line="600" w:lineRule="exact"/>
        <w:ind w:firstLine="672" w:firstLineChars="21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2.负责区域内较大及以下生态环境问题的统筹协调和监督管理。牵头协调区域内较大及以下突发生态环境事件和生态破坏事件的调查处理，指导协调区域内生态环境事件的应急、预警工作，参与实施生态环境损害赔偿制度，协调解决有关跨区域环境污染纠纷。统筹协调区域内生态环境保护工作。</w:t>
      </w:r>
    </w:p>
    <w:p w14:paraId="4C9B4289">
      <w:pPr>
        <w:pStyle w:val="4"/>
        <w:keepNext w:val="0"/>
        <w:keepLines w:val="0"/>
        <w:pageBreakBefore w:val="0"/>
        <w:kinsoku/>
        <w:wordWrap/>
        <w:overflowPunct/>
        <w:topLinePunct w:val="0"/>
        <w:bidi w:val="0"/>
        <w:adjustRightInd w:val="0"/>
        <w:snapToGrid/>
        <w:spacing w:before="130" w:line="600" w:lineRule="exact"/>
        <w:ind w:firstLine="672" w:firstLineChars="21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3.负责监督管理区域内减排目标的落实。组织实施区域内各类污染物排放总量控制和排污许可证制度，提出实施污染物总量控制指标，督查、督办、核查污染物减排任务完成情况。实施生态环境目标责任制。</w:t>
      </w:r>
    </w:p>
    <w:p w14:paraId="1101478A">
      <w:pPr>
        <w:pStyle w:val="4"/>
        <w:keepNext w:val="0"/>
        <w:keepLines w:val="0"/>
        <w:pageBreakBefore w:val="0"/>
        <w:kinsoku/>
        <w:wordWrap/>
        <w:overflowPunct/>
        <w:topLinePunct w:val="0"/>
        <w:bidi w:val="0"/>
        <w:adjustRightInd w:val="0"/>
        <w:snapToGrid/>
        <w:spacing w:before="130" w:line="600" w:lineRule="exact"/>
        <w:ind w:firstLine="672" w:firstLineChars="21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4.负责提出区域内生态环境领域财政专项资金安排的建议。参与指导推动区域内循环经济和生态环保产业发展。</w:t>
      </w:r>
    </w:p>
    <w:p w14:paraId="418C9B87">
      <w:pPr>
        <w:pStyle w:val="4"/>
        <w:keepNext w:val="0"/>
        <w:keepLines w:val="0"/>
        <w:pageBreakBefore w:val="0"/>
        <w:kinsoku/>
        <w:wordWrap/>
        <w:overflowPunct/>
        <w:topLinePunct w:val="0"/>
        <w:bidi w:val="0"/>
        <w:adjustRightInd w:val="0"/>
        <w:snapToGrid/>
        <w:spacing w:before="130" w:line="600" w:lineRule="exact"/>
        <w:ind w:firstLine="672" w:firstLineChars="21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5.负责区域内生态环境污染防治的监督管理。组织制定并监督实施区域内大气、水、土壤、噪声、光、恶臭、固体废物、化学品、机动车等的污染防治管理制度。参与排污口设置管理工作，负责流域水环境保护工作，组织指导流域水环境治理。会同有关部门监督管理饮用水水源地生态环境保护工作，组织指导城乡生态环境综合整治工作，组织指导农业面源污染治理工作。监督指导区域大气环境保护工作，牵头建立区域大气污染联防联控协作机制并监督实施。按职责分工组织开展区域内强制性清洁生产审核工作。</w:t>
      </w:r>
    </w:p>
    <w:p w14:paraId="2690A52D">
      <w:pPr>
        <w:pStyle w:val="4"/>
        <w:keepNext w:val="0"/>
        <w:keepLines w:val="0"/>
        <w:pageBreakBefore w:val="0"/>
        <w:kinsoku/>
        <w:wordWrap/>
        <w:overflowPunct/>
        <w:topLinePunct w:val="0"/>
        <w:bidi w:val="0"/>
        <w:adjustRightInd w:val="0"/>
        <w:snapToGrid/>
        <w:spacing w:before="130" w:line="600" w:lineRule="exact"/>
        <w:ind w:firstLine="672" w:firstLineChars="21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6.指导协调和监督区域内生态保护修复工作。监督实施区域内生态保护规划，监督对生态环境有影响的自然资源开发利用活动、重要生态环境建设和生态破坏恢复工作。组织、指导绿色生态示范创建工作。监督实施区域内各类自然保护地生态环境监督制度，承担自然保护地、生态保护红线相关监管工作。监督野生动植物保护、湿地生态环境保护、荒漠化防治等工作。指导协调和监督农村生态环境保护，监督生物技术环境安全，牵头生物物种（含遗传资源）工作，组织协调生物多样性保护工作，参与生态保护补偿工作。</w:t>
      </w:r>
    </w:p>
    <w:p w14:paraId="0BD9CC02">
      <w:pPr>
        <w:pStyle w:val="4"/>
        <w:keepNext w:val="0"/>
        <w:keepLines w:val="0"/>
        <w:pageBreakBefore w:val="0"/>
        <w:kinsoku/>
        <w:wordWrap/>
        <w:overflowPunct/>
        <w:topLinePunct w:val="0"/>
        <w:bidi w:val="0"/>
        <w:adjustRightInd w:val="0"/>
        <w:snapToGrid/>
        <w:spacing w:before="130" w:line="600" w:lineRule="exact"/>
        <w:ind w:firstLine="672" w:firstLineChars="21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7.负责区域内核与辐射安全的监督管理。贯彻执行国家、省核与辐射安全法律、法规、规章、政策、规划和技术标准。负责辐射环境事故应急处理工作，参与核事故应急处理。监督管理放射源与射线装置安全，监督管理区域内核技术应用、电磁辐射、伴有放射性矿产资源开发利用中的污染防治。负责核与辐射建设项目“三同时”（同时设计、同时施工、同时投产使用）管理工作，参与对核材料的管制和民用核安全设备的设计、制造、安装和无损检验活动的监督管理。负责核与辐射环境监测和执法工作。参与反生化、核与辐射恐怖事件的防范和处理。</w:t>
      </w:r>
    </w:p>
    <w:p w14:paraId="21B636AA">
      <w:pPr>
        <w:pStyle w:val="4"/>
        <w:keepNext w:val="0"/>
        <w:keepLines w:val="0"/>
        <w:pageBreakBefore w:val="0"/>
        <w:kinsoku/>
        <w:wordWrap/>
        <w:overflowPunct/>
        <w:topLinePunct w:val="0"/>
        <w:bidi w:val="0"/>
        <w:adjustRightInd w:val="0"/>
        <w:snapToGrid/>
        <w:spacing w:before="130" w:line="600" w:lineRule="exact"/>
        <w:ind w:firstLine="672" w:firstLineChars="21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8.负责区域内生态环境准入的监督管理。根据授权对建设项目环境影响评价文件进行审批，按规定审查开发建设区域、规划、项目环境影响评价文件。组织实施区域内生态环境准入清单。</w:t>
      </w:r>
    </w:p>
    <w:p w14:paraId="449346B5">
      <w:pPr>
        <w:pStyle w:val="4"/>
        <w:keepNext w:val="0"/>
        <w:keepLines w:val="0"/>
        <w:pageBreakBefore w:val="0"/>
        <w:kinsoku/>
        <w:wordWrap/>
        <w:overflowPunct/>
        <w:topLinePunct w:val="0"/>
        <w:bidi w:val="0"/>
        <w:adjustRightInd w:val="0"/>
        <w:snapToGrid/>
        <w:spacing w:before="130" w:line="600" w:lineRule="exact"/>
        <w:ind w:firstLine="672" w:firstLineChars="21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9.负责应对气候变化工作。组织实施国家、省应对气候变化及温室气体减排重大战略、规划和政策，组织实施区域内应对气候变化的规划和政策措施。</w:t>
      </w:r>
    </w:p>
    <w:p w14:paraId="72484C45">
      <w:pPr>
        <w:pStyle w:val="4"/>
        <w:keepNext w:val="0"/>
        <w:keepLines w:val="0"/>
        <w:pageBreakBefore w:val="0"/>
        <w:kinsoku/>
        <w:wordWrap/>
        <w:overflowPunct/>
        <w:topLinePunct w:val="0"/>
        <w:bidi w:val="0"/>
        <w:adjustRightInd w:val="0"/>
        <w:snapToGrid/>
        <w:spacing w:before="130" w:line="600" w:lineRule="exact"/>
        <w:ind w:firstLine="672" w:firstLineChars="21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10.组织开展中央、省环保督察反馈问题的整改。贯彻执行中央、省生态环境保护督察制度。督促协调产业园区、乡镇（街道）和区域内有关部门整改突出环境问题。</w:t>
      </w:r>
    </w:p>
    <w:p w14:paraId="6101D435">
      <w:pPr>
        <w:pStyle w:val="4"/>
        <w:keepNext w:val="0"/>
        <w:keepLines w:val="0"/>
        <w:pageBreakBefore w:val="0"/>
        <w:kinsoku/>
        <w:wordWrap/>
        <w:overflowPunct/>
        <w:topLinePunct w:val="0"/>
        <w:bidi w:val="0"/>
        <w:adjustRightInd w:val="0"/>
        <w:snapToGrid/>
        <w:spacing w:before="130" w:line="600" w:lineRule="exact"/>
        <w:ind w:firstLine="672" w:firstLineChars="21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11.负责区域内生态环境监督执法。组织开展区域内生态环境保护执法检查，根据授权查处生态环境违法问题。监督实施建设项目生态环境保护设施“三同时”制度。</w:t>
      </w:r>
    </w:p>
    <w:p w14:paraId="69278217">
      <w:pPr>
        <w:pStyle w:val="4"/>
        <w:keepNext w:val="0"/>
        <w:keepLines w:val="0"/>
        <w:pageBreakBefore w:val="0"/>
        <w:kinsoku/>
        <w:wordWrap/>
        <w:overflowPunct/>
        <w:topLinePunct w:val="0"/>
        <w:bidi w:val="0"/>
        <w:adjustRightInd w:val="0"/>
        <w:snapToGrid/>
        <w:spacing w:before="130" w:line="600" w:lineRule="exact"/>
        <w:ind w:firstLine="672" w:firstLineChars="21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12.组织指导和协调区域内生态环境宣传教育工作。制定并组织实施区域内生态环境保护宣传教育有关规划和计划。推动社会组织和公众参与生态环境保护。会同有关部门依法对区域内保护和改善生态环境有显著成绩的单位和个人给予表扬和奖励。</w:t>
      </w:r>
    </w:p>
    <w:p w14:paraId="79CD7B1D">
      <w:pPr>
        <w:pStyle w:val="4"/>
        <w:keepNext w:val="0"/>
        <w:keepLines w:val="0"/>
        <w:pageBreakBefore w:val="0"/>
        <w:kinsoku/>
        <w:wordWrap/>
        <w:overflowPunct/>
        <w:topLinePunct w:val="0"/>
        <w:bidi w:val="0"/>
        <w:adjustRightInd w:val="0"/>
        <w:snapToGrid/>
        <w:spacing w:before="130" w:line="600" w:lineRule="exact"/>
        <w:ind w:firstLine="672" w:firstLineChars="21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13.开展生态环境科技工作。管理区域内生态环境保护科技成果并推广应用。组织开展生态环境重大科学研究和技术工程示范，推动生态环境技术管理体系建设。</w:t>
      </w:r>
    </w:p>
    <w:p w14:paraId="4D58E721">
      <w:pPr>
        <w:pStyle w:val="4"/>
        <w:keepNext w:val="0"/>
        <w:keepLines w:val="0"/>
        <w:pageBreakBefore w:val="0"/>
        <w:kinsoku/>
        <w:wordWrap/>
        <w:overflowPunct/>
        <w:topLinePunct w:val="0"/>
        <w:bidi w:val="0"/>
        <w:adjustRightInd w:val="0"/>
        <w:snapToGrid/>
        <w:spacing w:before="130" w:line="600" w:lineRule="exact"/>
        <w:ind w:firstLine="672" w:firstLineChars="21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14.负责职责范围内安全生产和职业健康等工作。</w:t>
      </w:r>
    </w:p>
    <w:p w14:paraId="79DB8B21">
      <w:pPr>
        <w:pStyle w:val="4"/>
        <w:keepNext w:val="0"/>
        <w:keepLines w:val="0"/>
        <w:pageBreakBefore w:val="0"/>
        <w:kinsoku/>
        <w:wordWrap/>
        <w:overflowPunct/>
        <w:topLinePunct w:val="0"/>
        <w:bidi w:val="0"/>
        <w:adjustRightInd w:val="0"/>
        <w:snapToGrid/>
        <w:spacing w:beforeLines="0" w:line="600" w:lineRule="exact"/>
        <w:ind w:firstLine="672" w:firstLineChars="21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15.职能转变。统一行使区域内生态和城乡各类污染排放监管职责，按照国家、省确定的综合行政执法改革要求承担与此对应的行政执法职责，负责区域内生态环境质量监测、调查评价和考核，切实履行监管责任，加强事中事后监管，全面落实大气、水、土壤污染防治行动计划，强化固体废物、化学品、重金属污染防治监督管理。构建政府为主导、企业为主体、社会组织和公众共同参与的生态环境治理体系，实施最严格的生态环境保护制度，严守生态保护红线和环境质量底线，坚决打好污染防治攻坚战，筑牢长江上游生态屏障，保障生态安全。</w:t>
      </w:r>
    </w:p>
    <w:p w14:paraId="052B1417">
      <w:pPr>
        <w:pStyle w:val="4"/>
        <w:keepNext w:val="0"/>
        <w:keepLines w:val="0"/>
        <w:pageBreakBefore w:val="0"/>
        <w:widowControl w:val="0"/>
        <w:kinsoku/>
        <w:wordWrap/>
        <w:overflowPunct/>
        <w:topLinePunct w:val="0"/>
        <w:autoSpaceDE/>
        <w:autoSpaceDN/>
        <w:bidi w:val="0"/>
        <w:adjustRightInd w:val="0"/>
        <w:snapToGrid/>
        <w:spacing w:before="130" w:line="600" w:lineRule="exact"/>
        <w:ind w:firstLine="675" w:firstLineChars="210"/>
        <w:textAlignment w:val="auto"/>
        <w:outlineLvl w:val="1"/>
        <w:rPr>
          <w:rFonts w:hint="eastAsia" w:ascii="楷体_GB2312" w:hAnsi="楷体_GB2312" w:eastAsia="楷体_GB2312" w:cs="楷体_GB2312"/>
          <w:b/>
          <w:bCs w:val="0"/>
          <w:kern w:val="2"/>
          <w:sz w:val="32"/>
          <w:szCs w:val="32"/>
          <w:lang w:val="en-US" w:eastAsia="zh-CN" w:bidi="ar-SA"/>
        </w:rPr>
      </w:pPr>
      <w:bookmarkStart w:id="2" w:name="_Toc2041551807"/>
      <w:r>
        <w:rPr>
          <w:rFonts w:hint="eastAsia" w:ascii="楷体_GB2312" w:hAnsi="楷体_GB2312" w:eastAsia="楷体_GB2312" w:cs="楷体_GB2312"/>
          <w:b/>
          <w:bCs w:val="0"/>
          <w:kern w:val="2"/>
          <w:sz w:val="32"/>
          <w:szCs w:val="32"/>
          <w:lang w:val="en-US" w:eastAsia="zh-CN" w:bidi="ar-SA"/>
        </w:rPr>
        <w:t>（二）米易生态环境局2026年重点工作。</w:t>
      </w:r>
      <w:bookmarkEnd w:id="2"/>
    </w:p>
    <w:p w14:paraId="6CDFC22E">
      <w:pPr>
        <w:pStyle w:val="3"/>
        <w:keepNext w:val="0"/>
        <w:keepLines w:val="0"/>
        <w:pageBreakBefore w:val="0"/>
        <w:widowControl/>
        <w:shd w:val="clear" w:color="auto" w:fill="FFFFFF"/>
        <w:kinsoku/>
        <w:wordWrap/>
        <w:overflowPunct/>
        <w:topLinePunct w:val="0"/>
        <w:bidi w:val="0"/>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1.持续打好污染防治攻坚战。强化多污染物协同控制和区域联防联控，持续推进重点行业深度治理，加强细颗粒物和臭氧协同控制，确保空气质量好上更好。统筹水资源、水环境、水生态治理，持续推进安宁河流域综合治理，实施不稳定达标小流域水质提升行动，强化饮用水水源地保护，努力建设美丽河湖、幸福河湖。强化土壤污染源头管控与风险管控，督促重点监管单位开展土壤和地下水自行监测，开展尾矿库环境隐患排查，加强固体废物综合利用和安全处置，积极推进“无废城市”建设。</w:t>
      </w:r>
    </w:p>
    <w:p w14:paraId="188524A8">
      <w:pPr>
        <w:pStyle w:val="3"/>
        <w:keepNext w:val="0"/>
        <w:keepLines w:val="0"/>
        <w:pageBreakBefore w:val="0"/>
        <w:widowControl/>
        <w:shd w:val="clear" w:color="auto" w:fill="FFFFFF"/>
        <w:kinsoku/>
        <w:wordWrap/>
        <w:overflowPunct/>
        <w:topLinePunct w:val="0"/>
        <w:bidi w:val="0"/>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2.扎实推进环保督察问题整改。全力开展督察问题整改，严格对照整改方案，落实“清单制+责任制+销号制”要求，持续开展双月调度，督促第三轮央督剩余2件阶段性办结信访件和2026年度整改任务按时保质完成。持续巩固问题整改成效，对已完成整改的各级各类督察反馈问题开展“回头看”，防止问题反弹。同时，持续开展举一反三排查整治，建立问题清单，动态排查，动态清零。</w:t>
      </w:r>
    </w:p>
    <w:p w14:paraId="34919973">
      <w:pPr>
        <w:pStyle w:val="3"/>
        <w:keepNext w:val="0"/>
        <w:keepLines w:val="0"/>
        <w:pageBreakBefore w:val="0"/>
        <w:widowControl/>
        <w:shd w:val="clear" w:color="auto" w:fill="FFFFFF"/>
        <w:kinsoku/>
        <w:wordWrap/>
        <w:overflowPunct/>
        <w:topLinePunct w:val="0"/>
        <w:bidi w:val="0"/>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3.坚决筑牢生态环境安全底线。紧盯生态环境治理领域的重点、难点、敏感点，大力消除环境风险隐患。严厉打击环境违法行为，及时调查处理群众环境信访投诉。持续开展环境隐患排查整治，加强区域流域污染防治联防联控，做好突发环境事件应急预案备案和应急值班值守，严防突发生态环境事件发生。开展核与辐射辐射安全监督检查，确保辖区核与辐射环境安全。</w:t>
      </w:r>
    </w:p>
    <w:p w14:paraId="596A6AAC">
      <w:pPr>
        <w:pStyle w:val="3"/>
        <w:keepNext w:val="0"/>
        <w:keepLines w:val="0"/>
        <w:pageBreakBefore w:val="0"/>
        <w:widowControl/>
        <w:shd w:val="clear" w:color="auto" w:fill="FFFFFF"/>
        <w:kinsoku/>
        <w:wordWrap/>
        <w:overflowPunct/>
        <w:topLinePunct w:val="0"/>
        <w:bidi w:val="0"/>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4.积极服务经济社会高质量发展。加强“十五五”重点项目谋划，努力争取上级资金支持，完善重大项目服务专班机制，提前介入项目选址、选线等前期工作，提升审批效能，保障老街子水库、G227道路等项目环评与总量指标需求，推动项目早落地、早见效。</w:t>
      </w:r>
    </w:p>
    <w:p w14:paraId="3AA25576">
      <w:pPr>
        <w:pStyle w:val="3"/>
        <w:keepNext w:val="0"/>
        <w:keepLines w:val="0"/>
        <w:pageBreakBefore w:val="0"/>
        <w:widowControl/>
        <w:shd w:val="clear" w:color="auto" w:fill="FFFFFF"/>
        <w:kinsoku/>
        <w:wordWrap/>
        <w:overflowPunct/>
        <w:topLinePunct w:val="0"/>
        <w:bidi w:val="0"/>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5.全面推进美丽四川建设先行试点工作。以成功入选美丽乡村建设重点县为契机，持续巩固国家生态文明示范县建设成果，加强</w:t>
      </w:r>
      <w:r>
        <w:rPr>
          <w:rFonts w:hint="eastAsia" w:ascii="仿宋_GB2312" w:hAnsi="仿宋_GB2312" w:eastAsia="仿宋_GB2312" w:cs="仿宋_GB2312"/>
          <w:b w:val="0"/>
          <w:bCs w:val="0"/>
          <w:kern w:val="2"/>
          <w:sz w:val="32"/>
          <w:szCs w:val="32"/>
          <w:lang w:eastAsia="zh-CN"/>
        </w:rPr>
        <w:t>向</w:t>
      </w:r>
      <w:r>
        <w:rPr>
          <w:rFonts w:hint="eastAsia" w:ascii="仿宋_GB2312" w:hAnsi="仿宋_GB2312" w:eastAsia="仿宋_GB2312" w:cs="仿宋_GB2312"/>
          <w:b w:val="0"/>
          <w:bCs w:val="0"/>
          <w:kern w:val="2"/>
          <w:sz w:val="32"/>
          <w:szCs w:val="32"/>
        </w:rPr>
        <w:t>上汇报争取，包装米易县美丽乡村整县推进建设项目，压茬推动美丽乡村建设，协同推进美丽城镇、美丽交通、美丽河湖等美丽细胞建设，打造各美其美、美美与共的美丽米易样板，确保美丽四川建设先行试点取得扎实成效。</w:t>
      </w:r>
    </w:p>
    <w:p w14:paraId="058C02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eastAsia="黑体"/>
        </w:rPr>
      </w:pPr>
      <w:bookmarkStart w:id="3" w:name="_Toc604431708"/>
      <w:r>
        <w:rPr>
          <w:rFonts w:eastAsia="黑体"/>
        </w:rPr>
        <w:t>二、机构设置情况</w:t>
      </w:r>
      <w:bookmarkEnd w:id="3"/>
    </w:p>
    <w:p w14:paraId="108F3303">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米易生态环境局下属二级预算单位</w:t>
      </w:r>
      <w:r>
        <w:rPr>
          <w:rFonts w:hint="eastAsia" w:ascii="仿宋_GB2312" w:hAnsi="仿宋_GB2312" w:eastAsia="仿宋_GB2312" w:cs="仿宋_GB2312"/>
          <w:sz w:val="32"/>
          <w:lang w:val="en-US" w:eastAsia="zh-CN"/>
        </w:rPr>
        <w:t>0</w:t>
      </w:r>
      <w:r>
        <w:rPr>
          <w:rFonts w:hint="eastAsia" w:ascii="仿宋_GB2312" w:hAnsi="仿宋_GB2312" w:eastAsia="仿宋_GB2312" w:cs="仿宋_GB2312"/>
          <w:sz w:val="32"/>
        </w:rPr>
        <w:t>个，其中行政单位0个，参照公务员法管理的事业单位</w:t>
      </w:r>
      <w:r>
        <w:rPr>
          <w:rFonts w:hint="eastAsia" w:ascii="仿宋_GB2312" w:hAnsi="仿宋_GB2312" w:eastAsia="仿宋_GB2312" w:cs="仿宋_GB2312"/>
          <w:sz w:val="32"/>
          <w:lang w:val="en-US" w:eastAsia="zh-CN"/>
        </w:rPr>
        <w:t>0</w:t>
      </w:r>
      <w:r>
        <w:rPr>
          <w:rFonts w:hint="eastAsia" w:ascii="仿宋_GB2312" w:hAnsi="仿宋_GB2312" w:eastAsia="仿宋_GB2312" w:cs="仿宋_GB2312"/>
          <w:sz w:val="32"/>
        </w:rPr>
        <w:t>个，其他事业单位0个。</w:t>
      </w:r>
    </w:p>
    <w:p w14:paraId="1B64DD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eastAsia="黑体"/>
        </w:rPr>
      </w:pPr>
      <w:bookmarkStart w:id="4" w:name="_Toc1426070287"/>
      <w:r>
        <w:rPr>
          <w:rFonts w:eastAsia="黑体"/>
        </w:rPr>
        <w:t>三、收支预算情况说明</w:t>
      </w:r>
      <w:bookmarkEnd w:id="4"/>
    </w:p>
    <w:p w14:paraId="22EB46D5">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按照综合预算的原则，米易生态环境局项目的收入和支出均纳入县级部门预算管理，其余基本收入和支出纳入市级预算。市级预算收入包括：一般公共预算拨款收入；支出包括：社会保障与就业支出、卫生健康支出、节能环保支出、住房保障支出。米易生态环境局2026年收支总预算244.80万元。比2025年预算数增加83.05万元，主要是在职人员及项目增加。</w:t>
      </w:r>
    </w:p>
    <w:p w14:paraId="48C9CC54">
      <w:pPr>
        <w:pStyle w:val="4"/>
        <w:keepNext w:val="0"/>
        <w:keepLines w:val="0"/>
        <w:pageBreakBefore w:val="0"/>
        <w:widowControl w:val="0"/>
        <w:kinsoku/>
        <w:wordWrap/>
        <w:overflowPunct/>
        <w:topLinePunct w:val="0"/>
        <w:autoSpaceDE/>
        <w:autoSpaceDN/>
        <w:bidi w:val="0"/>
        <w:adjustRightInd w:val="0"/>
        <w:snapToGrid/>
        <w:spacing w:before="130" w:line="600" w:lineRule="exact"/>
        <w:ind w:firstLine="675" w:firstLineChars="210"/>
        <w:textAlignment w:val="auto"/>
        <w:outlineLvl w:val="1"/>
        <w:rPr>
          <w:rFonts w:hint="eastAsia" w:ascii="楷体_GB2312" w:hAnsi="楷体_GB2312" w:eastAsia="楷体_GB2312" w:cs="楷体_GB2312"/>
          <w:b/>
          <w:bCs w:val="0"/>
          <w:kern w:val="2"/>
          <w:sz w:val="32"/>
          <w:szCs w:val="32"/>
          <w:lang w:val="en-US" w:eastAsia="zh-CN" w:bidi="ar-SA"/>
        </w:rPr>
      </w:pPr>
      <w:bookmarkStart w:id="5" w:name="_Toc2125342257"/>
      <w:r>
        <w:rPr>
          <w:rFonts w:hint="eastAsia" w:ascii="楷体_GB2312" w:hAnsi="楷体_GB2312" w:eastAsia="楷体_GB2312" w:cs="楷体_GB2312"/>
          <w:b/>
          <w:bCs w:val="0"/>
          <w:kern w:val="2"/>
          <w:sz w:val="32"/>
          <w:szCs w:val="32"/>
          <w:lang w:val="en-US" w:eastAsia="zh-CN" w:bidi="ar-SA"/>
        </w:rPr>
        <w:t>（一）收入预算情况。</w:t>
      </w:r>
      <w:bookmarkEnd w:id="5"/>
    </w:p>
    <w:p w14:paraId="5EF19BAC">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米易生态环境局2026年收入预算244.80万元，其中：上年结转0万元，占0%；一般公共预算拨款收入244.80万元，占100%；政府性基金预算拨款收入0万元，占0%；事业收入0万元，占0%。</w:t>
      </w:r>
    </w:p>
    <w:p w14:paraId="4EA634C9">
      <w:pPr>
        <w:pStyle w:val="4"/>
        <w:keepNext w:val="0"/>
        <w:keepLines w:val="0"/>
        <w:pageBreakBefore w:val="0"/>
        <w:widowControl w:val="0"/>
        <w:kinsoku/>
        <w:wordWrap/>
        <w:overflowPunct/>
        <w:topLinePunct w:val="0"/>
        <w:autoSpaceDE/>
        <w:autoSpaceDN/>
        <w:bidi w:val="0"/>
        <w:adjustRightInd w:val="0"/>
        <w:snapToGrid/>
        <w:spacing w:before="130" w:line="600" w:lineRule="exact"/>
        <w:ind w:firstLine="675" w:firstLineChars="210"/>
        <w:textAlignment w:val="auto"/>
        <w:outlineLvl w:val="1"/>
        <w:rPr>
          <w:rFonts w:hint="eastAsia" w:ascii="楷体_GB2312" w:hAnsi="楷体_GB2312" w:eastAsia="楷体_GB2312" w:cs="楷体_GB2312"/>
          <w:b/>
          <w:bCs w:val="0"/>
          <w:kern w:val="2"/>
          <w:sz w:val="32"/>
          <w:szCs w:val="32"/>
          <w:lang w:val="en-US" w:eastAsia="zh-CN" w:bidi="ar-SA"/>
        </w:rPr>
      </w:pPr>
      <w:bookmarkStart w:id="6" w:name="_Toc873031980"/>
      <w:r>
        <w:rPr>
          <w:rFonts w:hint="eastAsia" w:ascii="楷体_GB2312" w:hAnsi="楷体_GB2312" w:eastAsia="楷体_GB2312" w:cs="楷体_GB2312"/>
          <w:b/>
          <w:bCs w:val="0"/>
          <w:kern w:val="2"/>
          <w:sz w:val="32"/>
          <w:szCs w:val="32"/>
          <w:lang w:val="en-US" w:eastAsia="zh-CN" w:bidi="ar-SA"/>
        </w:rPr>
        <w:t>（二）支出预算情况。</w:t>
      </w:r>
      <w:bookmarkEnd w:id="6"/>
    </w:p>
    <w:p w14:paraId="3BCB5F1D">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u w:val="single"/>
        </w:rPr>
      </w:pPr>
      <w:r>
        <w:rPr>
          <w:rFonts w:hint="eastAsia" w:ascii="仿宋_GB2312" w:hAnsi="仿宋_GB2312" w:eastAsia="仿宋_GB2312" w:cs="仿宋_GB2312"/>
        </w:rPr>
        <w:t>米易生态环境局2026年支出预算244.80万元，其中：基本支出244.80万元，占100%；项目支出0万元，占0%。</w:t>
      </w:r>
    </w:p>
    <w:p w14:paraId="23E584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eastAsia="黑体"/>
        </w:rPr>
      </w:pPr>
      <w:bookmarkStart w:id="7" w:name="_Toc2099095882"/>
      <w:r>
        <w:rPr>
          <w:rFonts w:eastAsia="黑体"/>
        </w:rPr>
        <w:t>四、财政拨款收支预算情况说明</w:t>
      </w:r>
      <w:bookmarkEnd w:id="7"/>
    </w:p>
    <w:p w14:paraId="6E82CEF0">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米易生态环境局2026年财政拨款收支总预算244.80万元。收入包括：本年一般公共预算拨款收入244.80万元、本年政府性基金预算拨款收入0万元；支出包括：社会保障和就业支出24.80万元</w:t>
      </w:r>
      <w:r>
        <w:rPr>
          <w:rFonts w:hint="eastAsia" w:ascii="仿宋_GB2312" w:hAnsi="仿宋_GB2312" w:cs="仿宋_GB2312"/>
          <w:lang w:eastAsia="zh-CN"/>
        </w:rPr>
        <w:t>，</w:t>
      </w:r>
      <w:r>
        <w:rPr>
          <w:rFonts w:hint="eastAsia" w:ascii="仿宋_GB2312" w:hAnsi="仿宋_GB2312" w:eastAsia="仿宋_GB2312" w:cs="仿宋_GB2312"/>
        </w:rPr>
        <w:t>卫生健康支出13.36万元；节能环保支出187.74万元，住房保障支出18.90万元。</w:t>
      </w:r>
    </w:p>
    <w:p w14:paraId="7A0CEC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eastAsia="黑体"/>
        </w:rPr>
      </w:pPr>
      <w:bookmarkStart w:id="8" w:name="_Toc1035013041"/>
      <w:r>
        <w:rPr>
          <w:rFonts w:eastAsia="黑体"/>
        </w:rPr>
        <w:t>五、一般公共预算当年拨款情况说明</w:t>
      </w:r>
      <w:bookmarkEnd w:id="8"/>
    </w:p>
    <w:p w14:paraId="74536B72">
      <w:pPr>
        <w:pStyle w:val="4"/>
        <w:keepNext w:val="0"/>
        <w:keepLines w:val="0"/>
        <w:pageBreakBefore w:val="0"/>
        <w:widowControl w:val="0"/>
        <w:kinsoku/>
        <w:wordWrap/>
        <w:overflowPunct/>
        <w:topLinePunct w:val="0"/>
        <w:autoSpaceDE/>
        <w:autoSpaceDN/>
        <w:bidi w:val="0"/>
        <w:adjustRightInd w:val="0"/>
        <w:snapToGrid/>
        <w:spacing w:before="130" w:line="600" w:lineRule="exact"/>
        <w:ind w:firstLine="675" w:firstLineChars="210"/>
        <w:textAlignment w:val="auto"/>
        <w:outlineLvl w:val="1"/>
        <w:rPr>
          <w:rFonts w:hint="eastAsia" w:ascii="楷体_GB2312" w:hAnsi="楷体_GB2312" w:eastAsia="楷体_GB2312" w:cs="楷体_GB2312"/>
          <w:b/>
          <w:bCs w:val="0"/>
          <w:kern w:val="2"/>
          <w:sz w:val="32"/>
          <w:szCs w:val="32"/>
          <w:lang w:val="en-US" w:eastAsia="zh-CN" w:bidi="ar-SA"/>
        </w:rPr>
      </w:pPr>
      <w:bookmarkStart w:id="9" w:name="_Toc1239550664"/>
      <w:r>
        <w:rPr>
          <w:rFonts w:hint="eastAsia" w:ascii="楷体_GB2312" w:hAnsi="楷体_GB2312" w:eastAsia="楷体_GB2312" w:cs="楷体_GB2312"/>
          <w:b/>
          <w:bCs w:val="0"/>
          <w:kern w:val="2"/>
          <w:sz w:val="32"/>
          <w:szCs w:val="32"/>
          <w:lang w:val="en-US" w:eastAsia="zh-CN" w:bidi="ar-SA"/>
        </w:rPr>
        <w:t>（一）一般公共预算当年拨款规模变化情况。</w:t>
      </w:r>
      <w:bookmarkEnd w:id="9"/>
    </w:p>
    <w:p w14:paraId="4BB23345">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米易生态环境局2026年一般公共预算当年拨款244.80万元，比2025年预算数增加83.05万元，主要是在职人员及项目增加。</w:t>
      </w:r>
    </w:p>
    <w:p w14:paraId="7082E01B">
      <w:pPr>
        <w:pStyle w:val="4"/>
        <w:keepNext w:val="0"/>
        <w:keepLines w:val="0"/>
        <w:pageBreakBefore w:val="0"/>
        <w:widowControl w:val="0"/>
        <w:kinsoku/>
        <w:wordWrap/>
        <w:overflowPunct/>
        <w:topLinePunct w:val="0"/>
        <w:autoSpaceDE/>
        <w:autoSpaceDN/>
        <w:bidi w:val="0"/>
        <w:adjustRightInd w:val="0"/>
        <w:snapToGrid/>
        <w:spacing w:before="130" w:line="600" w:lineRule="exact"/>
        <w:ind w:firstLine="675" w:firstLineChars="210"/>
        <w:textAlignment w:val="auto"/>
        <w:outlineLvl w:val="1"/>
        <w:rPr>
          <w:rFonts w:hint="eastAsia" w:ascii="楷体_GB2312" w:hAnsi="楷体_GB2312" w:eastAsia="楷体_GB2312" w:cs="楷体_GB2312"/>
          <w:b/>
          <w:bCs w:val="0"/>
          <w:kern w:val="2"/>
          <w:sz w:val="32"/>
          <w:szCs w:val="32"/>
          <w:lang w:val="en-US" w:eastAsia="zh-CN" w:bidi="ar-SA"/>
        </w:rPr>
      </w:pPr>
      <w:bookmarkStart w:id="10" w:name="_Toc875010534"/>
      <w:r>
        <w:rPr>
          <w:rFonts w:hint="eastAsia" w:ascii="楷体_GB2312" w:hAnsi="楷体_GB2312" w:eastAsia="楷体_GB2312" w:cs="楷体_GB2312"/>
          <w:b/>
          <w:bCs w:val="0"/>
          <w:kern w:val="2"/>
          <w:sz w:val="32"/>
          <w:szCs w:val="32"/>
          <w:lang w:val="en-US" w:eastAsia="zh-CN" w:bidi="ar-SA"/>
        </w:rPr>
        <w:t>（二）一般公共预算当年拨款结构情况。</w:t>
      </w:r>
      <w:bookmarkEnd w:id="10"/>
    </w:p>
    <w:p w14:paraId="3BCC029B">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社会保障和就业支出24.80万元，占10.13%；卫生健康支出13.36万元，占5.46%；节能环保支出187.74万元，占76.69%；住房保障支出18.90万元，占7.72%。</w:t>
      </w:r>
    </w:p>
    <w:p w14:paraId="4E211C13">
      <w:pPr>
        <w:pStyle w:val="4"/>
        <w:keepNext w:val="0"/>
        <w:keepLines w:val="0"/>
        <w:pageBreakBefore w:val="0"/>
        <w:widowControl w:val="0"/>
        <w:kinsoku/>
        <w:wordWrap/>
        <w:overflowPunct/>
        <w:topLinePunct w:val="0"/>
        <w:autoSpaceDE/>
        <w:autoSpaceDN/>
        <w:bidi w:val="0"/>
        <w:adjustRightInd w:val="0"/>
        <w:snapToGrid/>
        <w:spacing w:before="130" w:line="600" w:lineRule="exact"/>
        <w:ind w:firstLine="675" w:firstLineChars="210"/>
        <w:textAlignment w:val="auto"/>
        <w:outlineLvl w:val="1"/>
        <w:rPr>
          <w:rFonts w:hint="eastAsia" w:ascii="楷体_GB2312" w:hAnsi="楷体_GB2312" w:eastAsia="楷体_GB2312" w:cs="楷体_GB2312"/>
          <w:b/>
          <w:bCs w:val="0"/>
          <w:kern w:val="2"/>
          <w:sz w:val="32"/>
          <w:szCs w:val="32"/>
          <w:lang w:val="en-US" w:eastAsia="zh-CN" w:bidi="ar-SA"/>
        </w:rPr>
      </w:pPr>
      <w:bookmarkStart w:id="11" w:name="_Toc1005106313"/>
      <w:r>
        <w:rPr>
          <w:rFonts w:hint="eastAsia" w:ascii="楷体_GB2312" w:hAnsi="楷体_GB2312" w:eastAsia="楷体_GB2312" w:cs="楷体_GB2312"/>
          <w:b/>
          <w:bCs w:val="0"/>
          <w:kern w:val="2"/>
          <w:sz w:val="32"/>
          <w:szCs w:val="32"/>
          <w:lang w:val="en-US" w:eastAsia="zh-CN" w:bidi="ar-SA"/>
        </w:rPr>
        <w:t>（三）一般公共预算当年拨款具体使用情况。</w:t>
      </w:r>
      <w:bookmarkEnd w:id="11"/>
    </w:p>
    <w:p w14:paraId="44C82B1D">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1.社会保障和就业支出（类）行政事业单位养老支出（款）行政单位离退休（项）2026年预算数为2.34万元，主要用于：退休人员支出保障。</w:t>
      </w:r>
    </w:p>
    <w:p w14:paraId="352A49DB">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2.社会保障和就业支出（类）行政事业单位养老支出（款）机关事业单位基本养老保险缴费支出（项）2026年预算数为22.46万元，主要用于：缴纳职工2026年度基本养老保险单位缴费。</w:t>
      </w:r>
    </w:p>
    <w:p w14:paraId="3448EF77">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3.卫生健康支出（类）行政事业单位医疗（款）行政单位医疗（项）2025年预算数为11.92万元，主要用于：缴纳职工2026年度医疗保险单位缴费。</w:t>
      </w:r>
    </w:p>
    <w:p w14:paraId="2C32EFC4">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4.卫生健康支出（类）行政事业单位医疗（款）公务员医疗补助（项）2025年预算数为1.44万元，主要用于：缴纳职工2026年度医疗保险单位缴费。</w:t>
      </w:r>
    </w:p>
    <w:p w14:paraId="2F988BB2">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5.节能环保支出（类）环境保护管理事务（款）行政运行（项）2026年预算数为187.74万元，主要用于：在职人员的职工工资、单位正常运转公用经费支出。</w:t>
      </w:r>
    </w:p>
    <w:p w14:paraId="6ECE5DD4">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7.住房保障支出（类）住房改革支出（款）住房公积金（项）2026年预算数为18.90万元，主要用于：缴纳职工2026年度住房公积金单位负担部分。</w:t>
      </w:r>
    </w:p>
    <w:p w14:paraId="2C3913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eastAsia="黑体"/>
        </w:rPr>
      </w:pPr>
      <w:bookmarkStart w:id="12" w:name="_Toc1130873884"/>
      <w:r>
        <w:rPr>
          <w:rFonts w:eastAsia="黑体"/>
        </w:rPr>
        <w:t>六、一般公共预算基本支出情况说明</w:t>
      </w:r>
      <w:bookmarkEnd w:id="12"/>
    </w:p>
    <w:p w14:paraId="580F767E">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米易生态环境局2026年一般公共预算基本支出244.8万元，其中：</w:t>
      </w:r>
    </w:p>
    <w:p w14:paraId="701874E4">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人员经费214.72万元，主要包括：工资奖金津补贴、社会保障缴费、住房公积金、社会福利和救助。</w:t>
      </w:r>
    </w:p>
    <w:p w14:paraId="2557D175">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公用经费30.08万元，主要包括：办公经费、委托业务费、公务接待费、维修（护）费、其它商品服务支出。</w:t>
      </w:r>
    </w:p>
    <w:p w14:paraId="1C1791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eastAsia="黑体"/>
        </w:rPr>
      </w:pPr>
      <w:bookmarkStart w:id="13" w:name="_Toc1122482368"/>
      <w:r>
        <w:rPr>
          <w:rFonts w:eastAsia="黑体"/>
        </w:rPr>
        <w:t>七、“三公”经费财政拨款预算安排情况说明</w:t>
      </w:r>
      <w:bookmarkEnd w:id="13"/>
    </w:p>
    <w:p w14:paraId="1BDFA955">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米易生态环境局2026年“三公”经费财政拨款预算数1.80万元，其中：因公出国（境）经费0万元，公务接待费1.80万元，公务用车购置及运行维护费0万元。</w:t>
      </w:r>
    </w:p>
    <w:p w14:paraId="73801833">
      <w:pPr>
        <w:pStyle w:val="4"/>
        <w:keepNext w:val="0"/>
        <w:keepLines w:val="0"/>
        <w:pageBreakBefore w:val="0"/>
        <w:widowControl w:val="0"/>
        <w:kinsoku/>
        <w:wordWrap/>
        <w:overflowPunct/>
        <w:topLinePunct w:val="0"/>
        <w:autoSpaceDE/>
        <w:autoSpaceDN/>
        <w:bidi w:val="0"/>
        <w:adjustRightInd w:val="0"/>
        <w:snapToGrid/>
        <w:spacing w:before="130" w:line="600" w:lineRule="exact"/>
        <w:ind w:firstLine="675" w:firstLineChars="210"/>
        <w:textAlignment w:val="auto"/>
        <w:outlineLvl w:val="1"/>
        <w:rPr>
          <w:rFonts w:hint="eastAsia" w:ascii="楷体_GB2312" w:hAnsi="楷体_GB2312" w:eastAsia="楷体_GB2312" w:cs="楷体_GB2312"/>
          <w:b/>
          <w:bCs w:val="0"/>
          <w:kern w:val="2"/>
          <w:sz w:val="32"/>
          <w:szCs w:val="32"/>
          <w:lang w:val="en-US" w:eastAsia="zh-CN" w:bidi="ar-SA"/>
        </w:rPr>
      </w:pPr>
      <w:bookmarkStart w:id="14" w:name="_Toc1069739892"/>
      <w:r>
        <w:rPr>
          <w:rFonts w:hint="eastAsia" w:ascii="楷体_GB2312" w:hAnsi="楷体_GB2312" w:eastAsia="楷体_GB2312" w:cs="楷体_GB2312"/>
          <w:b/>
          <w:bCs w:val="0"/>
          <w:kern w:val="2"/>
          <w:sz w:val="32"/>
          <w:szCs w:val="32"/>
          <w:lang w:val="en-US" w:eastAsia="zh-CN" w:bidi="ar-SA"/>
        </w:rPr>
        <w:t>（一）因公出国（境）经费与2025年预算持平。</w:t>
      </w:r>
      <w:bookmarkEnd w:id="14"/>
    </w:p>
    <w:p w14:paraId="6D9E9C25">
      <w:pPr>
        <w:keepNext w:val="0"/>
        <w:keepLines w:val="0"/>
        <w:pageBreakBefore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主要原因是2026年未安排因公出国（境）经费。</w:t>
      </w:r>
    </w:p>
    <w:p w14:paraId="6426F161">
      <w:pPr>
        <w:pStyle w:val="4"/>
        <w:keepNext w:val="0"/>
        <w:keepLines w:val="0"/>
        <w:pageBreakBefore w:val="0"/>
        <w:widowControl w:val="0"/>
        <w:kinsoku/>
        <w:wordWrap/>
        <w:overflowPunct/>
        <w:topLinePunct w:val="0"/>
        <w:autoSpaceDE/>
        <w:autoSpaceDN/>
        <w:bidi w:val="0"/>
        <w:adjustRightInd w:val="0"/>
        <w:snapToGrid/>
        <w:spacing w:before="130" w:line="600" w:lineRule="exact"/>
        <w:ind w:firstLine="675" w:firstLineChars="210"/>
        <w:textAlignment w:val="auto"/>
        <w:outlineLvl w:val="1"/>
        <w:rPr>
          <w:rFonts w:hint="eastAsia" w:ascii="楷体_GB2312" w:hAnsi="楷体_GB2312" w:eastAsia="楷体_GB2312" w:cs="楷体_GB2312"/>
          <w:b/>
          <w:bCs w:val="0"/>
          <w:kern w:val="2"/>
          <w:sz w:val="32"/>
          <w:szCs w:val="32"/>
          <w:lang w:val="en-US" w:eastAsia="zh-CN" w:bidi="ar-SA"/>
        </w:rPr>
      </w:pPr>
      <w:bookmarkStart w:id="15" w:name="_Toc1214558437"/>
      <w:r>
        <w:rPr>
          <w:rFonts w:hint="eastAsia" w:ascii="楷体_GB2312" w:hAnsi="楷体_GB2312" w:eastAsia="楷体_GB2312" w:cs="楷体_GB2312"/>
          <w:b/>
          <w:bCs w:val="0"/>
          <w:kern w:val="2"/>
          <w:sz w:val="32"/>
          <w:szCs w:val="32"/>
          <w:lang w:val="en-US" w:eastAsia="zh-CN" w:bidi="ar-SA"/>
        </w:rPr>
        <w:t>（二）公务接待费与2025年预算持平。</w:t>
      </w:r>
      <w:bookmarkEnd w:id="15"/>
    </w:p>
    <w:p w14:paraId="6B756EB7">
      <w:pPr>
        <w:keepNext w:val="0"/>
        <w:keepLines w:val="0"/>
        <w:pageBreakBefore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rPr>
      </w:pPr>
      <w:r>
        <w:rPr>
          <w:rFonts w:hint="eastAsia" w:ascii="仿宋_GB2312" w:hAnsi="仿宋_GB2312" w:eastAsia="仿宋_GB2312" w:cs="仿宋_GB2312"/>
        </w:rPr>
        <w:t>主要原因是严格执行中央八项规定及省市十项规定，厉行节约。</w:t>
      </w:r>
    </w:p>
    <w:p w14:paraId="4448DC27">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rPr>
      </w:pPr>
      <w:r>
        <w:rPr>
          <w:rFonts w:hint="eastAsia" w:ascii="仿宋_GB2312" w:hAnsi="仿宋_GB2312" w:eastAsia="仿宋_GB2312" w:cs="仿宋_GB2312"/>
        </w:rPr>
        <w:t>2026年公务接待费计划用于生态环境检查、督导工作等。</w:t>
      </w:r>
    </w:p>
    <w:p w14:paraId="37E96A95">
      <w:pPr>
        <w:keepNext w:val="0"/>
        <w:keepLines w:val="0"/>
        <w:pageBreakBefore w:val="0"/>
        <w:widowControl w:val="0"/>
        <w:kinsoku/>
        <w:wordWrap/>
        <w:overflowPunct/>
        <w:topLinePunct w:val="0"/>
        <w:autoSpaceDE/>
        <w:autoSpaceDN/>
        <w:bidi w:val="0"/>
        <w:adjustRightInd/>
        <w:snapToGrid/>
        <w:spacing w:line="600" w:lineRule="exact"/>
        <w:ind w:left="640" w:leftChars="200" w:firstLine="0" w:firstLineChars="0"/>
        <w:textAlignment w:val="auto"/>
        <w:rPr>
          <w:rFonts w:hint="eastAsia" w:ascii="仿宋_GB2312" w:hAnsi="仿宋_GB2312" w:eastAsia="仿宋_GB2312" w:cs="仿宋_GB2312"/>
          <w:b/>
        </w:rPr>
      </w:pPr>
      <w:r>
        <w:rPr>
          <w:rFonts w:hint="eastAsia" w:ascii="楷体_GB2312" w:hAnsi="楷体_GB2312" w:eastAsia="楷体_GB2312" w:cs="楷体_GB2312"/>
          <w:b/>
          <w:bCs w:val="0"/>
          <w:kern w:val="2"/>
          <w:sz w:val="32"/>
          <w:szCs w:val="32"/>
          <w:lang w:val="en-US" w:eastAsia="zh-CN" w:bidi="ar-SA"/>
        </w:rPr>
        <w:t>（三）公务用车购置及运行维护费与2025年预算持平。</w:t>
      </w:r>
      <w:r>
        <w:rPr>
          <w:rFonts w:hint="eastAsia" w:ascii="仿宋_GB2312" w:hAnsi="仿宋_GB2312" w:eastAsia="仿宋_GB2312" w:cs="仿宋_GB2312"/>
        </w:rPr>
        <w:t>主要原因是单位没有公务用车。</w:t>
      </w:r>
    </w:p>
    <w:p w14:paraId="062C30A1">
      <w:pPr>
        <w:keepNext w:val="0"/>
        <w:keepLines w:val="0"/>
        <w:pageBreakBefore w:val="0"/>
        <w:kinsoku/>
        <w:wordWrap/>
        <w:overflowPunct/>
        <w:topLinePunct w:val="0"/>
        <w:bidi w:val="0"/>
        <w:snapToGrid/>
        <w:spacing w:line="600" w:lineRule="exact"/>
        <w:ind w:firstLine="640"/>
        <w:textAlignment w:val="auto"/>
        <w:rPr>
          <w:rFonts w:hint="eastAsia" w:ascii="仿宋_GB2312" w:hAnsi="仿宋_GB2312" w:eastAsia="仿宋_GB2312" w:cs="仿宋_GB2312"/>
        </w:rPr>
      </w:pPr>
      <w:r>
        <w:rPr>
          <w:rFonts w:hint="eastAsia" w:ascii="仿宋_GB2312" w:hAnsi="仿宋_GB2312" w:eastAsia="仿宋_GB2312" w:cs="仿宋_GB2312"/>
        </w:rPr>
        <w:t>单位现有公务用车0辆，其中：轿车（含7座以下商务车、城市越野车）0辆，7座以上19座（含19座）以下客车0辆，越野车0辆，货车及19座以上客车0辆，摩托车0辆。</w:t>
      </w:r>
    </w:p>
    <w:p w14:paraId="4AB0ADF1">
      <w:pPr>
        <w:keepNext w:val="0"/>
        <w:keepLines w:val="0"/>
        <w:pageBreakBefore w:val="0"/>
        <w:kinsoku/>
        <w:wordWrap/>
        <w:overflowPunct/>
        <w:topLinePunct w:val="0"/>
        <w:bidi w:val="0"/>
        <w:snapToGrid/>
        <w:spacing w:line="600" w:lineRule="exact"/>
        <w:ind w:firstLine="640"/>
        <w:textAlignment w:val="auto"/>
        <w:rPr>
          <w:rFonts w:hint="eastAsia" w:ascii="仿宋_GB2312" w:hAnsi="仿宋_GB2312" w:eastAsia="仿宋_GB2312" w:cs="仿宋_GB2312"/>
        </w:rPr>
      </w:pPr>
      <w:r>
        <w:rPr>
          <w:rFonts w:hint="eastAsia" w:ascii="仿宋_GB2312" w:hAnsi="仿宋_GB2312" w:eastAsia="仿宋_GB2312" w:cs="仿宋_GB2312"/>
        </w:rPr>
        <w:t>2026年安排公务用车购置费0万元，购置公务用车0辆，其中：轿车（含7座以下商务车、城市越野车）0辆，7座以上19座（含19座）以下客车0辆，越野车0辆，货车及19座以上客车0辆，摩托车0辆。</w:t>
      </w:r>
    </w:p>
    <w:p w14:paraId="4D4C7843">
      <w:pPr>
        <w:keepNext w:val="0"/>
        <w:keepLines w:val="0"/>
        <w:pageBreakBefore w:val="0"/>
        <w:kinsoku/>
        <w:wordWrap/>
        <w:overflowPunct/>
        <w:topLinePunct w:val="0"/>
        <w:bidi w:val="0"/>
        <w:snapToGrid/>
        <w:spacing w:line="600" w:lineRule="exact"/>
        <w:ind w:firstLine="640"/>
        <w:textAlignment w:val="auto"/>
        <w:rPr>
          <w:rFonts w:hint="eastAsia" w:ascii="仿宋_GB2312" w:hAnsi="仿宋_GB2312" w:eastAsia="仿宋_GB2312" w:cs="仿宋_GB2312"/>
        </w:rPr>
      </w:pPr>
      <w:r>
        <w:rPr>
          <w:rFonts w:hint="eastAsia" w:ascii="仿宋_GB2312" w:hAnsi="仿宋_GB2312" w:eastAsia="仿宋_GB2312" w:cs="仿宋_GB2312"/>
        </w:rPr>
        <w:t>2026年安排公务用车运行维护费0万元，用于0辆公务用车。</w:t>
      </w:r>
    </w:p>
    <w:p w14:paraId="6342FA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eastAsia="黑体"/>
        </w:rPr>
      </w:pPr>
      <w:bookmarkStart w:id="16" w:name="_Toc1663175508"/>
      <w:r>
        <w:rPr>
          <w:rFonts w:hint="eastAsia" w:eastAsia="黑体"/>
        </w:rPr>
        <w:t>八、“三公”经费非财政拨款预算安排情况说明</w:t>
      </w:r>
      <w:bookmarkEnd w:id="16"/>
    </w:p>
    <w:p w14:paraId="1090353B">
      <w:pPr>
        <w:keepNext w:val="0"/>
        <w:keepLines w:val="0"/>
        <w:pageBreakBefore w:val="0"/>
        <w:suppressAutoHyphens/>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米易生态环境局2026年没有使用非财政拨款安排“三公”经费预算。</w:t>
      </w:r>
    </w:p>
    <w:p w14:paraId="1D2C74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eastAsia="黑体"/>
        </w:rPr>
      </w:pPr>
      <w:bookmarkStart w:id="17" w:name="_Toc164004221"/>
      <w:r>
        <w:rPr>
          <w:rFonts w:hint="eastAsia" w:eastAsia="黑体"/>
        </w:rPr>
        <w:t>九、政府性基金预算支出情况说明</w:t>
      </w:r>
      <w:bookmarkEnd w:id="17"/>
    </w:p>
    <w:p w14:paraId="143698DE">
      <w:pPr>
        <w:keepNext w:val="0"/>
        <w:keepLines w:val="0"/>
        <w:pageBreakBefore w:val="0"/>
        <w:kinsoku/>
        <w:wordWrap/>
        <w:overflowPunct/>
        <w:topLinePunct w:val="0"/>
        <w:bidi w:val="0"/>
        <w:snapToGrid/>
        <w:spacing w:line="600" w:lineRule="exact"/>
        <w:ind w:firstLine="640" w:firstLineChars="200"/>
        <w:textAlignment w:val="auto"/>
      </w:pPr>
      <w:r>
        <w:rPr>
          <w:rFonts w:hint="eastAsia" w:ascii="仿宋_GB2312" w:hAnsi="仿宋_GB2312" w:eastAsia="仿宋_GB2312" w:cs="仿宋_GB2312"/>
        </w:rPr>
        <w:t>米易生态环境局2026年没有使用政府性基金预算拨款安排的支出。</w:t>
      </w:r>
    </w:p>
    <w:p w14:paraId="40B322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eastAsia="黑体"/>
        </w:rPr>
      </w:pPr>
      <w:bookmarkStart w:id="18" w:name="_Toc1095473487"/>
      <w:r>
        <w:rPr>
          <w:rFonts w:hint="eastAsia" w:eastAsia="黑体"/>
        </w:rPr>
        <w:t>十、国有资本经营预算情况说明</w:t>
      </w:r>
      <w:bookmarkEnd w:id="18"/>
    </w:p>
    <w:p w14:paraId="6506472E">
      <w:pPr>
        <w:keepNext w:val="0"/>
        <w:keepLines w:val="0"/>
        <w:pageBreakBefore w:val="0"/>
        <w:suppressAutoHyphens/>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米易生态环境局2026年没有使用国有资本经营预算拨款安排的支出。</w:t>
      </w:r>
    </w:p>
    <w:p w14:paraId="0C6968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eastAsia="黑体"/>
        </w:rPr>
      </w:pPr>
      <w:bookmarkStart w:id="19" w:name="_Toc1496072082"/>
      <w:r>
        <w:rPr>
          <w:rFonts w:hint="eastAsia" w:eastAsia="黑体"/>
        </w:rPr>
        <w:t>十一、其他重要事项的情况说明</w:t>
      </w:r>
      <w:bookmarkEnd w:id="19"/>
    </w:p>
    <w:p w14:paraId="3014E38A">
      <w:pPr>
        <w:pStyle w:val="4"/>
        <w:keepNext w:val="0"/>
        <w:keepLines w:val="0"/>
        <w:pageBreakBefore w:val="0"/>
        <w:widowControl w:val="0"/>
        <w:kinsoku/>
        <w:wordWrap/>
        <w:overflowPunct/>
        <w:topLinePunct w:val="0"/>
        <w:autoSpaceDE/>
        <w:autoSpaceDN/>
        <w:bidi w:val="0"/>
        <w:adjustRightInd w:val="0"/>
        <w:snapToGrid/>
        <w:spacing w:before="130" w:line="600" w:lineRule="exact"/>
        <w:ind w:firstLine="675" w:firstLineChars="210"/>
        <w:textAlignment w:val="auto"/>
        <w:outlineLvl w:val="1"/>
        <w:rPr>
          <w:rFonts w:hint="eastAsia" w:ascii="楷体_GB2312" w:hAnsi="楷体_GB2312" w:eastAsia="楷体_GB2312" w:cs="楷体_GB2312"/>
          <w:b/>
          <w:bCs w:val="0"/>
          <w:kern w:val="2"/>
          <w:sz w:val="32"/>
          <w:szCs w:val="32"/>
          <w:lang w:val="en-US" w:eastAsia="zh-CN" w:bidi="ar-SA"/>
        </w:rPr>
      </w:pPr>
      <w:bookmarkStart w:id="20" w:name="_Toc933369775"/>
      <w:r>
        <w:rPr>
          <w:rFonts w:hint="eastAsia" w:ascii="楷体_GB2312" w:hAnsi="楷体_GB2312" w:eastAsia="楷体_GB2312" w:cs="楷体_GB2312"/>
          <w:b/>
          <w:bCs w:val="0"/>
          <w:kern w:val="2"/>
          <w:sz w:val="32"/>
          <w:szCs w:val="32"/>
          <w:lang w:val="en-US" w:eastAsia="zh-CN" w:bidi="ar-SA"/>
        </w:rPr>
        <w:t>（一）机关运行经费。</w:t>
      </w:r>
      <w:bookmarkEnd w:id="20"/>
    </w:p>
    <w:p w14:paraId="265082DE">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2026年，米易生态环境局以及下属生态环境保护综合行政执法支队米易执法大队等1家参公管理事业单位的机关运行经费财政拨款预算为30.08万元，比2025年预算增加4.09万元，增加15.74%。</w:t>
      </w:r>
    </w:p>
    <w:p w14:paraId="08A18579">
      <w:pPr>
        <w:pStyle w:val="4"/>
        <w:keepNext w:val="0"/>
        <w:keepLines w:val="0"/>
        <w:pageBreakBefore w:val="0"/>
        <w:widowControl w:val="0"/>
        <w:kinsoku/>
        <w:wordWrap/>
        <w:overflowPunct/>
        <w:topLinePunct w:val="0"/>
        <w:autoSpaceDE/>
        <w:autoSpaceDN/>
        <w:bidi w:val="0"/>
        <w:adjustRightInd w:val="0"/>
        <w:snapToGrid/>
        <w:spacing w:before="130" w:line="600" w:lineRule="exact"/>
        <w:ind w:firstLine="675" w:firstLineChars="210"/>
        <w:textAlignment w:val="auto"/>
        <w:outlineLvl w:val="1"/>
        <w:rPr>
          <w:rFonts w:hint="eastAsia" w:ascii="楷体_GB2312" w:hAnsi="楷体_GB2312" w:eastAsia="楷体_GB2312" w:cs="楷体_GB2312"/>
          <w:b/>
          <w:bCs w:val="0"/>
          <w:kern w:val="2"/>
          <w:sz w:val="32"/>
          <w:szCs w:val="32"/>
          <w:lang w:val="en-US" w:eastAsia="zh-CN" w:bidi="ar-SA"/>
        </w:rPr>
      </w:pPr>
      <w:bookmarkStart w:id="21" w:name="_Toc1672420237"/>
      <w:r>
        <w:rPr>
          <w:rFonts w:hint="eastAsia" w:ascii="楷体_GB2312" w:hAnsi="楷体_GB2312" w:eastAsia="楷体_GB2312" w:cs="楷体_GB2312"/>
          <w:b/>
          <w:bCs w:val="0"/>
          <w:kern w:val="2"/>
          <w:sz w:val="32"/>
          <w:szCs w:val="32"/>
          <w:lang w:val="en-US" w:eastAsia="zh-CN" w:bidi="ar-SA"/>
        </w:rPr>
        <w:t>（二）政府采购情况。</w:t>
      </w:r>
      <w:bookmarkEnd w:id="21"/>
    </w:p>
    <w:p w14:paraId="51E7982F">
      <w:pPr>
        <w:keepNext w:val="0"/>
        <w:keepLines w:val="0"/>
        <w:pageBreakBefore w:val="0"/>
        <w:suppressAutoHyphens/>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u w:val="single"/>
        </w:rPr>
      </w:pPr>
      <w:r>
        <w:rPr>
          <w:rFonts w:hint="eastAsia" w:ascii="仿宋_GB2312" w:hAnsi="仿宋_GB2312" w:eastAsia="仿宋_GB2312" w:cs="仿宋_GB2312"/>
        </w:rPr>
        <w:t>米易生态环境局2026年无政府采购项目，未安排政府采购预算。</w:t>
      </w:r>
    </w:p>
    <w:p w14:paraId="44B2A036">
      <w:pPr>
        <w:pStyle w:val="4"/>
        <w:keepNext w:val="0"/>
        <w:keepLines w:val="0"/>
        <w:pageBreakBefore w:val="0"/>
        <w:widowControl w:val="0"/>
        <w:kinsoku/>
        <w:wordWrap/>
        <w:overflowPunct/>
        <w:topLinePunct w:val="0"/>
        <w:autoSpaceDE/>
        <w:autoSpaceDN/>
        <w:bidi w:val="0"/>
        <w:adjustRightInd w:val="0"/>
        <w:snapToGrid/>
        <w:spacing w:before="130" w:line="600" w:lineRule="exact"/>
        <w:ind w:firstLine="675" w:firstLineChars="210"/>
        <w:textAlignment w:val="auto"/>
        <w:outlineLvl w:val="1"/>
        <w:rPr>
          <w:rFonts w:hint="eastAsia" w:ascii="楷体_GB2312" w:hAnsi="楷体_GB2312" w:eastAsia="楷体_GB2312" w:cs="楷体_GB2312"/>
          <w:b/>
          <w:bCs w:val="0"/>
          <w:kern w:val="2"/>
          <w:sz w:val="32"/>
          <w:szCs w:val="32"/>
          <w:lang w:val="en-US" w:eastAsia="zh-CN" w:bidi="ar-SA"/>
        </w:rPr>
      </w:pPr>
      <w:bookmarkStart w:id="22" w:name="_Toc1790375673"/>
      <w:r>
        <w:rPr>
          <w:rFonts w:hint="eastAsia" w:ascii="楷体_GB2312" w:hAnsi="楷体_GB2312" w:eastAsia="楷体_GB2312" w:cs="楷体_GB2312"/>
          <w:b/>
          <w:bCs w:val="0"/>
          <w:kern w:val="2"/>
          <w:sz w:val="32"/>
          <w:szCs w:val="32"/>
          <w:lang w:val="en-US" w:eastAsia="zh-CN" w:bidi="ar-SA"/>
        </w:rPr>
        <w:t>（三）国有资产占有使用情况。</w:t>
      </w:r>
      <w:bookmarkEnd w:id="22"/>
    </w:p>
    <w:p w14:paraId="1B369E29">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截至2024年底，米易生态环境局及所属的非独立核算单位共有车辆0辆，其中，执法执勤用车0辆。单位价值200万元以上大型设备0台（套）。</w:t>
      </w:r>
    </w:p>
    <w:p w14:paraId="79B434B6">
      <w:pPr>
        <w:pStyle w:val="4"/>
        <w:keepNext w:val="0"/>
        <w:keepLines w:val="0"/>
        <w:pageBreakBefore w:val="0"/>
        <w:widowControl w:val="0"/>
        <w:kinsoku/>
        <w:wordWrap/>
        <w:overflowPunct/>
        <w:topLinePunct w:val="0"/>
        <w:autoSpaceDE/>
        <w:autoSpaceDN/>
        <w:bidi w:val="0"/>
        <w:adjustRightInd w:val="0"/>
        <w:snapToGrid/>
        <w:spacing w:before="130" w:line="600" w:lineRule="exact"/>
        <w:ind w:firstLine="675" w:firstLineChars="210"/>
        <w:textAlignment w:val="auto"/>
        <w:outlineLvl w:val="1"/>
        <w:rPr>
          <w:rFonts w:hint="eastAsia" w:ascii="楷体_GB2312" w:hAnsi="楷体_GB2312" w:eastAsia="楷体_GB2312" w:cs="楷体_GB2312"/>
          <w:b/>
          <w:bCs w:val="0"/>
          <w:kern w:val="2"/>
          <w:sz w:val="32"/>
          <w:szCs w:val="32"/>
          <w:lang w:val="en-US" w:eastAsia="zh-CN" w:bidi="ar-SA"/>
        </w:rPr>
      </w:pPr>
      <w:bookmarkStart w:id="23" w:name="_Toc1181133875"/>
      <w:r>
        <w:rPr>
          <w:rFonts w:hint="eastAsia" w:ascii="楷体_GB2312" w:hAnsi="楷体_GB2312" w:eastAsia="楷体_GB2312" w:cs="楷体_GB2312"/>
          <w:b/>
          <w:bCs w:val="0"/>
          <w:kern w:val="2"/>
          <w:sz w:val="32"/>
          <w:szCs w:val="32"/>
          <w:lang w:val="en-US" w:eastAsia="zh-CN" w:bidi="ar-SA"/>
        </w:rPr>
        <w:t>（四）预算绩效情况。</w:t>
      </w:r>
      <w:bookmarkEnd w:id="23"/>
    </w:p>
    <w:p w14:paraId="44F06E5C">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2026年米易生态环境局开展绩效目标管理的项目0个，涉及预算0万元。其中：人员类项目0个，涉及预算0万元；运转类项目0个，涉及预算0万元；特定目标类项目0个，涉及预算0万元。</w:t>
      </w:r>
    </w:p>
    <w:p w14:paraId="78AA2C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eastAsia="黑体"/>
        </w:rPr>
      </w:pPr>
      <w:bookmarkStart w:id="24" w:name="_Toc1976282444"/>
      <w:r>
        <w:rPr>
          <w:rFonts w:hint="eastAsia" w:eastAsia="黑体"/>
        </w:rPr>
        <w:t>十二、名词解释</w:t>
      </w:r>
      <w:bookmarkEnd w:id="24"/>
    </w:p>
    <w:p w14:paraId="25AD878D">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1.一般公共预算拨款收入：指市级财政当年拨付的资金。</w:t>
      </w:r>
    </w:p>
    <w:p w14:paraId="512B7DCC">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2.社会保障和就业支出（类）行政事业单位养老支出（款）行政单位离退休（项）：指市机关及参公管理事业单位用于开支的退休经费支出。</w:t>
      </w:r>
    </w:p>
    <w:p w14:paraId="6368655C">
      <w:pPr>
        <w:pStyle w:val="14"/>
        <w:keepNext w:val="0"/>
        <w:keepLines w:val="0"/>
        <w:pageBreakBefore w:val="0"/>
        <w:kinsoku/>
        <w:wordWrap/>
        <w:overflowPunct/>
        <w:topLinePunct w:val="0"/>
        <w:bidi w:val="0"/>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3.社会保障和就业支出（类）行政事业单位离退休（款）机关事业单位基本养老保险缴费支出（项）：指市机关及参公管理事业单位用于缴纳单位基本养老保险费支出。</w:t>
      </w:r>
    </w:p>
    <w:p w14:paraId="797E29CB">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4.卫生健康支出（类）行政事业单位医疗（款）行政单位医疗（项）：指市机关及参公管理事业单位用于缴纳单位基本医疗保险支出。</w:t>
      </w:r>
    </w:p>
    <w:p w14:paraId="4986AD3B">
      <w:pPr>
        <w:pStyle w:val="14"/>
        <w:keepNext w:val="0"/>
        <w:keepLines w:val="0"/>
        <w:pageBreakBefore w:val="0"/>
        <w:kinsoku/>
        <w:wordWrap/>
        <w:overflowPunct/>
        <w:topLinePunct w:val="0"/>
        <w:bidi w:val="0"/>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5.卫生健康支出（类）行政事业单位医疗（款）公务员医疗补助（项）：指市机关及参公管理事业单位用于缴纳单位公务员医疗补助经费支出。</w:t>
      </w:r>
    </w:p>
    <w:p w14:paraId="0A081ED0">
      <w:pPr>
        <w:keepNext w:val="0"/>
        <w:keepLines w:val="0"/>
        <w:pageBreakBefore w:val="0"/>
        <w:kinsoku/>
        <w:wordWrap/>
        <w:overflowPunct/>
        <w:topLinePunct w:val="0"/>
        <w:bidi w:val="0"/>
        <w:snapToGrid/>
        <w:spacing w:beforeLines="30"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6.卫生健康支出（类）行政事业单位医疗（款）其他行政事业单位医疗支出（项）：指市机关及参公管理事业单位用于缴纳单位其他用于行政事业单位医疗方面的支出。</w:t>
      </w:r>
    </w:p>
    <w:p w14:paraId="3F83D879">
      <w:pPr>
        <w:keepNext w:val="0"/>
        <w:keepLines w:val="0"/>
        <w:pageBreakBefore w:val="0"/>
        <w:kinsoku/>
        <w:wordWrap/>
        <w:overflowPunct/>
        <w:topLinePunct w:val="0"/>
        <w:bidi w:val="0"/>
        <w:snapToGrid/>
        <w:spacing w:beforeLines="30"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7.节能环保支出（类）环境保护管理事务（款）行政运行（项）：指市机关及参公管理事业单位用于的基本支出。</w:t>
      </w:r>
    </w:p>
    <w:p w14:paraId="34F84021">
      <w:pPr>
        <w:keepNext w:val="0"/>
        <w:keepLines w:val="0"/>
        <w:pageBreakBefore w:val="0"/>
        <w:kinsoku/>
        <w:wordWrap/>
        <w:overflowPunct/>
        <w:topLinePunct w:val="0"/>
        <w:bidi w:val="0"/>
        <w:snapToGrid/>
        <w:spacing w:beforeLines="30"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8.住房保障支出（类）住房改革支出（款）住房公积金（项）：指市机关及参公管理事业单位用于缴纳单位的住房公积金。</w:t>
      </w:r>
    </w:p>
    <w:p w14:paraId="3DA2B16F">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9.基本支出：指为保证机构正常运转，完成日常工作任务而发生的人员支出和公用支出。</w:t>
      </w:r>
    </w:p>
    <w:p w14:paraId="43EECCF4">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10.项目支出：指在基本支出之外为完成特定的工作任务和事业发展目标所发生的支出。</w:t>
      </w:r>
    </w:p>
    <w:p w14:paraId="3FD2FBE7">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11.“三公”经费：纳入预决算管理的“三公”经费，是指单位用财政拨款安排的因公出国（境）费、公务用车购置及运行费和公务接待费。其中，因公出国（境）费反映单位公务出国（境）的国际旅费、国外城市间交通费、住宿费、伙食费、培训费、公杂费等支出；公务用车购置及运行维护费反映单位公务用车购置支出（含车辆购置税、牌照费）及按规定保留的公务用车燃料费、维修费、过路过桥费、保险费、安全奖励费用等支出；公务接待费反映单位按规定开支的各类公务接待（含外宾接待）费用。</w:t>
      </w:r>
    </w:p>
    <w:p w14:paraId="7F811C85">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12.机关运行经费：为保障行政单位（包含参照公务员法管理的事业单位）运行用于购买货物和服务的各项资金。包括办公费、水费、电费、印刷费、邮电费、差旅费、会议费等费用开支。</w:t>
      </w:r>
    </w:p>
    <w:p w14:paraId="586030CB">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附件：表1.单位收支总表</w:t>
      </w:r>
    </w:p>
    <w:p w14:paraId="649409E3">
      <w:pPr>
        <w:keepNext w:val="0"/>
        <w:keepLines w:val="0"/>
        <w:pageBreakBefore w:val="0"/>
        <w:kinsoku/>
        <w:wordWrap/>
        <w:overflowPunct/>
        <w:topLinePunct w:val="0"/>
        <w:bidi w:val="0"/>
        <w:snapToGrid/>
        <w:spacing w:line="600" w:lineRule="exact"/>
        <w:ind w:firstLine="1600" w:firstLineChars="500"/>
        <w:textAlignment w:val="auto"/>
        <w:rPr>
          <w:rFonts w:hint="eastAsia" w:ascii="仿宋_GB2312" w:hAnsi="仿宋_GB2312" w:eastAsia="仿宋_GB2312" w:cs="仿宋_GB2312"/>
        </w:rPr>
      </w:pPr>
      <w:r>
        <w:rPr>
          <w:rFonts w:hint="eastAsia" w:ascii="仿宋_GB2312" w:hAnsi="仿宋_GB2312" w:eastAsia="仿宋_GB2312" w:cs="仿宋_GB2312"/>
        </w:rPr>
        <w:t>表1-1.单位收入总表</w:t>
      </w:r>
    </w:p>
    <w:p w14:paraId="6271E25D">
      <w:pPr>
        <w:keepNext w:val="0"/>
        <w:keepLines w:val="0"/>
        <w:pageBreakBefore w:val="0"/>
        <w:kinsoku/>
        <w:wordWrap/>
        <w:overflowPunct/>
        <w:topLinePunct w:val="0"/>
        <w:bidi w:val="0"/>
        <w:snapToGrid/>
        <w:spacing w:line="600" w:lineRule="exact"/>
        <w:ind w:firstLine="1600" w:firstLineChars="500"/>
        <w:textAlignment w:val="auto"/>
        <w:rPr>
          <w:rFonts w:hint="eastAsia" w:ascii="仿宋_GB2312" w:hAnsi="仿宋_GB2312" w:eastAsia="仿宋_GB2312" w:cs="仿宋_GB2312"/>
        </w:rPr>
      </w:pPr>
      <w:bookmarkStart w:id="25" w:name="_GoBack"/>
      <w:bookmarkEnd w:id="25"/>
      <w:r>
        <w:rPr>
          <w:rFonts w:hint="eastAsia" w:ascii="仿宋_GB2312" w:hAnsi="仿宋_GB2312" w:eastAsia="仿宋_GB2312" w:cs="仿宋_GB2312"/>
        </w:rPr>
        <w:t>表1-2.单位支出总表</w:t>
      </w:r>
    </w:p>
    <w:p w14:paraId="27A13D29">
      <w:pPr>
        <w:keepNext w:val="0"/>
        <w:keepLines w:val="0"/>
        <w:pageBreakBefore w:val="0"/>
        <w:kinsoku/>
        <w:wordWrap/>
        <w:overflowPunct/>
        <w:topLinePunct w:val="0"/>
        <w:bidi w:val="0"/>
        <w:snapToGrid/>
        <w:spacing w:line="600" w:lineRule="exact"/>
        <w:ind w:firstLine="1600" w:firstLineChars="500"/>
        <w:textAlignment w:val="auto"/>
        <w:rPr>
          <w:rFonts w:hint="eastAsia" w:ascii="仿宋_GB2312" w:hAnsi="仿宋_GB2312" w:eastAsia="仿宋_GB2312" w:cs="仿宋_GB2312"/>
        </w:rPr>
      </w:pPr>
      <w:r>
        <w:rPr>
          <w:rFonts w:hint="eastAsia" w:ascii="仿宋_GB2312" w:hAnsi="仿宋_GB2312" w:eastAsia="仿宋_GB2312" w:cs="仿宋_GB2312"/>
        </w:rPr>
        <w:t>表2.财政拨款收支预算总表</w:t>
      </w:r>
    </w:p>
    <w:p w14:paraId="688A7207">
      <w:pPr>
        <w:keepNext w:val="0"/>
        <w:keepLines w:val="0"/>
        <w:pageBreakBefore w:val="0"/>
        <w:kinsoku/>
        <w:wordWrap/>
        <w:overflowPunct/>
        <w:topLinePunct w:val="0"/>
        <w:bidi w:val="0"/>
        <w:snapToGrid/>
        <w:spacing w:line="600" w:lineRule="exact"/>
        <w:ind w:firstLine="1600" w:firstLineChars="500"/>
        <w:textAlignment w:val="auto"/>
        <w:rPr>
          <w:rFonts w:hint="eastAsia" w:ascii="仿宋_GB2312" w:hAnsi="仿宋_GB2312" w:eastAsia="仿宋_GB2312" w:cs="仿宋_GB2312"/>
        </w:rPr>
      </w:pPr>
      <w:r>
        <w:rPr>
          <w:rFonts w:hint="eastAsia" w:ascii="仿宋_GB2312" w:hAnsi="仿宋_GB2312" w:eastAsia="仿宋_GB2312" w:cs="仿宋_GB2312"/>
        </w:rPr>
        <w:t>表2-1.财政拨款支出预算表</w:t>
      </w:r>
    </w:p>
    <w:p w14:paraId="15C39724">
      <w:pPr>
        <w:keepNext w:val="0"/>
        <w:keepLines w:val="0"/>
        <w:pageBreakBefore w:val="0"/>
        <w:kinsoku/>
        <w:wordWrap/>
        <w:overflowPunct/>
        <w:topLinePunct w:val="0"/>
        <w:bidi w:val="0"/>
        <w:snapToGrid/>
        <w:spacing w:line="600" w:lineRule="exact"/>
        <w:ind w:firstLine="1600" w:firstLineChars="500"/>
        <w:textAlignment w:val="auto"/>
        <w:rPr>
          <w:rFonts w:hint="eastAsia" w:ascii="仿宋_GB2312" w:hAnsi="仿宋_GB2312" w:eastAsia="仿宋_GB2312" w:cs="仿宋_GB2312"/>
        </w:rPr>
      </w:pPr>
      <w:r>
        <w:rPr>
          <w:rFonts w:hint="eastAsia" w:ascii="仿宋_GB2312" w:hAnsi="仿宋_GB2312" w:eastAsia="仿宋_GB2312" w:cs="仿宋_GB2312"/>
        </w:rPr>
        <w:t>表3.一般公共预算支出预算表</w:t>
      </w:r>
    </w:p>
    <w:p w14:paraId="17D76ED9">
      <w:pPr>
        <w:keepNext w:val="0"/>
        <w:keepLines w:val="0"/>
        <w:pageBreakBefore w:val="0"/>
        <w:kinsoku/>
        <w:wordWrap/>
        <w:overflowPunct/>
        <w:topLinePunct w:val="0"/>
        <w:bidi w:val="0"/>
        <w:snapToGrid/>
        <w:spacing w:line="600" w:lineRule="exact"/>
        <w:ind w:firstLine="1600" w:firstLineChars="500"/>
        <w:textAlignment w:val="auto"/>
        <w:rPr>
          <w:rFonts w:hint="eastAsia" w:ascii="仿宋_GB2312" w:hAnsi="仿宋_GB2312" w:eastAsia="仿宋_GB2312" w:cs="仿宋_GB2312"/>
        </w:rPr>
      </w:pPr>
      <w:r>
        <w:rPr>
          <w:rFonts w:hint="eastAsia" w:ascii="仿宋_GB2312" w:hAnsi="仿宋_GB2312" w:eastAsia="仿宋_GB2312" w:cs="仿宋_GB2312"/>
        </w:rPr>
        <w:t>表3-1.一般公共预算基本支出预算表</w:t>
      </w:r>
    </w:p>
    <w:p w14:paraId="47BA82EC">
      <w:pPr>
        <w:keepNext w:val="0"/>
        <w:keepLines w:val="0"/>
        <w:pageBreakBefore w:val="0"/>
        <w:kinsoku/>
        <w:wordWrap/>
        <w:overflowPunct/>
        <w:topLinePunct w:val="0"/>
        <w:bidi w:val="0"/>
        <w:snapToGrid/>
        <w:spacing w:line="600" w:lineRule="exact"/>
        <w:ind w:firstLine="1600" w:firstLineChars="500"/>
        <w:textAlignment w:val="auto"/>
        <w:rPr>
          <w:rFonts w:hint="eastAsia" w:ascii="仿宋_GB2312" w:hAnsi="仿宋_GB2312" w:eastAsia="仿宋_GB2312" w:cs="仿宋_GB2312"/>
        </w:rPr>
      </w:pPr>
      <w:r>
        <w:rPr>
          <w:rFonts w:hint="eastAsia" w:ascii="仿宋_GB2312" w:hAnsi="仿宋_GB2312" w:eastAsia="仿宋_GB2312" w:cs="仿宋_GB2312"/>
        </w:rPr>
        <w:t>表3-2.一般公共预算项目支出预算表</w:t>
      </w:r>
    </w:p>
    <w:p w14:paraId="16B56C95">
      <w:pPr>
        <w:keepNext w:val="0"/>
        <w:keepLines w:val="0"/>
        <w:pageBreakBefore w:val="0"/>
        <w:kinsoku/>
        <w:wordWrap/>
        <w:overflowPunct/>
        <w:topLinePunct w:val="0"/>
        <w:bidi w:val="0"/>
        <w:snapToGrid/>
        <w:spacing w:line="600" w:lineRule="exact"/>
        <w:ind w:firstLine="1600" w:firstLineChars="500"/>
        <w:textAlignment w:val="auto"/>
        <w:rPr>
          <w:rFonts w:hint="eastAsia" w:ascii="仿宋_GB2312" w:hAnsi="仿宋_GB2312" w:eastAsia="仿宋_GB2312" w:cs="仿宋_GB2312"/>
        </w:rPr>
      </w:pPr>
      <w:r>
        <w:rPr>
          <w:rFonts w:hint="eastAsia" w:ascii="仿宋_GB2312" w:hAnsi="仿宋_GB2312" w:eastAsia="仿宋_GB2312" w:cs="仿宋_GB2312"/>
        </w:rPr>
        <w:t>表3-3.一般公共预算“三公”经费支出预算表</w:t>
      </w:r>
    </w:p>
    <w:p w14:paraId="562D3A71">
      <w:pPr>
        <w:keepNext w:val="0"/>
        <w:keepLines w:val="0"/>
        <w:pageBreakBefore w:val="0"/>
        <w:kinsoku/>
        <w:wordWrap/>
        <w:overflowPunct/>
        <w:topLinePunct w:val="0"/>
        <w:bidi w:val="0"/>
        <w:snapToGrid/>
        <w:spacing w:line="600" w:lineRule="exact"/>
        <w:ind w:firstLine="1600" w:firstLineChars="500"/>
        <w:textAlignment w:val="auto"/>
        <w:rPr>
          <w:rFonts w:hint="eastAsia" w:ascii="仿宋_GB2312" w:hAnsi="仿宋_GB2312" w:eastAsia="仿宋_GB2312" w:cs="仿宋_GB2312"/>
        </w:rPr>
      </w:pPr>
      <w:r>
        <w:rPr>
          <w:rFonts w:hint="eastAsia" w:ascii="仿宋_GB2312" w:hAnsi="仿宋_GB2312" w:eastAsia="仿宋_GB2312" w:cs="仿宋_GB2312"/>
        </w:rPr>
        <w:t>表4.政府性基金支出预算表</w:t>
      </w:r>
    </w:p>
    <w:p w14:paraId="7AB09453">
      <w:pPr>
        <w:keepNext w:val="0"/>
        <w:keepLines w:val="0"/>
        <w:pageBreakBefore w:val="0"/>
        <w:kinsoku/>
        <w:wordWrap/>
        <w:overflowPunct/>
        <w:topLinePunct w:val="0"/>
        <w:bidi w:val="0"/>
        <w:snapToGrid/>
        <w:spacing w:line="600" w:lineRule="exact"/>
        <w:ind w:firstLine="1600" w:firstLineChars="500"/>
        <w:textAlignment w:val="auto"/>
        <w:rPr>
          <w:rFonts w:hint="eastAsia" w:ascii="仿宋_GB2312" w:hAnsi="仿宋_GB2312" w:eastAsia="仿宋_GB2312" w:cs="仿宋_GB2312"/>
        </w:rPr>
      </w:pPr>
      <w:r>
        <w:rPr>
          <w:rFonts w:hint="eastAsia" w:ascii="仿宋_GB2312" w:hAnsi="仿宋_GB2312" w:eastAsia="仿宋_GB2312" w:cs="仿宋_GB2312"/>
        </w:rPr>
        <w:t>表4-1.政府性基金预算“三公”经费支出预算表</w:t>
      </w:r>
    </w:p>
    <w:p w14:paraId="34EAEDE2">
      <w:pPr>
        <w:keepNext w:val="0"/>
        <w:keepLines w:val="0"/>
        <w:pageBreakBefore w:val="0"/>
        <w:kinsoku/>
        <w:wordWrap/>
        <w:overflowPunct/>
        <w:topLinePunct w:val="0"/>
        <w:bidi w:val="0"/>
        <w:snapToGrid/>
        <w:spacing w:line="600" w:lineRule="exact"/>
        <w:ind w:firstLine="1600" w:firstLineChars="500"/>
        <w:textAlignment w:val="auto"/>
        <w:rPr>
          <w:rFonts w:hint="eastAsia" w:ascii="仿宋_GB2312" w:hAnsi="仿宋_GB2312" w:eastAsia="仿宋_GB2312" w:cs="仿宋_GB2312"/>
        </w:rPr>
      </w:pPr>
      <w:r>
        <w:rPr>
          <w:rFonts w:hint="eastAsia" w:ascii="仿宋_GB2312" w:hAnsi="仿宋_GB2312" w:eastAsia="仿宋_GB2312" w:cs="仿宋_GB2312"/>
        </w:rPr>
        <w:t>表5.国有资本经营预算支出预算表</w:t>
      </w:r>
    </w:p>
    <w:p w14:paraId="3B6941A3">
      <w:pPr>
        <w:keepNext w:val="0"/>
        <w:keepLines w:val="0"/>
        <w:pageBreakBefore w:val="0"/>
        <w:kinsoku/>
        <w:wordWrap/>
        <w:overflowPunct/>
        <w:topLinePunct w:val="0"/>
        <w:bidi w:val="0"/>
        <w:snapToGrid/>
        <w:spacing w:line="600" w:lineRule="exact"/>
        <w:ind w:firstLine="1600" w:firstLineChars="500"/>
        <w:textAlignment w:val="auto"/>
        <w:rPr>
          <w:rFonts w:hint="eastAsia" w:ascii="仿宋_GB2312" w:hAnsi="仿宋_GB2312" w:eastAsia="仿宋_GB2312" w:cs="仿宋_GB2312"/>
        </w:rPr>
      </w:pPr>
      <w:r>
        <w:rPr>
          <w:rFonts w:hint="eastAsia" w:ascii="仿宋_GB2312" w:hAnsi="仿宋_GB2312" w:eastAsia="仿宋_GB2312" w:cs="仿宋_GB2312"/>
        </w:rPr>
        <w:t>表6.单位预算项目绩效目标表</w:t>
      </w:r>
    </w:p>
    <w:p w14:paraId="548303E2">
      <w:pPr>
        <w:keepNext w:val="0"/>
        <w:keepLines w:val="0"/>
        <w:pageBreakBefore w:val="0"/>
        <w:kinsoku/>
        <w:wordWrap/>
        <w:overflowPunct/>
        <w:topLinePunct w:val="0"/>
        <w:bidi w:val="0"/>
        <w:snapToGrid/>
        <w:spacing w:line="600" w:lineRule="exact"/>
        <w:ind w:firstLine="1600" w:firstLineChars="500"/>
        <w:textAlignment w:val="auto"/>
        <w:rPr>
          <w:rFonts w:hint="eastAsia" w:ascii="仿宋_GB2312" w:hAnsi="仿宋_GB2312" w:eastAsia="仿宋_GB2312" w:cs="仿宋_GB2312"/>
        </w:rPr>
      </w:pPr>
      <w:r>
        <w:rPr>
          <w:rFonts w:hint="eastAsia" w:ascii="仿宋_GB2312" w:hAnsi="仿宋_GB2312" w:eastAsia="仿宋_GB2312" w:cs="仿宋_GB2312"/>
        </w:rPr>
        <w:t>表7.单位整体支出绩效目标表</w:t>
      </w:r>
    </w:p>
    <w:p w14:paraId="22952474">
      <w:pPr>
        <w:keepNext w:val="0"/>
        <w:keepLines w:val="0"/>
        <w:pageBreakBefore w:val="0"/>
        <w:kinsoku/>
        <w:wordWrap/>
        <w:overflowPunct/>
        <w:topLinePunct w:val="0"/>
        <w:bidi w:val="0"/>
        <w:snapToGrid/>
        <w:spacing w:line="600" w:lineRule="exact"/>
        <w:ind w:firstLine="640" w:firstLineChars="200"/>
        <w:textAlignment w:val="auto"/>
        <w:rPr>
          <w:u w:val="single"/>
        </w:rPr>
      </w:pPr>
    </w:p>
    <w:p w14:paraId="5C0A20F7">
      <w:pPr>
        <w:keepNext w:val="0"/>
        <w:keepLines w:val="0"/>
        <w:pageBreakBefore w:val="0"/>
        <w:kinsoku/>
        <w:wordWrap/>
        <w:overflowPunct/>
        <w:topLinePunct w:val="0"/>
        <w:bidi w:val="0"/>
        <w:snapToGrid/>
        <w:spacing w:line="600" w:lineRule="exact"/>
        <w:textAlignment w:val="auto"/>
      </w:pPr>
    </w:p>
    <w:sectPr>
      <w:footerReference r:id="rId4" w:type="default"/>
      <w:pgSz w:w="11906" w:h="16838"/>
      <w:pgMar w:top="1247" w:right="1542" w:bottom="1247" w:left="2098" w:header="851" w:footer="992" w:gutter="0"/>
      <w:pgNumType w:fmt="numberInDash"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script"/>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23179">
    <w:pPr>
      <w:pStyle w:val="6"/>
      <w:framePr w:wrap="around" w:vAnchor="text" w:hAnchor="margin" w:xAlign="center" w:y="1"/>
      <w:rPr>
        <w:rStyle w:val="13"/>
      </w:rPr>
    </w:pPr>
    <w:r>
      <w:fldChar w:fldCharType="begin"/>
    </w:r>
    <w:r>
      <w:rPr>
        <w:rStyle w:val="13"/>
      </w:rPr>
      <w:instrText xml:space="preserve">PAGE  </w:instrText>
    </w:r>
    <w:r>
      <w:fldChar w:fldCharType="end"/>
    </w:r>
  </w:p>
  <w:p w14:paraId="6FDDE8D8">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5F2A4">
    <w:pPr>
      <w:pStyle w:val="6"/>
      <w:framePr w:wrap="around" w:vAnchor="text" w:hAnchor="margin" w:xAlign="center" w:y="1"/>
      <w:rPr>
        <w:rStyle w:val="13"/>
        <w:rFonts w:ascii="宋体" w:hAnsi="宋体"/>
        <w:sz w:val="30"/>
        <w:szCs w:val="30"/>
      </w:rPr>
    </w:pPr>
    <w:r>
      <w:rPr>
        <w:rFonts w:ascii="宋体" w:hAnsi="宋体"/>
        <w:sz w:val="30"/>
        <w:szCs w:val="30"/>
      </w:rPr>
      <w:fldChar w:fldCharType="begin"/>
    </w:r>
    <w:r>
      <w:rPr>
        <w:rStyle w:val="13"/>
        <w:rFonts w:ascii="宋体" w:hAnsi="宋体"/>
        <w:sz w:val="30"/>
        <w:szCs w:val="30"/>
      </w:rPr>
      <w:instrText xml:space="preserve">PAGE  </w:instrText>
    </w:r>
    <w:r>
      <w:rPr>
        <w:rFonts w:ascii="宋体" w:hAnsi="宋体"/>
        <w:sz w:val="30"/>
        <w:szCs w:val="30"/>
      </w:rPr>
      <w:fldChar w:fldCharType="separate"/>
    </w:r>
    <w:r>
      <w:rPr>
        <w:rStyle w:val="13"/>
        <w:rFonts w:ascii="宋体" w:hAnsi="宋体"/>
        <w:sz w:val="30"/>
        <w:szCs w:val="30"/>
      </w:rPr>
      <w:t>- 1 -</w:t>
    </w:r>
    <w:r>
      <w:rPr>
        <w:rFonts w:ascii="宋体" w:hAnsi="宋体"/>
        <w:sz w:val="30"/>
        <w:szCs w:val="30"/>
      </w:rPr>
      <w:fldChar w:fldCharType="end"/>
    </w:r>
  </w:p>
  <w:p w14:paraId="11B2AAB1">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545330F"/>
    <w:rsid w:val="001E654A"/>
    <w:rsid w:val="007A48E0"/>
    <w:rsid w:val="00864C64"/>
    <w:rsid w:val="008979F5"/>
    <w:rsid w:val="009148C6"/>
    <w:rsid w:val="00AC5AEC"/>
    <w:rsid w:val="00D44EE2"/>
    <w:rsid w:val="010A65EE"/>
    <w:rsid w:val="0545330F"/>
    <w:rsid w:val="085602B5"/>
    <w:rsid w:val="112A4A94"/>
    <w:rsid w:val="13EA0FEF"/>
    <w:rsid w:val="18383533"/>
    <w:rsid w:val="1D284817"/>
    <w:rsid w:val="1EBB0511"/>
    <w:rsid w:val="211A211C"/>
    <w:rsid w:val="24E3579A"/>
    <w:rsid w:val="24EF7670"/>
    <w:rsid w:val="27FE1BBB"/>
    <w:rsid w:val="2BEF61A7"/>
    <w:rsid w:val="2C055A74"/>
    <w:rsid w:val="2C3A7F84"/>
    <w:rsid w:val="2D131DD6"/>
    <w:rsid w:val="2EDF0755"/>
    <w:rsid w:val="304F3C33"/>
    <w:rsid w:val="30517430"/>
    <w:rsid w:val="31F555CE"/>
    <w:rsid w:val="37F69212"/>
    <w:rsid w:val="3AB42F74"/>
    <w:rsid w:val="3E525533"/>
    <w:rsid w:val="3EEA1EDA"/>
    <w:rsid w:val="3FCC5B0E"/>
    <w:rsid w:val="4E3D2450"/>
    <w:rsid w:val="50FA290F"/>
    <w:rsid w:val="5163676C"/>
    <w:rsid w:val="51DC0A12"/>
    <w:rsid w:val="527D538A"/>
    <w:rsid w:val="552C79A0"/>
    <w:rsid w:val="55C53951"/>
    <w:rsid w:val="55EE866D"/>
    <w:rsid w:val="56FFECC8"/>
    <w:rsid w:val="57FFAE76"/>
    <w:rsid w:val="583842BE"/>
    <w:rsid w:val="5847689F"/>
    <w:rsid w:val="5A286E48"/>
    <w:rsid w:val="5D1F3A72"/>
    <w:rsid w:val="60AF5ABF"/>
    <w:rsid w:val="60DE414B"/>
    <w:rsid w:val="61551FA4"/>
    <w:rsid w:val="61817C8A"/>
    <w:rsid w:val="645D18EA"/>
    <w:rsid w:val="6686712D"/>
    <w:rsid w:val="6C5D1A55"/>
    <w:rsid w:val="6D3413D7"/>
    <w:rsid w:val="6EC9405A"/>
    <w:rsid w:val="6FBD17B8"/>
    <w:rsid w:val="738D5A97"/>
    <w:rsid w:val="73BB6668"/>
    <w:rsid w:val="747F7695"/>
    <w:rsid w:val="77244524"/>
    <w:rsid w:val="7B2F80B7"/>
    <w:rsid w:val="7C060729"/>
    <w:rsid w:val="7DBBFA29"/>
    <w:rsid w:val="7FFB0601"/>
    <w:rsid w:val="9FFE9483"/>
    <w:rsid w:val="AFFF5A17"/>
    <w:rsid w:val="B5FF9E33"/>
    <w:rsid w:val="B767823E"/>
    <w:rsid w:val="C8AFC50C"/>
    <w:rsid w:val="CFFC6262"/>
    <w:rsid w:val="D5F94BDE"/>
    <w:rsid w:val="DFDD786D"/>
    <w:rsid w:val="E7EF2890"/>
    <w:rsid w:val="EA6B9209"/>
    <w:rsid w:val="ED5DADF1"/>
    <w:rsid w:val="F5DCA19C"/>
    <w:rsid w:val="F63A343E"/>
    <w:rsid w:val="FCF76979"/>
    <w:rsid w:val="FD7F4FB5"/>
    <w:rsid w:val="FF77A8D8"/>
    <w:rsid w:val="FF9EA2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4"/>
    <w:basedOn w:val="1"/>
    <w:next w:val="1"/>
    <w:unhideWhenUsed/>
    <w:qFormat/>
    <w:uiPriority w:val="0"/>
    <w:pPr>
      <w:spacing w:before="100" w:beforeAutospacing="1" w:after="100" w:afterAutospacing="1"/>
      <w:jc w:val="left"/>
      <w:outlineLvl w:val="3"/>
    </w:pPr>
    <w:rPr>
      <w:rFonts w:hint="eastAsia" w:ascii="宋体" w:hAnsi="宋体" w:eastAsia="宋体"/>
      <w:b/>
      <w:bCs/>
      <w:kern w:val="0"/>
      <w:sz w:val="24"/>
      <w:szCs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4">
    <w:name w:val="Body Text"/>
    <w:basedOn w:val="1"/>
    <w:next w:val="5"/>
    <w:qFormat/>
    <w:uiPriority w:val="0"/>
    <w:pPr>
      <w:spacing w:beforeLines="30"/>
    </w:pPr>
    <w:rPr>
      <w:rFonts w:ascii="仿宋_GB2312"/>
      <w:sz w:val="30"/>
    </w:rPr>
  </w:style>
  <w:style w:type="paragraph" w:styleId="5">
    <w:name w:val="toc 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toc 2"/>
    <w:basedOn w:val="1"/>
    <w:next w:val="1"/>
    <w:qFormat/>
    <w:uiPriority w:val="0"/>
    <w:pPr>
      <w:ind w:left="420" w:leftChars="200"/>
    </w:pPr>
  </w:style>
  <w:style w:type="paragraph" w:styleId="9">
    <w:name w:val="Normal (Web)"/>
    <w:basedOn w:val="1"/>
    <w:qFormat/>
    <w:uiPriority w:val="0"/>
    <w:pPr>
      <w:spacing w:before="100" w:beforeAutospacing="1" w:after="100" w:afterAutospacing="1"/>
      <w:jc w:val="left"/>
    </w:pPr>
    <w:rPr>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paragraph" w:customStyle="1" w:styleId="14">
    <w:name w:val="Default"/>
    <w:qFormat/>
    <w:uiPriority w:val="99"/>
    <w:pPr>
      <w:widowControl w:val="0"/>
      <w:autoSpaceDE w:val="0"/>
      <w:autoSpaceDN w:val="0"/>
      <w:adjustRightInd w:val="0"/>
    </w:pPr>
    <w:rPr>
      <w:rFonts w:ascii="方正仿宋_GBK" w:hAnsi="Times New Roman" w:eastAsia="方正仿宋_GBK" w:cs="方正仿宋_GBK"/>
      <w:color w:val="000000"/>
      <w:sz w:val="24"/>
      <w:szCs w:val="24"/>
      <w:lang w:val="en-US" w:eastAsia="zh-CN" w:bidi="ar-SA"/>
    </w:rPr>
  </w:style>
  <w:style w:type="character" w:customStyle="1" w:styleId="15">
    <w:name w:val="页眉 Char"/>
    <w:basedOn w:val="12"/>
    <w:link w:val="7"/>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ITSK.com</Company>
  <Pages>15</Pages>
  <Words>1173</Words>
  <Characters>6691</Characters>
  <Lines>55</Lines>
  <Paragraphs>15</Paragraphs>
  <TotalTime>5</TotalTime>
  <ScaleCrop>false</ScaleCrop>
  <LinksUpToDate>false</LinksUpToDate>
  <CharactersWithSpaces>7849</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2025-02-11T01:24:00Z</dcterms:created>
  <dc:creator>Administrator</dc:creator>
  <cp:lastModifiedBy>user</cp:lastModifiedBy>
  <dcterms:modified xsi:type="dcterms:W3CDTF">2026-02-05T11:13:01Z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6FF3C9D9E2BF4A51B077393F3BE46386_13</vt:lpwstr>
  </property>
  <property fmtid="{D5CDD505-2E9C-101B-9397-08002B2CF9AE}" pid="4" name="KSOTemplateDocerSaveRecord">
    <vt:lpwstr>eyJoZGlkIjoiNWMyYzcyODYxN2FiZDE0ZjVhZjM3YzFlZDczYjZiMWUifQ==</vt:lpwstr>
  </property>
</Properties>
</file>