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autoSpaceDE w:val="0"/>
        <w:autoSpaceDN w:val="0"/>
        <w:adjustRightInd w:val="0"/>
        <w:snapToGrid w:val="0"/>
        <w:spacing w:line="540" w:lineRule="exact"/>
        <w:jc w:val="left"/>
        <w:rPr>
          <w:rFonts w:ascii="Times New Roman" w:eastAsia="仿宋_GB2312" w:hAnsi="Times New Roman"/>
          <w:b/>
          <w:bCs/>
          <w:kern w:val="0"/>
          <w:sz w:val="28"/>
          <w:szCs w:val="28"/>
        </w:rPr>
      </w:pPr>
      <w:bookmarkStart w:id="0" w:name="_GoBack"/>
      <w:bookmarkEnd w:id="0"/>
      <w:r>
        <w:rPr>
          <w:rFonts w:ascii="Times New Roman" w:eastAsia="仿宋_GB2312" w:hAnsi="Times New Roman"/>
          <w:b/>
          <w:bCs/>
          <w:kern w:val="0"/>
          <w:sz w:val="28"/>
          <w:szCs w:val="28"/>
        </w:rPr>
        <w:t>附件</w:t>
      </w:r>
    </w:p>
    <w:p>
      <w:pPr>
        <w:autoSpaceDE w:val="0"/>
        <w:autoSpaceDN w:val="0"/>
        <w:adjustRightInd w:val="0"/>
        <w:snapToGrid w:val="0"/>
        <w:spacing w:line="540" w:lineRule="exact"/>
        <w:ind w:firstLineChars="200" w:firstLine="560"/>
        <w:jc w:val="left"/>
        <w:rPr>
          <w:rFonts w:ascii="Times New Roman" w:eastAsia="仿宋_GB2312" w:hAnsi="Times New Roman"/>
          <w:b/>
          <w:bCs/>
          <w:kern w:val="0"/>
          <w:sz w:val="28"/>
          <w:szCs w:val="28"/>
        </w:rPr>
      </w:pPr>
    </w:p>
    <w:p>
      <w:pPr>
        <w:autoSpaceDE w:val="0"/>
        <w:autoSpaceDN w:val="0"/>
        <w:adjustRightInd w:val="0"/>
        <w:snapToGrid w:val="0"/>
        <w:spacing w:line="540" w:lineRule="exact"/>
        <w:ind w:firstLineChars="200" w:firstLine="560"/>
        <w:jc w:val="center"/>
        <w:rPr>
          <w:rFonts w:ascii="Times New Roman" w:eastAsia="仿宋_GB2312" w:hAnsi="Times New Roman"/>
          <w:b/>
          <w:bCs/>
          <w:kern w:val="0"/>
          <w:sz w:val="28"/>
          <w:szCs w:val="28"/>
        </w:rPr>
      </w:pPr>
      <w:r>
        <w:rPr>
          <w:rFonts w:ascii="Times New Roman" w:eastAsia="仿宋_GB2312" w:hAnsi="Times New Roman" w:hint="eastAsia"/>
          <w:b/>
          <w:bCs/>
          <w:kern w:val="0"/>
          <w:sz w:val="28"/>
          <w:szCs w:val="28"/>
        </w:rPr>
        <w:t>全球环境基金（</w:t>
      </w:r>
      <w:r>
        <w:rPr>
          <w:rFonts w:ascii="Times New Roman" w:eastAsia="仿宋_GB2312" w:hAnsi="Times New Roman"/>
          <w:b/>
          <w:bCs/>
          <w:kern w:val="0"/>
          <w:sz w:val="28"/>
          <w:szCs w:val="28"/>
        </w:rPr>
        <w:t>GEF</w:t>
      </w:r>
      <w:r>
        <w:rPr>
          <w:rFonts w:ascii="Times New Roman" w:eastAsia="仿宋_GB2312" w:hAnsi="Times New Roman" w:hint="eastAsia"/>
          <w:b/>
          <w:bCs/>
          <w:kern w:val="0"/>
          <w:sz w:val="28"/>
          <w:szCs w:val="28"/>
        </w:rPr>
        <w:t>）</w:t>
      </w:r>
    </w:p>
    <w:p>
      <w:pPr>
        <w:autoSpaceDE w:val="0"/>
        <w:autoSpaceDN w:val="0"/>
        <w:adjustRightInd w:val="0"/>
        <w:snapToGrid w:val="0"/>
        <w:spacing w:line="540" w:lineRule="exact"/>
        <w:ind w:firstLineChars="200" w:firstLine="560"/>
        <w:jc w:val="center"/>
        <w:rPr>
          <w:rFonts w:ascii="Times New Roman" w:eastAsia="仿宋_GB2312" w:hAnsi="Times New Roman"/>
          <w:b/>
          <w:bCs/>
          <w:kern w:val="0"/>
          <w:sz w:val="28"/>
          <w:szCs w:val="28"/>
        </w:rPr>
      </w:pPr>
      <w:r>
        <w:rPr>
          <w:rFonts w:ascii="Times New Roman" w:eastAsia="仿宋_GB2312" w:hAnsi="Times New Roman" w:hint="eastAsia"/>
          <w:b/>
          <w:bCs/>
          <w:kern w:val="0"/>
          <w:sz w:val="28"/>
          <w:szCs w:val="28"/>
        </w:rPr>
        <w:t>推动生物多样性在长江经济带建设中的主流化项目</w:t>
      </w:r>
    </w:p>
    <w:p>
      <w:pPr>
        <w:adjustRightInd w:val="0"/>
        <w:snapToGrid w:val="0"/>
        <w:spacing w:line="540" w:lineRule="exact"/>
        <w:ind w:firstLineChars="200" w:firstLine="640"/>
        <w:jc w:val="center"/>
        <w:rPr>
          <w:rFonts w:ascii="Times New Roman" w:eastAsia="黑体" w:hAnsi="Times New Roman"/>
          <w:kern w:val="0"/>
          <w:sz w:val="32"/>
          <w:szCs w:val="32"/>
        </w:rPr>
      </w:pPr>
      <w:r>
        <w:rPr>
          <w:rFonts w:ascii="Times New Roman" w:eastAsia="黑体" w:hAnsi="Times New Roman" w:hint="eastAsia"/>
          <w:kern w:val="0"/>
          <w:sz w:val="32"/>
          <w:szCs w:val="32"/>
        </w:rPr>
        <w:t>四川攀枝花试点示范项目实施工作大纲</w:t>
      </w:r>
    </w:p>
    <w:p>
      <w:pPr>
        <w:autoSpaceDE w:val="0"/>
        <w:autoSpaceDN w:val="0"/>
        <w:adjustRightInd w:val="0"/>
        <w:snapToGrid w:val="0"/>
        <w:ind w:firstLineChars="200" w:firstLine="560"/>
        <w:jc w:val="center"/>
        <w:rPr>
          <w:rFonts w:ascii="Times New Roman" w:hAnsi="Times New Roman"/>
          <w:kern w:val="0"/>
          <w:sz w:val="28"/>
          <w:szCs w:val="28"/>
        </w:rPr>
      </w:pPr>
    </w:p>
    <w:p>
      <w:pPr>
        <w:pStyle w:val="27"/>
        <w:numPr>
          <w:ilvl w:val="0"/>
          <w:numId w:val="1"/>
        </w:numPr>
        <w:tabs>
          <w:tab w:val="left" w:pos="1134"/>
        </w:tabs>
        <w:adjustRightInd w:val="0"/>
        <w:snapToGrid w:val="0"/>
        <w:spacing w:line="540" w:lineRule="exact"/>
        <w:ind w:left="0" w:firstLineChars="0" w:firstLine="560"/>
        <w:rPr>
          <w:rFonts w:ascii="Times New Roman" w:eastAsia="黑体" w:hAnsi="Times New Roman"/>
          <w:sz w:val="28"/>
          <w:szCs w:val="28"/>
        </w:rPr>
      </w:pPr>
      <w:r>
        <w:rPr>
          <w:rFonts w:ascii="Times New Roman" w:eastAsia="黑体" w:hAnsi="Times New Roman" w:hint="eastAsia"/>
          <w:sz w:val="28"/>
          <w:szCs w:val="28"/>
        </w:rPr>
        <w:t>工作目标</w:t>
      </w:r>
    </w:p>
    <w:p>
      <w:pPr>
        <w:pStyle w:val="27"/>
        <w:adjustRightInd w:val="0"/>
        <w:snapToGrid w:val="0"/>
        <w:spacing w:line="540" w:lineRule="exact"/>
        <w:rPr>
          <w:rFonts w:ascii="Times New Roman" w:eastAsia="仿宋_GB2312" w:hAnsi="Times New Roman"/>
          <w:sz w:val="28"/>
          <w:szCs w:val="28"/>
        </w:rPr>
      </w:pPr>
      <w:r>
        <w:rPr>
          <w:rFonts w:ascii="Times New Roman" w:eastAsia="仿宋_GB2312" w:hAnsi="Times New Roman" w:hint="eastAsia"/>
          <w:sz w:val="28"/>
          <w:szCs w:val="28"/>
        </w:rPr>
        <w:t>全球环境基金“推动生物多样性在长江经济带建设中的主流化项目”的目标为通过在生产、市政部门纳入生物多样性考量因素，保障长江经济带生物多样性主流化。内容包括三个组分：（1）长江生态环境保护协调机制建设和政策制定。（2）生物多样性在长江经济带发展中的主流化。试点分别为四川省攀枝花市、江西省九江市及安徽省安庆市太湖县和岳西县。（3）知识、能力和信息管理。本项目的</w:t>
      </w:r>
      <w:r>
        <w:rPr>
          <w:rFonts w:ascii="Times New Roman" w:eastAsia="仿宋_GB2312" w:hAnsi="Times New Roman"/>
          <w:sz w:val="28"/>
          <w:szCs w:val="28"/>
        </w:rPr>
        <w:t>4</w:t>
      </w:r>
      <w:r>
        <w:rPr>
          <w:rFonts w:ascii="Times New Roman" w:eastAsia="仿宋_GB2312" w:hAnsi="Times New Roman" w:hint="eastAsia"/>
          <w:sz w:val="28"/>
          <w:szCs w:val="28"/>
        </w:rPr>
        <w:t>个试点分别为四川攀枝花试点区、安徽安庆太湖县和岳西县试点区，以及江西九江试点区。</w:t>
      </w:r>
    </w:p>
    <w:p>
      <w:pPr>
        <w:pStyle w:val="27"/>
        <w:numPr>
          <w:ilvl w:val="0"/>
          <w:numId w:val="1"/>
        </w:numPr>
        <w:tabs>
          <w:tab w:val="left" w:pos="1134"/>
        </w:tabs>
        <w:adjustRightInd w:val="0"/>
        <w:snapToGrid w:val="0"/>
        <w:spacing w:line="540" w:lineRule="exact"/>
        <w:ind w:left="0" w:firstLineChars="0" w:firstLine="560"/>
        <w:rPr>
          <w:rFonts w:ascii="Times New Roman" w:eastAsia="黑体" w:hAnsi="Times New Roman"/>
          <w:sz w:val="28"/>
          <w:szCs w:val="28"/>
        </w:rPr>
      </w:pPr>
      <w:r>
        <w:rPr>
          <w:rFonts w:ascii="Times New Roman" w:eastAsia="黑体" w:hAnsi="Times New Roman" w:hint="eastAsia"/>
          <w:sz w:val="28"/>
          <w:szCs w:val="28"/>
        </w:rPr>
        <w:t>工作成果</w:t>
      </w:r>
    </w:p>
    <w:p>
      <w:pPr>
        <w:pStyle w:val="27"/>
        <w:adjustRightInd w:val="0"/>
        <w:snapToGrid w:val="0"/>
        <w:spacing w:line="540" w:lineRule="exact"/>
        <w:rPr>
          <w:rFonts w:ascii="Times New Roman" w:eastAsia="仿宋_GB2312" w:hAnsi="Times New Roman"/>
          <w:sz w:val="28"/>
          <w:szCs w:val="28"/>
          <w:lang w:val="en-GB"/>
        </w:rPr>
      </w:pPr>
      <w:r>
        <w:rPr>
          <w:rFonts w:ascii="Times New Roman" w:eastAsia="仿宋_GB2312" w:hAnsi="Times New Roman" w:hint="eastAsia"/>
          <w:sz w:val="28"/>
          <w:szCs w:val="28"/>
          <w:lang w:val="en-GB"/>
        </w:rPr>
        <w:t>根据项目文件内容确定的成果如下：</w:t>
      </w:r>
    </w:p>
    <w:p>
      <w:pPr>
        <w:pStyle w:val="27"/>
        <w:adjustRightInd w:val="0"/>
        <w:snapToGrid w:val="0"/>
        <w:spacing w:line="540" w:lineRule="exact"/>
        <w:rPr>
          <w:rFonts w:ascii="Times New Roman" w:eastAsia="仿宋_GB2312" w:hAnsi="Times New Roman"/>
          <w:sz w:val="28"/>
          <w:szCs w:val="28"/>
        </w:rPr>
      </w:pPr>
      <w:r>
        <w:rPr>
          <w:rFonts w:ascii="Times New Roman" w:eastAsia="仿宋_GB2312" w:hAnsi="Times New Roman" w:hint="eastAsia"/>
          <w:sz w:val="28"/>
          <w:szCs w:val="28"/>
        </w:rPr>
        <w:t>（1）开发和实施攀枝花市安宁河生态环境保护和整治方案（简称“生态环境保护和整治方案”），并将其纳入“安宁河流域综合开发总体规划”中。</w:t>
      </w:r>
    </w:p>
    <w:p>
      <w:pPr>
        <w:pStyle w:val="27"/>
        <w:adjustRightInd w:val="0"/>
        <w:snapToGrid w:val="0"/>
        <w:spacing w:line="540" w:lineRule="exact"/>
        <w:rPr>
          <w:rFonts w:ascii="Times New Roman" w:eastAsia="仿宋_GB2312" w:hAnsi="Times New Roman"/>
          <w:sz w:val="28"/>
          <w:szCs w:val="28"/>
        </w:rPr>
      </w:pPr>
      <w:r>
        <w:rPr>
          <w:rFonts w:ascii="Times New Roman" w:eastAsia="仿宋_GB2312" w:hAnsi="Times New Roman" w:hint="eastAsia"/>
          <w:sz w:val="28"/>
          <w:szCs w:val="28"/>
        </w:rPr>
        <w:t>（2）通过项目干预攀枝花安宁河流域将改善的面积</w:t>
      </w:r>
      <w:r>
        <w:rPr>
          <w:rFonts w:ascii="Times New Roman" w:eastAsia="仿宋_GB2312" w:hAnsi="Times New Roman"/>
          <w:sz w:val="28"/>
          <w:szCs w:val="28"/>
        </w:rPr>
        <w:t>152,980</w:t>
      </w:r>
      <w:r>
        <w:rPr>
          <w:rFonts w:ascii="Times New Roman" w:eastAsia="仿宋_GB2312" w:hAnsi="Times New Roman" w:hint="eastAsia"/>
          <w:sz w:val="28"/>
          <w:szCs w:val="28"/>
        </w:rPr>
        <w:t>公顷；</w:t>
      </w:r>
    </w:p>
    <w:p>
      <w:pPr>
        <w:pStyle w:val="27"/>
        <w:adjustRightInd w:val="0"/>
        <w:snapToGrid w:val="0"/>
        <w:spacing w:line="540" w:lineRule="exact"/>
        <w:rPr>
          <w:rFonts w:ascii="Times New Roman" w:eastAsia="仿宋_GB2312" w:hAnsi="Times New Roman"/>
          <w:sz w:val="28"/>
          <w:szCs w:val="28"/>
        </w:rPr>
      </w:pPr>
      <w:r>
        <w:rPr>
          <w:rFonts w:ascii="Times New Roman" w:eastAsia="仿宋_GB2312" w:hAnsi="Times New Roman" w:hint="eastAsia"/>
          <w:sz w:val="28"/>
          <w:szCs w:val="28"/>
        </w:rPr>
        <w:t>（</w:t>
      </w:r>
      <w:r>
        <w:rPr>
          <w:rFonts w:ascii="Times New Roman" w:eastAsia="仿宋_GB2312" w:hAnsi="Times New Roman"/>
          <w:sz w:val="28"/>
          <w:szCs w:val="28"/>
        </w:rPr>
        <w:t>3</w:t>
      </w:r>
      <w:r>
        <w:rPr>
          <w:rFonts w:ascii="Times New Roman" w:eastAsia="仿宋_GB2312" w:hAnsi="Times New Roman" w:hint="eastAsia"/>
          <w:sz w:val="28"/>
          <w:szCs w:val="28"/>
        </w:rPr>
        <w:t>）确保5</w:t>
      </w:r>
      <w:r>
        <w:rPr>
          <w:rFonts w:ascii="Times New Roman" w:eastAsia="仿宋_GB2312" w:hAnsi="Times New Roman"/>
          <w:sz w:val="28"/>
          <w:szCs w:val="28"/>
        </w:rPr>
        <w:t>0%</w:t>
      </w:r>
      <w:r>
        <w:rPr>
          <w:rFonts w:ascii="Times New Roman" w:eastAsia="仿宋_GB2312" w:hAnsi="Times New Roman" w:hint="eastAsia"/>
          <w:sz w:val="28"/>
          <w:szCs w:val="28"/>
        </w:rPr>
        <w:t>的地方女性官员充分参与地方生物多样性主流化的决策。</w:t>
      </w:r>
    </w:p>
    <w:p>
      <w:pPr>
        <w:pStyle w:val="27"/>
        <w:adjustRightInd w:val="0"/>
        <w:snapToGrid w:val="0"/>
        <w:spacing w:line="540" w:lineRule="exact"/>
        <w:rPr>
          <w:rFonts w:ascii="Times New Roman" w:eastAsia="仿宋_GB2312" w:hAnsi="Times New Roman"/>
          <w:sz w:val="28"/>
          <w:szCs w:val="28"/>
        </w:rPr>
      </w:pPr>
      <w:r>
        <w:rPr>
          <w:rFonts w:ascii="Times New Roman" w:eastAsia="仿宋_GB2312" w:hAnsi="Times New Roman" w:hint="eastAsia"/>
          <w:sz w:val="28"/>
          <w:szCs w:val="28"/>
        </w:rPr>
        <w:t>（4）通过项目培训，培训人数达到1,</w:t>
      </w:r>
      <w:r>
        <w:rPr>
          <w:rFonts w:ascii="Times New Roman" w:eastAsia="仿宋_GB2312" w:hAnsi="Times New Roman"/>
          <w:sz w:val="28"/>
          <w:szCs w:val="28"/>
        </w:rPr>
        <w:t>000</w:t>
      </w:r>
      <w:r>
        <w:rPr>
          <w:rFonts w:ascii="Times New Roman" w:eastAsia="仿宋_GB2312" w:hAnsi="Times New Roman" w:hint="eastAsia"/>
          <w:sz w:val="28"/>
          <w:szCs w:val="28"/>
        </w:rPr>
        <w:t>人，其中女性占6</w:t>
      </w:r>
      <w:r>
        <w:rPr>
          <w:rFonts w:ascii="Times New Roman" w:eastAsia="仿宋_GB2312" w:hAnsi="Times New Roman"/>
          <w:sz w:val="28"/>
          <w:szCs w:val="28"/>
        </w:rPr>
        <w:t>0%</w:t>
      </w:r>
      <w:r>
        <w:rPr>
          <w:rFonts w:ascii="Times New Roman" w:eastAsia="仿宋_GB2312" w:hAnsi="Times New Roman" w:hint="eastAsia"/>
          <w:sz w:val="28"/>
          <w:szCs w:val="28"/>
        </w:rPr>
        <w:t>。</w:t>
      </w:r>
    </w:p>
    <w:p>
      <w:pPr>
        <w:pStyle w:val="27"/>
        <w:adjustRightInd w:val="0"/>
        <w:snapToGrid w:val="0"/>
        <w:spacing w:line="540" w:lineRule="exact"/>
        <w:rPr>
          <w:rFonts w:ascii="Times New Roman" w:eastAsia="仿宋_GB2312" w:hAnsi="Times New Roman"/>
          <w:sz w:val="28"/>
          <w:szCs w:val="28"/>
        </w:rPr>
      </w:pPr>
    </w:p>
    <w:p>
      <w:pPr>
        <w:pStyle w:val="27"/>
        <w:numPr>
          <w:ilvl w:val="0"/>
          <w:numId w:val="1"/>
        </w:numPr>
        <w:tabs>
          <w:tab w:val="left" w:pos="1134"/>
        </w:tabs>
        <w:adjustRightInd w:val="0"/>
        <w:snapToGrid w:val="0"/>
        <w:spacing w:line="540" w:lineRule="exact"/>
        <w:ind w:left="0" w:firstLineChars="0" w:firstLine="560"/>
        <w:rPr>
          <w:rFonts w:ascii="Times New Roman" w:eastAsia="黑体" w:hAnsi="Times New Roman"/>
          <w:sz w:val="28"/>
          <w:szCs w:val="28"/>
        </w:rPr>
      </w:pPr>
      <w:r>
        <w:rPr>
          <w:rFonts w:ascii="Times New Roman" w:eastAsia="黑体" w:hAnsi="Times New Roman" w:hint="eastAsia"/>
          <w:sz w:val="28"/>
          <w:szCs w:val="28"/>
        </w:rPr>
        <w:t>工作内容</w:t>
      </w:r>
    </w:p>
    <w:p>
      <w:pPr>
        <w:pStyle w:val="27"/>
        <w:adjustRightInd w:val="0"/>
        <w:snapToGrid w:val="0"/>
        <w:spacing w:line="540" w:lineRule="exact"/>
        <w:rPr>
          <w:rFonts w:ascii="Times New Roman" w:eastAsia="仿宋_GB2312" w:hAnsi="Times New Roman"/>
          <w:sz w:val="28"/>
          <w:szCs w:val="28"/>
        </w:rPr>
      </w:pPr>
      <w:r>
        <w:rPr>
          <w:rFonts w:ascii="Times New Roman" w:eastAsia="仿宋_GB2312" w:hAnsi="Times New Roman" w:hint="eastAsia"/>
          <w:sz w:val="28"/>
          <w:szCs w:val="28"/>
        </w:rPr>
        <w:t>按照项目文件的设计内容及工作成果要求，四川攀枝花试点示范项目将具体有以下产出</w:t>
      </w:r>
      <w:r>
        <w:rPr>
          <w:rStyle w:val="26"/>
          <w:rFonts w:ascii="Times New Roman" w:eastAsia="仿宋_GB2312" w:hAnsi="Times New Roman"/>
          <w:sz w:val="28"/>
          <w:szCs w:val="28"/>
        </w:rPr>
        <w:footnoteReference w:id="2"/>
      </w:r>
      <w:r>
        <w:rPr>
          <w:rFonts w:ascii="Times New Roman" w:eastAsia="仿宋_GB2312" w:hAnsi="Times New Roman" w:hint="eastAsia"/>
          <w:sz w:val="28"/>
          <w:szCs w:val="28"/>
        </w:rPr>
        <w:t>：</w:t>
      </w:r>
    </w:p>
    <w:p>
      <w:pPr>
        <w:pStyle w:val="27"/>
        <w:numPr>
          <w:ilvl w:val="0"/>
          <w:numId w:val="2"/>
        </w:numPr>
        <w:tabs>
          <w:tab w:val="left" w:pos="840"/>
        </w:tabs>
        <w:adjustRightInd w:val="0"/>
        <w:snapToGrid w:val="0"/>
        <w:spacing w:line="540" w:lineRule="exact"/>
        <w:ind w:left="0" w:firstLineChars="0" w:firstLine="562"/>
        <w:rPr>
          <w:rFonts w:ascii="Times New Roman" w:eastAsia="楷体" w:hAnsi="Times New Roman"/>
          <w:b/>
          <w:bCs/>
          <w:sz w:val="28"/>
          <w:szCs w:val="28"/>
        </w:rPr>
      </w:pPr>
      <w:r>
        <w:rPr>
          <w:rFonts w:ascii="Times New Roman" w:eastAsia="仿宋_GB2312" w:hAnsi="Times New Roman" w:hint="eastAsia"/>
          <w:b/>
          <w:sz w:val="28"/>
          <w:szCs w:val="28"/>
        </w:rPr>
        <w:t>产出</w:t>
      </w:r>
      <w:r>
        <w:rPr>
          <w:rFonts w:ascii="Times New Roman" w:eastAsia="仿宋_GB2312" w:hAnsi="Times New Roman"/>
          <w:b/>
          <w:sz w:val="28"/>
          <w:szCs w:val="28"/>
        </w:rPr>
        <w:t>2.1</w:t>
      </w:r>
      <w:r>
        <w:rPr>
          <w:rFonts w:ascii="Times New Roman" w:eastAsia="仿宋_GB2312" w:hAnsi="Times New Roman" w:hint="eastAsia"/>
          <w:b/>
          <w:sz w:val="28"/>
          <w:szCs w:val="28"/>
        </w:rPr>
        <w:t>：</w:t>
      </w:r>
      <w:r>
        <w:rPr>
          <w:rFonts w:ascii="Times New Roman" w:eastAsia="楷体" w:hAnsi="Times New Roman" w:hint="eastAsia"/>
          <w:b/>
          <w:bCs/>
          <w:sz w:val="28"/>
          <w:szCs w:val="28"/>
        </w:rPr>
        <w:t>将生物多样性的考虑纳入四川选取的部分城市的发展规划和政策。</w:t>
      </w:r>
    </w:p>
    <w:p>
      <w:pPr>
        <w:pStyle w:val="27"/>
        <w:tabs>
          <w:tab w:val="left" w:pos="1155"/>
        </w:tabs>
        <w:adjustRightInd w:val="0"/>
        <w:snapToGrid w:val="0"/>
        <w:spacing w:line="540" w:lineRule="exact"/>
        <w:rPr>
          <w:rFonts w:ascii="Times New Roman" w:eastAsia="仿宋_GB2312" w:hAnsi="Times New Roman"/>
          <w:sz w:val="28"/>
          <w:szCs w:val="28"/>
        </w:rPr>
      </w:pPr>
      <w:bookmarkStart w:id="1" w:name="OLE_LINK59"/>
      <w:r>
        <w:rPr>
          <w:rFonts w:ascii="Times New Roman" w:eastAsia="仿宋_GB2312" w:hAnsi="Times New Roman" w:hint="eastAsia"/>
          <w:sz w:val="28"/>
          <w:szCs w:val="28"/>
        </w:rPr>
        <w:t>产出2.1将通过重塑或改变地方政府的发展与经济政策，减少水环境污染和城市化发展对长江流域重要生物多样性的不利影响。本项目将重点支持攀枝花市安宁河流域生态环境保护和整治方案的开发和实施。本项目还将支持通过项目成果3下的研讨会、培训会、知识产品传播与宣传活动，支持在其他市县推广复制上述生物多样性主流化的实现方式、经验和良好实践。</w:t>
      </w:r>
    </w:p>
    <w:p>
      <w:pPr>
        <w:pStyle w:val="27"/>
        <w:tabs>
          <w:tab w:val="left" w:pos="1155"/>
        </w:tabs>
        <w:adjustRightInd w:val="0"/>
        <w:snapToGrid w:val="0"/>
        <w:spacing w:line="540" w:lineRule="exact"/>
        <w:rPr>
          <w:rFonts w:ascii="Times New Roman" w:eastAsia="仿宋_GB2312" w:hAnsi="Times New Roman"/>
          <w:sz w:val="28"/>
          <w:szCs w:val="28"/>
        </w:rPr>
      </w:pPr>
      <w:r>
        <w:rPr>
          <w:rFonts w:ascii="Times New Roman" w:eastAsia="仿宋_GB2312" w:hAnsi="Times New Roman" w:hint="eastAsia"/>
          <w:b/>
          <w:sz w:val="28"/>
          <w:szCs w:val="28"/>
        </w:rPr>
        <w:t>攀枝花市安宁河流域生态环境保护和整治方案：</w:t>
      </w:r>
      <w:r>
        <w:rPr>
          <w:rFonts w:ascii="Times New Roman" w:eastAsia="仿宋_GB2312" w:hAnsi="Times New Roman" w:hint="eastAsia"/>
          <w:sz w:val="28"/>
          <w:szCs w:val="28"/>
        </w:rPr>
        <w:t>安宁河系长江二级支流，为攀枝花三大水系之一，栖息着长江上游特有鱼类约45种、国家二级保护鱼类10余种。然而目前安宁河流域仍存在环境污染严重、水生态功能退化、水生生物多样性下降、水土流失严重以及流域生态系统服务功能维持困难等突出生态环境问题。由于安宁河水系是四川省第二大农业区和重要矿产资源开发地，《四川省国民经济和社会发展第十四个五年规划和2035年远景目标纲要》明确要求，攀枝花市政府要“增强攀枝花市西部经济区创新开发能力，推进安宁河水系综合开发”，并明确提出加快安宁河畔米易县攀枝花城市副中心建设战略。目前安宁河流域综合开发总体规划正处于前期调研和准备阶段，因此攀枝花市生态环境局希望借助本项目，通过制定和实施安宁河流域生态环境保护和整治方案（活动2.1.1），并纳入安宁河流域综合开发总体规划，确保当地经济与环境协调发展。本项目还将支持制定上述方案的评估措施，对相关政府部门和机构开展安宁河流域生物多样性保护的绩效进行考核。此外，项目还将支持总结流域综合开发中生物多样性主流化的成功实践，通过本项目研讨会和培训，介绍和宣传这一国内首创实践。</w:t>
      </w:r>
    </w:p>
    <w:p>
      <w:pPr>
        <w:pStyle w:val="27"/>
        <w:tabs>
          <w:tab w:val="left" w:pos="1155"/>
        </w:tabs>
        <w:adjustRightInd w:val="0"/>
        <w:snapToGrid w:val="0"/>
        <w:spacing w:line="540" w:lineRule="exact"/>
        <w:rPr>
          <w:rFonts w:ascii="Times New Roman" w:eastAsia="仿宋_GB2312" w:hAnsi="Times New Roman"/>
          <w:sz w:val="28"/>
          <w:szCs w:val="28"/>
        </w:rPr>
      </w:pPr>
      <w:r>
        <w:rPr>
          <w:rFonts w:ascii="Times New Roman" w:eastAsia="仿宋_GB2312" w:hAnsi="Times New Roman" w:hint="eastAsia"/>
          <w:sz w:val="28"/>
          <w:szCs w:val="28"/>
        </w:rPr>
        <w:t>过去多年来，国内生物多样性主流化环境保护项目（包括GEF项目）通常将生物多样性保护纳入政府经济社会发展规划或专项规划，但本项目首创将其纳入流域综合发展规划。</w:t>
      </w:r>
    </w:p>
    <w:p>
      <w:pPr>
        <w:pStyle w:val="27"/>
        <w:tabs>
          <w:tab w:val="left" w:pos="1155"/>
        </w:tabs>
        <w:adjustRightInd w:val="0"/>
        <w:snapToGrid w:val="0"/>
        <w:spacing w:line="540" w:lineRule="exact"/>
        <w:rPr>
          <w:rFonts w:ascii="Times New Roman" w:eastAsia="仿宋_GB2312" w:hAnsi="Times New Roman"/>
          <w:b/>
          <w:sz w:val="28"/>
          <w:szCs w:val="28"/>
        </w:rPr>
      </w:pPr>
      <w:r>
        <w:rPr>
          <w:rFonts w:ascii="Times New Roman" w:eastAsia="仿宋_GB2312" w:hAnsi="Times New Roman" w:hint="eastAsia"/>
          <w:b/>
          <w:sz w:val="28"/>
          <w:szCs w:val="28"/>
        </w:rPr>
        <w:t>活动</w:t>
      </w:r>
      <w:r>
        <w:rPr>
          <w:rFonts w:ascii="Times New Roman" w:eastAsia="仿宋_GB2312" w:hAnsi="Times New Roman"/>
          <w:b/>
          <w:sz w:val="28"/>
          <w:szCs w:val="28"/>
        </w:rPr>
        <w:t>2.1.1</w:t>
      </w:r>
      <w:r>
        <w:rPr>
          <w:rFonts w:ascii="Times New Roman" w:eastAsia="仿宋_GB2312" w:hAnsi="Times New Roman" w:hint="eastAsia"/>
          <w:b/>
          <w:sz w:val="28"/>
          <w:szCs w:val="28"/>
        </w:rPr>
        <w:t>：制定和实施攀枝花市安宁河生态环境保护和整治方案（简称“生态环境保护和整治方案”），并将其纳入“安宁河流域综合开发总体规划”中。</w:t>
      </w:r>
    </w:p>
    <w:p>
      <w:pPr>
        <w:pStyle w:val="27"/>
        <w:tabs>
          <w:tab w:val="left" w:pos="1155"/>
        </w:tabs>
        <w:adjustRightInd w:val="0"/>
        <w:snapToGrid w:val="0"/>
        <w:spacing w:line="540" w:lineRule="exact"/>
        <w:rPr>
          <w:rFonts w:ascii="Times New Roman" w:eastAsia="仿宋_GB2312" w:hAnsi="Times New Roman"/>
          <w:sz w:val="28"/>
          <w:szCs w:val="28"/>
        </w:rPr>
      </w:pPr>
      <w:r>
        <w:rPr>
          <w:rFonts w:ascii="Times New Roman" w:eastAsia="仿宋_GB2312" w:hAnsi="Times New Roman" w:hint="eastAsia"/>
          <w:sz w:val="28"/>
          <w:szCs w:val="28"/>
        </w:rPr>
        <w:t>此项活动内容主要包括：</w:t>
      </w:r>
    </w:p>
    <w:p>
      <w:pPr>
        <w:pStyle w:val="27"/>
        <w:tabs>
          <w:tab w:val="left" w:pos="1155"/>
        </w:tabs>
        <w:adjustRightInd w:val="0"/>
        <w:snapToGrid w:val="0"/>
        <w:spacing w:line="540" w:lineRule="exact"/>
        <w:rPr>
          <w:rFonts w:ascii="Times New Roman" w:eastAsia="仿宋_GB2312" w:hAnsi="Times New Roman"/>
          <w:sz w:val="28"/>
          <w:szCs w:val="28"/>
        </w:rPr>
      </w:pPr>
      <w:bookmarkEnd w:id="1"/>
      <w:r>
        <w:rPr>
          <w:rFonts w:ascii="Times New Roman" w:eastAsia="仿宋_GB2312" w:hAnsi="Times New Roman" w:hint="eastAsia"/>
          <w:sz w:val="28"/>
          <w:szCs w:val="28"/>
        </w:rPr>
        <w:t>（1）开展安宁河沿岸各类污染源（工业、生活、农业、水产养殖）的排查和建档；</w:t>
      </w:r>
    </w:p>
    <w:p>
      <w:pPr>
        <w:pStyle w:val="27"/>
        <w:tabs>
          <w:tab w:val="left" w:pos="1155"/>
        </w:tabs>
        <w:adjustRightInd w:val="0"/>
        <w:snapToGrid w:val="0"/>
        <w:spacing w:line="540" w:lineRule="exact"/>
        <w:rPr>
          <w:rFonts w:ascii="Times New Roman" w:eastAsia="仿宋_GB2312" w:hAnsi="Times New Roman"/>
          <w:sz w:val="28"/>
          <w:szCs w:val="28"/>
        </w:rPr>
      </w:pPr>
      <w:r>
        <w:rPr>
          <w:rFonts w:ascii="Times New Roman" w:eastAsia="仿宋_GB2312" w:hAnsi="Times New Roman" w:hint="eastAsia"/>
          <w:sz w:val="28"/>
          <w:szCs w:val="28"/>
        </w:rPr>
        <w:t>（2）开展安宁河水环境质量和水生态调查和评估；界定安宁河流域生物多样性保护各利益相关方的职责、任务和要求；</w:t>
      </w:r>
    </w:p>
    <w:p>
      <w:pPr>
        <w:pStyle w:val="27"/>
        <w:tabs>
          <w:tab w:val="left" w:pos="1155"/>
        </w:tabs>
        <w:adjustRightInd w:val="0"/>
        <w:snapToGrid w:val="0"/>
        <w:spacing w:line="540" w:lineRule="exact"/>
        <w:rPr>
          <w:rFonts w:ascii="Times New Roman" w:eastAsia="仿宋_GB2312" w:hAnsi="Times New Roman"/>
          <w:sz w:val="28"/>
          <w:szCs w:val="28"/>
        </w:rPr>
      </w:pPr>
      <w:r>
        <w:rPr>
          <w:rFonts w:ascii="Times New Roman" w:eastAsia="仿宋_GB2312" w:hAnsi="Times New Roman" w:hint="eastAsia"/>
          <w:sz w:val="28"/>
          <w:szCs w:val="28"/>
        </w:rPr>
        <w:t>（3）编制和发布攀枝花市安宁河流域生态环境保护和整治方案，通过政府文件将其纳入安宁河流域综合开发总体规划，并作为总体规划不可缺少的组成部分，与总体规划同时实施；</w:t>
      </w:r>
    </w:p>
    <w:p>
      <w:pPr>
        <w:pStyle w:val="27"/>
        <w:tabs>
          <w:tab w:val="left" w:pos="1155"/>
        </w:tabs>
        <w:adjustRightInd w:val="0"/>
        <w:snapToGrid w:val="0"/>
        <w:spacing w:line="540" w:lineRule="exact"/>
        <w:rPr>
          <w:rFonts w:ascii="Times New Roman" w:eastAsia="仿宋_GB2312" w:hAnsi="Times New Roman"/>
          <w:sz w:val="28"/>
          <w:szCs w:val="28"/>
        </w:rPr>
      </w:pPr>
      <w:r>
        <w:rPr>
          <w:rFonts w:ascii="Times New Roman" w:eastAsia="仿宋_GB2312" w:hAnsi="Times New Roman" w:hint="eastAsia"/>
          <w:sz w:val="28"/>
          <w:szCs w:val="28"/>
        </w:rPr>
        <w:t>（4）制定上述方案实施效果评估办法，对相关政府部门开展安宁河生物多样性保护的绩效进行评估。</w:t>
      </w:r>
    </w:p>
    <w:p>
      <w:pPr>
        <w:pStyle w:val="27"/>
        <w:tabs>
          <w:tab w:val="left" w:pos="1155"/>
        </w:tabs>
        <w:adjustRightInd w:val="0"/>
        <w:snapToGrid w:val="0"/>
        <w:spacing w:line="540" w:lineRule="exact"/>
        <w:rPr>
          <w:rFonts w:ascii="Times New Roman" w:eastAsia="仿宋_GB2312" w:hAnsi="Times New Roman"/>
          <w:sz w:val="28"/>
          <w:szCs w:val="28"/>
        </w:rPr>
      </w:pPr>
      <w:bookmarkStart w:id="2" w:name="OLE_LINK93"/>
      <w:r>
        <w:rPr>
          <w:rFonts w:ascii="Times New Roman" w:eastAsia="仿宋_GB2312" w:hAnsi="Times New Roman" w:hint="eastAsia"/>
          <w:sz w:val="28"/>
          <w:szCs w:val="28"/>
        </w:rPr>
        <w:t>（5）形成攀枝花市安宁河流域生态环境保护与治理倡议。</w:t>
      </w:r>
      <w:bookmarkEnd w:id="2"/>
      <w:r>
        <w:rPr>
          <w:rFonts w:ascii="Times New Roman" w:eastAsia="仿宋_GB2312" w:hAnsi="Times New Roman" w:hint="eastAsia"/>
          <w:sz w:val="28"/>
          <w:szCs w:val="28"/>
        </w:rPr>
        <w:t>根据当地需求、情况和条件，通过经验学习、参观交流等方式，将攀枝花模式推广到长江其他流域的开发中。</w:t>
      </w:r>
    </w:p>
    <w:p>
      <w:pPr>
        <w:pStyle w:val="27"/>
        <w:numPr>
          <w:ilvl w:val="0"/>
          <w:numId w:val="2"/>
        </w:numPr>
        <w:tabs>
          <w:tab w:val="left" w:pos="840"/>
        </w:tabs>
        <w:adjustRightInd w:val="0"/>
        <w:snapToGrid w:val="0"/>
        <w:spacing w:line="540" w:lineRule="exact"/>
        <w:ind w:left="0" w:firstLineChars="0" w:firstLine="562"/>
        <w:rPr>
          <w:rFonts w:ascii="楷体" w:eastAsia="楷体"/>
          <w:b/>
          <w:sz w:val="28"/>
          <w:szCs w:val="28"/>
        </w:rPr>
      </w:pPr>
      <w:r>
        <w:rPr>
          <w:rFonts w:ascii="楷体" w:eastAsia="楷体" w:hint="eastAsia"/>
          <w:b/>
          <w:sz w:val="28"/>
          <w:szCs w:val="28"/>
        </w:rPr>
        <w:t>产出</w:t>
      </w:r>
      <w:r>
        <w:rPr>
          <w:rFonts w:ascii="楷体" w:eastAsia="楷体"/>
          <w:b/>
          <w:sz w:val="28"/>
          <w:szCs w:val="28"/>
        </w:rPr>
        <w:t>2.2</w:t>
      </w:r>
      <w:r>
        <w:rPr>
          <w:rFonts w:ascii="楷体" w:eastAsia="楷体" w:hint="eastAsia"/>
          <w:b/>
          <w:sz w:val="28"/>
          <w:szCs w:val="28"/>
        </w:rPr>
        <w:t>：在四川等地对减少负面影响并促进生物多样性的指定行业生产实践进行推广示范</w:t>
      </w:r>
      <w:r>
        <w:rPr>
          <w:rFonts w:ascii="楷体" w:eastAsia="楷体"/>
          <w:b/>
          <w:sz w:val="28"/>
          <w:szCs w:val="28"/>
        </w:rPr>
        <w:t>-</w:t>
      </w:r>
      <w:r>
        <w:rPr>
          <w:rFonts w:ascii="楷体" w:eastAsia="楷体" w:hint="eastAsia"/>
          <w:b/>
          <w:sz w:val="28"/>
          <w:szCs w:val="28"/>
        </w:rPr>
        <w:t>攀枝花市生物多样性知识技能培训项目。</w:t>
      </w:r>
    </w:p>
    <w:p>
      <w:pPr>
        <w:pStyle w:val="27"/>
        <w:tabs>
          <w:tab w:val="left" w:pos="1155"/>
        </w:tabs>
        <w:adjustRightInd w:val="0"/>
        <w:snapToGrid w:val="0"/>
        <w:spacing w:line="540" w:lineRule="exact"/>
        <w:rPr>
          <w:rFonts w:ascii="Times New Roman" w:eastAsia="仿宋_GB2312" w:hAnsi="Times New Roman"/>
          <w:sz w:val="28"/>
          <w:szCs w:val="28"/>
        </w:rPr>
      </w:pPr>
      <w:r>
        <w:rPr>
          <w:rFonts w:ascii="Times New Roman" w:eastAsia="仿宋_GB2312" w:hAnsi="Times New Roman" w:hint="eastAsia"/>
          <w:sz w:val="28"/>
          <w:szCs w:val="28"/>
        </w:rPr>
        <w:t>为实现产出2</w:t>
      </w:r>
      <w:r>
        <w:rPr>
          <w:rFonts w:ascii="Times New Roman" w:eastAsia="仿宋_GB2312" w:hAnsi="Times New Roman"/>
          <w:sz w:val="28"/>
          <w:szCs w:val="28"/>
        </w:rPr>
        <w:t>.2</w:t>
      </w:r>
      <w:r>
        <w:rPr>
          <w:rFonts w:ascii="Times New Roman" w:eastAsia="仿宋_GB2312" w:hAnsi="Times New Roman" w:hint="eastAsia"/>
          <w:sz w:val="28"/>
          <w:szCs w:val="28"/>
        </w:rPr>
        <w:t>的预期成果以及当地政府针对生物多样性能力提升的相关建议，本项目规划了地方层面的相关培训与宣传活动。然而，所有活动在实施前，都将在本项目中央管理办公室统一计划下，聘请相关专家开展基于培训和宣传的能力建设需求调查评估，并将相关特殊需求纳入本项目文件规划的培训与宣传内容，同时对目前规划的培训与宣传内容进行适当调整，以优化活动效果。此外，在每次培训开始和结束时，培训老师都将针对具体培训内容对学员的知识水平进行测试，以检验培训课程效果。</w:t>
      </w:r>
    </w:p>
    <w:p>
      <w:pPr>
        <w:pStyle w:val="27"/>
        <w:tabs>
          <w:tab w:val="left" w:pos="1155"/>
        </w:tabs>
        <w:adjustRightInd w:val="0"/>
        <w:snapToGrid w:val="0"/>
        <w:spacing w:line="540" w:lineRule="exact"/>
        <w:rPr>
          <w:rFonts w:ascii="Times New Roman" w:eastAsia="仿宋_GB2312" w:hAnsi="Times New Roman"/>
          <w:sz w:val="28"/>
          <w:szCs w:val="28"/>
        </w:rPr>
      </w:pPr>
      <w:r>
        <w:rPr>
          <w:rFonts w:ascii="Times New Roman" w:eastAsia="仿宋_GB2312" w:hAnsi="Times New Roman" w:hint="eastAsia"/>
          <w:sz w:val="28"/>
          <w:szCs w:val="28"/>
        </w:rPr>
        <w:t>所有地方层级的培训与宣传计划及其相关后勤事项将由IUCN、FECO、当地生态环境部门、相关参与部门和机构共同商定，并制定具体培训计划。同时考虑新冠疫情可能对培训与宣传计划造成的影响。</w:t>
      </w:r>
    </w:p>
    <w:p>
      <w:pPr>
        <w:pStyle w:val="27"/>
        <w:tabs>
          <w:tab w:val="left" w:pos="1155"/>
        </w:tabs>
        <w:adjustRightInd w:val="0"/>
        <w:snapToGrid w:val="0"/>
        <w:spacing w:line="540" w:lineRule="exact"/>
        <w:rPr>
          <w:rFonts w:ascii="Times New Roman" w:eastAsia="仿宋_GB2312" w:hAnsi="Times New Roman"/>
          <w:b/>
          <w:sz w:val="28"/>
          <w:szCs w:val="28"/>
        </w:rPr>
      </w:pPr>
      <w:bookmarkStart w:id="3" w:name="OLE_LINK50"/>
      <w:bookmarkStart w:id="4" w:name="OLE_LINK51"/>
      <w:r>
        <w:rPr>
          <w:rFonts w:ascii="Times New Roman" w:eastAsia="仿宋_GB2312" w:hAnsi="Times New Roman" w:hint="eastAsia"/>
          <w:b/>
          <w:sz w:val="28"/>
          <w:szCs w:val="28"/>
        </w:rPr>
        <w:t>（</w:t>
      </w:r>
      <w:r>
        <w:rPr>
          <w:rFonts w:ascii="Times New Roman" w:eastAsia="仿宋_GB2312" w:hAnsi="Times New Roman"/>
          <w:b/>
          <w:sz w:val="28"/>
          <w:szCs w:val="28"/>
        </w:rPr>
        <w:t>1</w:t>
      </w:r>
      <w:r>
        <w:rPr>
          <w:rFonts w:ascii="Times New Roman" w:eastAsia="仿宋_GB2312" w:hAnsi="Times New Roman" w:hint="eastAsia"/>
          <w:b/>
          <w:sz w:val="28"/>
          <w:szCs w:val="28"/>
        </w:rPr>
        <w:t>）活动</w:t>
      </w:r>
      <w:r>
        <w:rPr>
          <w:rFonts w:ascii="Times New Roman" w:eastAsia="仿宋_GB2312" w:hAnsi="Times New Roman"/>
          <w:b/>
          <w:sz w:val="28"/>
          <w:szCs w:val="28"/>
        </w:rPr>
        <w:t>2.2.2-</w:t>
      </w:r>
      <w:r>
        <w:rPr>
          <w:rFonts w:ascii="Times New Roman" w:eastAsia="仿宋_GB2312" w:hAnsi="Times New Roman" w:hint="eastAsia"/>
          <w:b/>
          <w:sz w:val="28"/>
          <w:szCs w:val="28"/>
        </w:rPr>
        <w:t>子活动</w:t>
      </w:r>
      <w:r>
        <w:rPr>
          <w:rFonts w:ascii="Times New Roman" w:eastAsia="仿宋_GB2312" w:hAnsi="Times New Roman"/>
          <w:b/>
          <w:sz w:val="28"/>
          <w:szCs w:val="28"/>
        </w:rPr>
        <w:t>1</w:t>
      </w:r>
      <w:r>
        <w:rPr>
          <w:rFonts w:ascii="Times New Roman" w:eastAsia="仿宋_GB2312" w:hAnsi="Times New Roman" w:hint="eastAsia"/>
          <w:b/>
          <w:sz w:val="28"/>
          <w:szCs w:val="28"/>
        </w:rPr>
        <w:t>：攀枝花市生物多样性保护、恢复和监测技术培训项目</w:t>
      </w:r>
      <w:bookmarkEnd w:id="3"/>
      <w:bookmarkEnd w:id="4"/>
    </w:p>
    <w:p>
      <w:pPr>
        <w:pStyle w:val="27"/>
        <w:tabs>
          <w:tab w:val="left" w:pos="1155"/>
        </w:tabs>
        <w:adjustRightInd w:val="0"/>
        <w:snapToGrid w:val="0"/>
        <w:spacing w:line="540" w:lineRule="exact"/>
        <w:ind w:firstLineChars="0" w:firstLine="420"/>
        <w:rPr>
          <w:rFonts w:ascii="Times New Roman" w:eastAsia="仿宋_GB2312" w:hAnsi="Times New Roman"/>
          <w:sz w:val="28"/>
          <w:szCs w:val="28"/>
        </w:rPr>
      </w:pPr>
      <w:r>
        <w:rPr>
          <w:rFonts w:ascii="Times New Roman" w:eastAsia="仿宋_GB2312" w:hAnsi="Times New Roman" w:hint="eastAsia"/>
          <w:sz w:val="28"/>
          <w:szCs w:val="28"/>
        </w:rPr>
        <w:t>培训内容主要包括：针对攀枝花需求，关于本土鱼类的现状、威胁因子和主要根源、国家相关法律法规；本土鱼类的就地和迁地保护知识与技术；本地鱼类种群监测及其栖息地修复的知识与技术。还将包括有关生物多样性补偿、缓解层级、</w:t>
      </w:r>
      <w:r>
        <w:rPr>
          <w:rFonts w:ascii="Times New Roman" w:eastAsia="仿宋_GB2312" w:hAnsi="Times New Roman"/>
          <w:sz w:val="28"/>
          <w:szCs w:val="28"/>
        </w:rPr>
        <w:t>综合生物多样性评估工具（IBAT）</w:t>
      </w:r>
      <w:r>
        <w:rPr>
          <w:rFonts w:ascii="Times New Roman" w:eastAsia="仿宋_GB2312" w:hAnsi="Times New Roman" w:hint="eastAsia"/>
          <w:sz w:val="28"/>
          <w:szCs w:val="28"/>
        </w:rPr>
        <w:t>和</w:t>
      </w:r>
      <w:r>
        <w:rPr>
          <w:rFonts w:ascii="Times New Roman" w:eastAsia="仿宋_GB2312" w:hAnsi="Times New Roman"/>
          <w:sz w:val="28"/>
          <w:szCs w:val="28"/>
        </w:rPr>
        <w:t>物种威胁消除和恢复（STAR）</w:t>
      </w:r>
      <w:r>
        <w:rPr>
          <w:rFonts w:ascii="Times New Roman" w:eastAsia="仿宋_GB2312" w:hAnsi="Times New Roman" w:hint="eastAsia"/>
          <w:sz w:val="28"/>
          <w:szCs w:val="28"/>
        </w:rPr>
        <w:t>等培训课程。</w:t>
      </w:r>
    </w:p>
    <w:p>
      <w:pPr>
        <w:pStyle w:val="27"/>
        <w:tabs>
          <w:tab w:val="left" w:pos="1155"/>
        </w:tabs>
        <w:adjustRightInd w:val="0"/>
        <w:snapToGrid w:val="0"/>
        <w:spacing w:line="540" w:lineRule="exact"/>
        <w:ind w:firstLineChars="0" w:firstLine="420"/>
        <w:rPr>
          <w:rFonts w:ascii="Times New Roman" w:eastAsia="仿宋_GB2312" w:hAnsi="Times New Roman"/>
          <w:sz w:val="28"/>
          <w:szCs w:val="28"/>
        </w:rPr>
      </w:pPr>
      <w:r>
        <w:rPr>
          <w:rFonts w:ascii="Times New Roman" w:eastAsia="仿宋_GB2312" w:hAnsi="Times New Roman" w:hint="eastAsia"/>
          <w:sz w:val="28"/>
          <w:szCs w:val="28"/>
        </w:rPr>
        <w:t>此项培训的主要目的是加强当地企业及相关政府管理机构的知识和实用技能。此项活动由当地生态环境局牵头，环保及相关部门共同主办；培训地点为攀枝花市，人员规模60-80人。本项目将支持邀请相关领域专家根据建议的培训内容（项目文件表4-9）和地方特殊需求，编写培训材料，并赴当地进行现场授课和互动。本项目也将邀请当地主流媒体及时报道与宣传此次培训成果。培训内容还将包括有关生物多样性补偿、缓解层次结构、IBAT和STAR等课程。</w:t>
      </w:r>
    </w:p>
    <w:p>
      <w:pPr>
        <w:pStyle w:val="27"/>
        <w:tabs>
          <w:tab w:val="left" w:pos="1155"/>
        </w:tabs>
        <w:adjustRightInd w:val="0"/>
        <w:snapToGrid w:val="0"/>
        <w:spacing w:line="540" w:lineRule="exact"/>
        <w:rPr>
          <w:rFonts w:ascii="Times New Roman" w:eastAsia="仿宋_GB2312" w:hAnsi="Times New Roman"/>
          <w:b/>
          <w:sz w:val="28"/>
          <w:szCs w:val="28"/>
        </w:rPr>
      </w:pPr>
      <w:r>
        <w:rPr>
          <w:rFonts w:ascii="Times New Roman" w:eastAsia="仿宋_GB2312" w:hAnsi="Times New Roman" w:hint="eastAsia"/>
          <w:b/>
          <w:sz w:val="28"/>
          <w:szCs w:val="28"/>
        </w:rPr>
        <w:t>（</w:t>
      </w:r>
      <w:r>
        <w:rPr>
          <w:rFonts w:ascii="Times New Roman" w:eastAsia="仿宋_GB2312" w:hAnsi="Times New Roman"/>
          <w:b/>
          <w:sz w:val="28"/>
          <w:szCs w:val="28"/>
        </w:rPr>
        <w:t>2</w:t>
      </w:r>
      <w:r>
        <w:rPr>
          <w:rFonts w:ascii="Times New Roman" w:eastAsia="仿宋_GB2312" w:hAnsi="Times New Roman" w:hint="eastAsia"/>
          <w:b/>
          <w:sz w:val="28"/>
          <w:szCs w:val="28"/>
        </w:rPr>
        <w:t>）</w:t>
      </w:r>
      <w:bookmarkStart w:id="5" w:name="OLE_LINK118"/>
      <w:bookmarkStart w:id="6" w:name="OLE_LINK119"/>
      <w:r>
        <w:rPr>
          <w:rFonts w:ascii="Times New Roman" w:eastAsia="仿宋_GB2312" w:hAnsi="Times New Roman" w:hint="eastAsia"/>
          <w:b/>
          <w:sz w:val="28"/>
          <w:szCs w:val="28"/>
        </w:rPr>
        <w:t>活动</w:t>
      </w:r>
      <w:r>
        <w:rPr>
          <w:rFonts w:ascii="Times New Roman" w:eastAsia="仿宋_GB2312" w:hAnsi="Times New Roman"/>
          <w:b/>
          <w:sz w:val="28"/>
          <w:szCs w:val="28"/>
        </w:rPr>
        <w:t>2.2.2-</w:t>
      </w:r>
      <w:bookmarkEnd w:id="5"/>
      <w:bookmarkEnd w:id="6"/>
      <w:r>
        <w:rPr>
          <w:rFonts w:ascii="Times New Roman" w:eastAsia="仿宋_GB2312" w:hAnsi="Times New Roman" w:hint="eastAsia"/>
          <w:b/>
          <w:sz w:val="28"/>
          <w:szCs w:val="28"/>
        </w:rPr>
        <w:t>子活动</w:t>
      </w:r>
      <w:r>
        <w:rPr>
          <w:rFonts w:ascii="Times New Roman" w:eastAsia="仿宋_GB2312" w:hAnsi="Times New Roman"/>
          <w:b/>
          <w:sz w:val="28"/>
          <w:szCs w:val="28"/>
        </w:rPr>
        <w:t>2</w:t>
      </w:r>
      <w:r>
        <w:rPr>
          <w:rFonts w:ascii="Times New Roman" w:eastAsia="仿宋_GB2312" w:hAnsi="Times New Roman" w:hint="eastAsia"/>
          <w:b/>
          <w:sz w:val="28"/>
          <w:szCs w:val="28"/>
        </w:rPr>
        <w:t>：攀枝花市中小学生生物多样性知识与技能科普培训</w:t>
      </w:r>
    </w:p>
    <w:p>
      <w:pPr>
        <w:pStyle w:val="27"/>
        <w:tabs>
          <w:tab w:val="left" w:pos="840"/>
        </w:tabs>
        <w:adjustRightInd w:val="0"/>
        <w:snapToGrid w:val="0"/>
        <w:spacing w:line="540" w:lineRule="exact"/>
        <w:rPr>
          <w:rFonts w:ascii="Times New Roman" w:eastAsia="仿宋_GB2312" w:hAnsi="Times New Roman"/>
          <w:sz w:val="28"/>
          <w:szCs w:val="28"/>
        </w:rPr>
      </w:pPr>
      <w:r>
        <w:rPr>
          <w:rFonts w:ascii="Times New Roman" w:eastAsia="仿宋_GB2312" w:hAnsi="Times New Roman" w:hint="eastAsia"/>
          <w:sz w:val="28"/>
          <w:szCs w:val="28"/>
        </w:rPr>
        <w:t>模块1：课堂讲座。主要内容包括：国内外现有苏铁属植物的种类、形态特征、分布区域及进化过程；中国特有濒危种“攀枝花苏铁”的保护和濒危状况；介绍攀枝花苏铁自然保护区内重要野生动植物资源。</w:t>
      </w:r>
    </w:p>
    <w:p>
      <w:pPr>
        <w:pStyle w:val="27"/>
        <w:tabs>
          <w:tab w:val="left" w:pos="840"/>
        </w:tabs>
        <w:adjustRightInd w:val="0"/>
        <w:snapToGrid w:val="0"/>
        <w:spacing w:line="540" w:lineRule="exact"/>
        <w:rPr>
          <w:rFonts w:ascii="Times New Roman" w:eastAsia="仿宋_GB2312" w:hAnsi="Times New Roman"/>
          <w:sz w:val="28"/>
          <w:szCs w:val="28"/>
        </w:rPr>
      </w:pPr>
      <w:r>
        <w:rPr>
          <w:rFonts w:ascii="Times New Roman" w:eastAsia="仿宋_GB2312" w:hAnsi="Times New Roman" w:hint="eastAsia"/>
          <w:sz w:val="28"/>
          <w:szCs w:val="28"/>
        </w:rPr>
        <w:t>模块2：实地实践。主要内容包括：组织学生在攀枝花苏铁自然保护区内亲自观察、描述、绘制和拍摄攀枝花苏铁的叶片、花果等形态特征和颜色，指导学生亲自测量攀枝花苏铁植株高度、茎秆直径、分布密度等简单种群参数，同时撰写野外调查报告和讨论有趣的生物多样性现象。</w:t>
      </w:r>
    </w:p>
    <w:p>
      <w:pPr>
        <w:pStyle w:val="27"/>
        <w:tabs>
          <w:tab w:val="left" w:pos="840"/>
        </w:tabs>
        <w:adjustRightInd w:val="0"/>
        <w:snapToGrid w:val="0"/>
        <w:spacing w:line="540" w:lineRule="exact"/>
        <w:rPr>
          <w:rFonts w:ascii="Times New Roman" w:eastAsia="仿宋_GB2312" w:hAnsi="Times New Roman"/>
          <w:sz w:val="28"/>
          <w:szCs w:val="28"/>
        </w:rPr>
      </w:pPr>
      <w:r>
        <w:rPr>
          <w:rFonts w:ascii="Times New Roman" w:eastAsia="仿宋_GB2312" w:hAnsi="Times New Roman" w:hint="eastAsia"/>
          <w:sz w:val="28"/>
          <w:szCs w:val="28"/>
        </w:rPr>
        <w:t>此活动实施机构为攀枝花苏铁自然保护区管理委员会，为攀枝花市林业局下属的公益性事业单位，也是当地生物多样性科普基地。当地中小学生对生物多样性兴趣浓厚，经常来此保护区参观，并通过观察动植物写生作画。</w:t>
      </w:r>
    </w:p>
    <w:p>
      <w:pPr>
        <w:pStyle w:val="27"/>
        <w:tabs>
          <w:tab w:val="left" w:pos="840"/>
        </w:tabs>
        <w:adjustRightInd w:val="0"/>
        <w:snapToGrid w:val="0"/>
        <w:spacing w:line="540" w:lineRule="exact"/>
        <w:rPr>
          <w:rFonts w:ascii="Times New Roman" w:eastAsia="仿宋_GB2312" w:hAnsi="Times New Roman"/>
          <w:sz w:val="28"/>
          <w:szCs w:val="28"/>
        </w:rPr>
      </w:pPr>
      <w:r>
        <w:rPr>
          <w:rFonts w:ascii="Times New Roman" w:eastAsia="仿宋_GB2312" w:hAnsi="Times New Roman" w:hint="eastAsia"/>
          <w:sz w:val="28"/>
          <w:szCs w:val="28"/>
        </w:rPr>
        <w:t>应当地生态环境局、林业局和自然保护区的要求，本项目将支持为当地中小学生举办一期生物多样性保护科普培训活动。鉴于当地专家资源匮乏，项目还将聘请国内生物多样性专家为活动提供技术支持。主要培训对象为当地中小学生，特别是来自偏远农村地区和贫困家庭的学生，人员规模约80-100名。活动内容将主要结合保护区内现有的生物多样性资源来展开。培训方式主要为课堂讲解和保护区实地实习。在培训活动实施前，将聘请相关专家针对中小学生的特殊需求编写培训材料和实践方案。此外，在当地政府相关部门的协助下，本项目还支持邀请当地电视台新闻记者，全程报道本次培训活动，以提高攀枝花市全体市民的生物多样性保护知识和意识。</w:t>
      </w:r>
    </w:p>
    <w:p>
      <w:pPr>
        <w:pStyle w:val="27"/>
        <w:tabs>
          <w:tab w:val="left" w:pos="1155"/>
        </w:tabs>
        <w:adjustRightInd w:val="0"/>
        <w:snapToGrid w:val="0"/>
        <w:spacing w:line="540" w:lineRule="exact"/>
        <w:rPr>
          <w:rFonts w:ascii="Times New Roman" w:eastAsia="仿宋_GB2312" w:hAnsi="Times New Roman"/>
          <w:b/>
          <w:sz w:val="28"/>
          <w:szCs w:val="28"/>
        </w:rPr>
      </w:pPr>
      <w:r>
        <w:rPr>
          <w:rFonts w:ascii="Times New Roman" w:eastAsia="仿宋_GB2312" w:hAnsi="Times New Roman" w:hint="eastAsia"/>
          <w:b/>
          <w:sz w:val="28"/>
          <w:szCs w:val="28"/>
        </w:rPr>
        <w:t>（</w:t>
      </w:r>
      <w:r>
        <w:rPr>
          <w:rFonts w:ascii="Times New Roman" w:eastAsia="仿宋_GB2312" w:hAnsi="Times New Roman"/>
          <w:b/>
          <w:sz w:val="28"/>
          <w:szCs w:val="28"/>
        </w:rPr>
        <w:t>3</w:t>
      </w:r>
      <w:r>
        <w:rPr>
          <w:rFonts w:ascii="Times New Roman" w:eastAsia="仿宋_GB2312" w:hAnsi="Times New Roman" w:hint="eastAsia"/>
          <w:b/>
          <w:sz w:val="28"/>
          <w:szCs w:val="28"/>
        </w:rPr>
        <w:t>）活动</w:t>
      </w:r>
      <w:r>
        <w:rPr>
          <w:rFonts w:ascii="Times New Roman" w:eastAsia="仿宋_GB2312" w:hAnsi="Times New Roman"/>
          <w:b/>
          <w:sz w:val="28"/>
          <w:szCs w:val="28"/>
        </w:rPr>
        <w:t>2.2.2-</w:t>
      </w:r>
      <w:r>
        <w:rPr>
          <w:rFonts w:ascii="Times New Roman" w:eastAsia="仿宋_GB2312" w:hAnsi="Times New Roman" w:hint="eastAsia"/>
          <w:b/>
          <w:sz w:val="28"/>
          <w:szCs w:val="28"/>
        </w:rPr>
        <w:t>子活动</w:t>
      </w:r>
      <w:r>
        <w:rPr>
          <w:rFonts w:ascii="Times New Roman" w:eastAsia="仿宋_GB2312" w:hAnsi="Times New Roman"/>
          <w:b/>
          <w:sz w:val="28"/>
          <w:szCs w:val="28"/>
        </w:rPr>
        <w:t>3</w:t>
      </w:r>
      <w:r>
        <w:rPr>
          <w:rFonts w:ascii="Times New Roman" w:eastAsia="仿宋_GB2312" w:hAnsi="Times New Roman" w:hint="eastAsia"/>
          <w:b/>
          <w:sz w:val="28"/>
          <w:szCs w:val="28"/>
        </w:rPr>
        <w:t>：为先锋企业提供技术支持，以制定其生物多样性管理战略和行动计划。</w:t>
      </w:r>
    </w:p>
    <w:p>
      <w:pPr>
        <w:pStyle w:val="27"/>
        <w:tabs>
          <w:tab w:val="left" w:pos="840"/>
        </w:tabs>
        <w:adjustRightInd w:val="0"/>
        <w:snapToGrid w:val="0"/>
        <w:spacing w:line="540" w:lineRule="exact"/>
        <w:rPr>
          <w:rFonts w:ascii="Times New Roman" w:eastAsia="仿宋_GB2312" w:hAnsi="Times New Roman"/>
          <w:sz w:val="28"/>
          <w:szCs w:val="28"/>
        </w:rPr>
      </w:pPr>
      <w:r>
        <w:rPr>
          <w:rFonts w:ascii="Times New Roman" w:eastAsia="仿宋_GB2312" w:hAnsi="Times New Roman" w:hint="eastAsia"/>
          <w:sz w:val="28"/>
          <w:szCs w:val="28"/>
        </w:rPr>
        <w:t>通过培训课程提高企业意识、知识，并培养兴趣，并为先锋企业制定和实施生物多样性管理战略和行动计划提供技术支持。在攀枝花市针对采矿企业示范应用《IUCN企业生物多样性绩效规划与监测指南》，将有助于支持与动员企业参与生物多样性主流化进程，并为企业改变生产实践、规范污染物排放、防控环境风险、监测评估生物多样性影响提供潜在最佳实践和具体案例。这些行动计划将围绕缓解层级制定，并酌情参考IUCN数据和工具，如IBAT和STAR。</w:t>
      </w:r>
    </w:p>
    <w:p>
      <w:pPr>
        <w:pStyle w:val="27"/>
        <w:numPr>
          <w:ilvl w:val="0"/>
          <w:numId w:val="1"/>
        </w:numPr>
        <w:tabs>
          <w:tab w:val="left" w:pos="1134"/>
        </w:tabs>
        <w:adjustRightInd w:val="0"/>
        <w:snapToGrid w:val="0"/>
        <w:spacing w:beforeLines="50" w:before="156" w:line="540" w:lineRule="exact"/>
        <w:ind w:left="0" w:firstLineChars="0" w:firstLine="560"/>
        <w:rPr>
          <w:rFonts w:ascii="Times New Roman" w:eastAsia="黑体" w:hAnsi="Times New Roman"/>
          <w:sz w:val="28"/>
          <w:szCs w:val="28"/>
        </w:rPr>
      </w:pPr>
      <w:r>
        <w:rPr>
          <w:rFonts w:ascii="Times New Roman" w:eastAsia="黑体" w:hAnsi="Times New Roman" w:hint="eastAsia"/>
          <w:sz w:val="28"/>
          <w:szCs w:val="28"/>
        </w:rPr>
        <w:t>项目成果指标</w:t>
      </w:r>
    </w:p>
    <w:p>
      <w:pPr>
        <w:pStyle w:val="27"/>
        <w:adjustRightInd w:val="0"/>
        <w:snapToGrid w:val="0"/>
        <w:spacing w:beforeLines="50" w:before="156" w:afterLines="50" w:after="156" w:line="540" w:lineRule="exact"/>
        <w:ind w:firstLineChars="0" w:firstLine="0"/>
        <w:jc w:val="center"/>
        <w:rPr>
          <w:rFonts w:ascii="Times New Roman" w:eastAsia="仿宋_GB2312" w:hAnsi="Times New Roman"/>
          <w:b/>
          <w:sz w:val="28"/>
          <w:szCs w:val="28"/>
        </w:rPr>
      </w:pPr>
      <w:r>
        <w:rPr>
          <w:rFonts w:ascii="Times New Roman" w:eastAsia="仿宋_GB2312" w:hAnsi="Times New Roman" w:hint="eastAsia"/>
          <w:b/>
          <w:sz w:val="28"/>
          <w:szCs w:val="28"/>
        </w:rPr>
        <w:t>四川攀枝花试点示范项目考核指标与结项目标</w:t>
      </w:r>
    </w:p>
    <w:tbl>
      <w:tblPr>
        <w:tblpPr w:leftFromText="180" w:rightFromText="180" w:vertAnchor="text" w:horzAnchor="margin" w:tblpXSpec="center" w:tblpY="458"/>
        <w:tblW w:w="8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CellMar>
          <w:top w:w="0" w:type="dxa"/>
          <w:left w:w="108" w:type="dxa"/>
          <w:bottom w:w="0" w:type="dxa"/>
          <w:right w:w="108" w:type="dxa"/>
        </w:tblCellMar>
      </w:tblPr>
      <w:tblGrid>
        <w:gridCol w:w="817"/>
        <w:gridCol w:w="3543"/>
        <w:gridCol w:w="4566"/>
      </w:tblGrid>
      <w:tr>
        <w:trPr>
          <w:tblHeader/>
        </w:trPr>
        <w:tc>
          <w:tcPr>
            <w:tcW w:w="81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27"/>
              <w:adjustRightInd w:val="0"/>
              <w:snapToGrid w:val="0"/>
              <w:spacing w:line="540" w:lineRule="exact"/>
              <w:ind w:firstLineChars="0" w:firstLine="0"/>
              <w:jc w:val="center"/>
              <w:rPr>
                <w:rFonts w:ascii="Times New Roman" w:eastAsia="仿宋_GB2312" w:hAnsi="Times New Roman"/>
                <w:b/>
                <w:sz w:val="28"/>
                <w:szCs w:val="28"/>
              </w:rPr>
            </w:pPr>
            <w:bookmarkStart w:id="7" w:name="OLE_LINK9"/>
            <w:bookmarkStart w:id="8" w:name="OLE_LINK8"/>
            <w:r>
              <w:rPr>
                <w:rFonts w:ascii="Times New Roman" w:eastAsia="仿宋_GB2312" w:hAnsi="Times New Roman" w:hint="eastAsia"/>
                <w:b/>
                <w:sz w:val="28"/>
                <w:szCs w:val="28"/>
              </w:rPr>
              <w:t>产出</w:t>
            </w:r>
          </w:p>
        </w:tc>
        <w:tc>
          <w:tcPr>
            <w:tcW w:w="354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27"/>
              <w:adjustRightInd w:val="0"/>
              <w:snapToGrid w:val="0"/>
              <w:spacing w:line="540" w:lineRule="exact"/>
              <w:ind w:firstLineChars="0" w:firstLine="0"/>
              <w:jc w:val="center"/>
              <w:rPr>
                <w:rFonts w:ascii="Times New Roman" w:eastAsia="仿宋_GB2312" w:hAnsi="Times New Roman"/>
                <w:b/>
                <w:sz w:val="28"/>
                <w:szCs w:val="28"/>
              </w:rPr>
            </w:pPr>
            <w:r>
              <w:rPr>
                <w:rFonts w:ascii="Times New Roman" w:eastAsia="仿宋_GB2312" w:hAnsi="Times New Roman" w:hint="eastAsia"/>
                <w:b/>
                <w:sz w:val="28"/>
                <w:szCs w:val="28"/>
              </w:rPr>
              <w:t>指标</w:t>
            </w:r>
          </w:p>
        </w:tc>
        <w:tc>
          <w:tcPr>
            <w:tcW w:w="456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27"/>
              <w:adjustRightInd w:val="0"/>
              <w:snapToGrid w:val="0"/>
              <w:spacing w:line="540" w:lineRule="exact"/>
              <w:ind w:firstLineChars="0" w:firstLine="0"/>
              <w:jc w:val="center"/>
              <w:rPr>
                <w:rFonts w:ascii="Times New Roman" w:eastAsia="仿宋_GB2312" w:hAnsi="Times New Roman"/>
                <w:b/>
                <w:sz w:val="28"/>
                <w:szCs w:val="28"/>
              </w:rPr>
            </w:pPr>
            <w:r>
              <w:rPr>
                <w:rFonts w:ascii="Times New Roman" w:eastAsia="仿宋_GB2312" w:hAnsi="Times New Roman" w:hint="eastAsia"/>
                <w:b/>
                <w:sz w:val="28"/>
                <w:szCs w:val="28"/>
              </w:rPr>
              <w:t>结项目标</w:t>
            </w:r>
          </w:p>
        </w:tc>
      </w:tr>
      <w:tr>
        <w:tc>
          <w:tcPr>
            <w:tcW w:w="817" w:type="dxa"/>
            <w:vMerge w:val="restart"/>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27"/>
              <w:adjustRightInd w:val="0"/>
              <w:snapToGrid w:val="0"/>
              <w:spacing w:before="240" w:line="360" w:lineRule="exact"/>
              <w:ind w:firstLineChars="0" w:firstLine="0"/>
              <w:rPr>
                <w:rFonts w:ascii="Times New Roman" w:eastAsia="仿宋_GB2312" w:hAnsi="Times New Roman"/>
                <w:sz w:val="24"/>
                <w:szCs w:val="28"/>
              </w:rPr>
            </w:pPr>
            <w:r>
              <w:rPr>
                <w:rFonts w:ascii="Times New Roman" w:eastAsia="仿宋_GB2312" w:hAnsi="Times New Roman" w:hint="eastAsia"/>
                <w:sz w:val="24"/>
                <w:szCs w:val="28"/>
              </w:rPr>
              <w:t>产出</w:t>
            </w:r>
            <w:r>
              <w:rPr>
                <w:rFonts w:ascii="Times New Roman" w:eastAsia="仿宋_GB2312" w:hAnsi="Times New Roman"/>
                <w:sz w:val="24"/>
                <w:szCs w:val="28"/>
              </w:rPr>
              <w:t>2.1</w:t>
            </w:r>
          </w:p>
        </w:tc>
        <w:tc>
          <w:tcPr>
            <w:tcW w:w="354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27"/>
              <w:adjustRightInd w:val="0"/>
              <w:snapToGrid w:val="0"/>
              <w:spacing w:line="440" w:lineRule="exact"/>
              <w:ind w:firstLineChars="0" w:firstLine="0"/>
              <w:rPr>
                <w:rFonts w:ascii="Times New Roman" w:eastAsia="仿宋_GB2312" w:hAnsi="Times New Roman"/>
                <w:sz w:val="24"/>
                <w:szCs w:val="28"/>
              </w:rPr>
            </w:pPr>
            <w:r>
              <w:rPr>
                <w:rFonts w:ascii="Times New Roman" w:eastAsia="仿宋_GB2312" w:hAnsi="Times New Roman" w:hint="eastAsia"/>
                <w:sz w:val="24"/>
                <w:szCs w:val="28"/>
              </w:rPr>
              <w:t>活动2.1.1开发和实施攀枝花市安宁河生态环境保护和整治方案（简称“生态环境保护和整治方案”），并将其纳入“安宁河流域综合开发总体规划”中。</w:t>
            </w:r>
          </w:p>
        </w:tc>
        <w:tc>
          <w:tcPr>
            <w:tcW w:w="456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27"/>
              <w:adjustRightInd w:val="0"/>
              <w:snapToGrid w:val="0"/>
              <w:spacing w:line="440" w:lineRule="exact"/>
              <w:ind w:firstLineChars="0" w:firstLine="0"/>
              <w:rPr>
                <w:rFonts w:ascii="Times New Roman" w:eastAsia="仿宋_GB2312" w:hAnsi="Times New Roman"/>
                <w:sz w:val="24"/>
                <w:szCs w:val="28"/>
              </w:rPr>
            </w:pPr>
            <w:r>
              <w:rPr>
                <w:rFonts w:ascii="Times New Roman" w:eastAsia="仿宋_GB2312" w:hAnsi="Times New Roman" w:hint="eastAsia"/>
                <w:sz w:val="24"/>
                <w:szCs w:val="28"/>
              </w:rPr>
              <w:t>（1）</w:t>
            </w:r>
            <w:r>
              <w:rPr>
                <w:rFonts w:ascii="Times New Roman" w:eastAsia="仿宋_GB2312" w:hAnsi="Times New Roman"/>
                <w:sz w:val="24"/>
                <w:szCs w:val="28"/>
              </w:rPr>
              <w:t>开发和实施安宁河生态环境保护和整治方案</w:t>
            </w:r>
            <w:r>
              <w:rPr>
                <w:rFonts w:ascii="Times New Roman" w:eastAsia="仿宋_GB2312" w:hAnsi="Times New Roman" w:hint="eastAsia"/>
                <w:sz w:val="24"/>
                <w:szCs w:val="28"/>
              </w:rPr>
              <w:t>并发布；</w:t>
            </w:r>
          </w:p>
          <w:p>
            <w:pPr>
              <w:pStyle w:val="27"/>
              <w:adjustRightInd w:val="0"/>
              <w:snapToGrid w:val="0"/>
              <w:spacing w:line="440" w:lineRule="exact"/>
              <w:ind w:firstLineChars="0" w:firstLine="0"/>
              <w:rPr>
                <w:rFonts w:ascii="Times New Roman" w:eastAsia="仿宋_GB2312" w:hAnsi="Times New Roman"/>
                <w:sz w:val="24"/>
                <w:szCs w:val="28"/>
              </w:rPr>
            </w:pPr>
            <w:r>
              <w:rPr>
                <w:rFonts w:ascii="Times New Roman" w:eastAsia="仿宋_GB2312" w:hAnsi="Times New Roman" w:hint="eastAsia"/>
                <w:sz w:val="24"/>
                <w:szCs w:val="28"/>
              </w:rPr>
              <w:t>（2）攀枝花市政府以官方文件向全市相关部门和机构发布实施“生态环境保护和整治方案”；</w:t>
            </w:r>
          </w:p>
          <w:p>
            <w:pPr>
              <w:pStyle w:val="27"/>
              <w:adjustRightInd w:val="0"/>
              <w:snapToGrid w:val="0"/>
              <w:spacing w:line="440" w:lineRule="exact"/>
              <w:ind w:firstLineChars="0" w:firstLine="0"/>
              <w:rPr>
                <w:rFonts w:ascii="Times New Roman" w:eastAsia="仿宋_GB2312" w:hAnsi="Times New Roman"/>
                <w:sz w:val="24"/>
                <w:szCs w:val="28"/>
              </w:rPr>
            </w:pPr>
            <w:r>
              <w:rPr>
                <w:rFonts w:ascii="Times New Roman" w:eastAsia="仿宋_GB2312" w:hAnsi="Times New Roman" w:hint="eastAsia"/>
                <w:sz w:val="24"/>
                <w:szCs w:val="28"/>
              </w:rPr>
              <w:t>（3）制定上述方案实施效果评估办法，对相关政府部门开展安宁河生物多样性保护的绩效进行评估，编制项目实施审查报告。</w:t>
            </w:r>
          </w:p>
          <w:p>
            <w:pPr>
              <w:pStyle w:val="27"/>
              <w:adjustRightInd w:val="0"/>
              <w:snapToGrid w:val="0"/>
              <w:spacing w:line="440" w:lineRule="exact"/>
              <w:ind w:firstLineChars="0" w:firstLine="0"/>
              <w:rPr>
                <w:rFonts w:ascii="Times New Roman" w:eastAsia="仿宋_GB2312" w:hAnsi="Times New Roman"/>
                <w:sz w:val="24"/>
                <w:szCs w:val="28"/>
              </w:rPr>
            </w:pPr>
            <w:r>
              <w:rPr>
                <w:rFonts w:ascii="Times New Roman" w:eastAsia="仿宋_GB2312" w:hAnsi="Times New Roman" w:hint="eastAsia"/>
                <w:sz w:val="24"/>
                <w:szCs w:val="28"/>
              </w:rPr>
              <w:t>（4）形成攀枝花市安宁河流域生态环境保护与治理倡议。</w:t>
            </w:r>
          </w:p>
        </w:tc>
      </w:tr>
      <w:tr>
        <w:tc>
          <w:tcPr>
            <w:tcW w:w="817"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c>
          <w:tcPr>
            <w:tcW w:w="354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27"/>
              <w:tabs>
                <w:tab w:val="left" w:pos="1155"/>
              </w:tabs>
              <w:adjustRightInd w:val="0"/>
              <w:snapToGrid w:val="0"/>
              <w:spacing w:line="540" w:lineRule="exact"/>
              <w:ind w:firstLineChars="0" w:firstLine="0"/>
              <w:rPr>
                <w:rFonts w:ascii="Times New Roman" w:eastAsia="仿宋_GB2312" w:hAnsi="Times New Roman"/>
                <w:sz w:val="24"/>
                <w:szCs w:val="28"/>
              </w:rPr>
            </w:pPr>
            <w:bookmarkStart w:id="9" w:name="OLE_LINK38"/>
            <w:bookmarkStart w:id="10" w:name="OLE_LINK39"/>
            <w:r>
              <w:rPr>
                <w:rFonts w:ascii="Times New Roman" w:eastAsia="仿宋_GB2312" w:hAnsi="Times New Roman" w:hint="eastAsia"/>
                <w:sz w:val="24"/>
                <w:szCs w:val="28"/>
              </w:rPr>
              <w:t>活动2.1.1通过项目干预</w:t>
            </w:r>
            <w:r>
              <w:rPr>
                <w:rFonts w:ascii="Times New Roman" w:eastAsia="仿宋_GB2312" w:hAnsi="Times New Roman"/>
                <w:sz w:val="24"/>
                <w:szCs w:val="28"/>
              </w:rPr>
              <w:t>攀枝花安宁河流域</w:t>
            </w:r>
            <w:r>
              <w:rPr>
                <w:rFonts w:ascii="Times New Roman" w:eastAsia="仿宋_GB2312" w:hAnsi="Times New Roman" w:hint="eastAsia"/>
                <w:sz w:val="24"/>
                <w:szCs w:val="28"/>
              </w:rPr>
              <w:t>将改善的面积（公顷）</w:t>
            </w:r>
            <w:bookmarkEnd w:id="9"/>
            <w:bookmarkEnd w:id="10"/>
          </w:p>
        </w:tc>
        <w:tc>
          <w:tcPr>
            <w:tcW w:w="456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27"/>
              <w:adjustRightInd w:val="0"/>
              <w:snapToGrid w:val="0"/>
              <w:spacing w:line="440" w:lineRule="exact"/>
              <w:ind w:firstLineChars="0" w:firstLine="0"/>
              <w:rPr>
                <w:rFonts w:ascii="Times New Roman" w:eastAsia="仿宋_GB2312" w:hAnsi="Times New Roman"/>
                <w:sz w:val="24"/>
                <w:szCs w:val="28"/>
              </w:rPr>
            </w:pPr>
            <w:bookmarkStart w:id="11" w:name="OLE_LINK60"/>
            <w:bookmarkStart w:id="12" w:name="OLE_LINK61"/>
            <w:r>
              <w:rPr>
                <w:rFonts w:ascii="Times New Roman" w:eastAsia="仿宋_GB2312" w:hAnsi="Times New Roman"/>
                <w:sz w:val="24"/>
                <w:szCs w:val="28"/>
              </w:rPr>
              <w:t>152,980</w:t>
            </w:r>
            <w:r>
              <w:rPr>
                <w:rFonts w:ascii="Times New Roman" w:eastAsia="仿宋_GB2312" w:hAnsi="Times New Roman" w:hint="eastAsia"/>
                <w:sz w:val="24"/>
                <w:szCs w:val="28"/>
              </w:rPr>
              <w:t>公顷</w:t>
            </w:r>
            <w:r>
              <w:rPr>
                <w:rStyle w:val="26"/>
                <w:rFonts w:ascii="Times New Roman" w:eastAsia="仿宋_GB2312" w:hAnsi="Times New Roman"/>
                <w:sz w:val="24"/>
                <w:szCs w:val="28"/>
              </w:rPr>
              <w:footnoteReference w:id="3"/>
            </w:r>
          </w:p>
          <w:p>
            <w:pPr>
              <w:pStyle w:val="27"/>
              <w:adjustRightInd w:val="0"/>
              <w:snapToGrid w:val="0"/>
              <w:spacing w:line="440" w:lineRule="exact"/>
              <w:ind w:firstLineChars="0" w:firstLine="0"/>
              <w:rPr>
                <w:rFonts w:ascii="Times New Roman" w:eastAsia="仿宋_GB2312" w:hAnsi="Times New Roman"/>
                <w:sz w:val="24"/>
                <w:szCs w:val="28"/>
              </w:rPr>
            </w:pPr>
            <w:bookmarkEnd w:id="11"/>
            <w:bookmarkEnd w:id="12"/>
            <w:r>
              <w:rPr>
                <w:rFonts w:ascii="Times New Roman" w:eastAsia="仿宋_GB2312" w:hAnsi="Times New Roman" w:hint="eastAsia"/>
                <w:sz w:val="24"/>
                <w:szCs w:val="28"/>
              </w:rPr>
              <w:t>包括：农田</w:t>
            </w:r>
            <w:r>
              <w:rPr>
                <w:rFonts w:ascii="Times New Roman" w:eastAsia="仿宋_GB2312" w:hAnsi="Times New Roman"/>
                <w:sz w:val="24"/>
                <w:szCs w:val="28"/>
              </w:rPr>
              <w:t>32,498</w:t>
            </w:r>
            <w:r>
              <w:rPr>
                <w:rFonts w:ascii="Times New Roman" w:eastAsia="仿宋_GB2312" w:hAnsi="Times New Roman" w:hint="eastAsia"/>
                <w:sz w:val="24"/>
                <w:szCs w:val="28"/>
              </w:rPr>
              <w:t>公顷果园</w:t>
            </w:r>
            <w:r>
              <w:rPr>
                <w:rFonts w:ascii="Times New Roman" w:eastAsia="仿宋_GB2312" w:hAnsi="Times New Roman"/>
                <w:sz w:val="24"/>
                <w:szCs w:val="28"/>
              </w:rPr>
              <w:t>13,640</w:t>
            </w:r>
            <w:r>
              <w:rPr>
                <w:rFonts w:ascii="Times New Roman" w:eastAsia="仿宋_GB2312" w:hAnsi="Times New Roman" w:hint="eastAsia"/>
                <w:sz w:val="24"/>
                <w:szCs w:val="28"/>
              </w:rPr>
              <w:t xml:space="preserve">公顷、商品林地 </w:t>
            </w:r>
            <w:r>
              <w:rPr>
                <w:rFonts w:ascii="Times New Roman" w:eastAsia="仿宋_GB2312" w:hAnsi="Times New Roman"/>
                <w:sz w:val="24"/>
                <w:szCs w:val="28"/>
              </w:rPr>
              <w:t>88,537</w:t>
            </w:r>
            <w:r>
              <w:rPr>
                <w:rFonts w:ascii="Times New Roman" w:eastAsia="仿宋_GB2312" w:hAnsi="Times New Roman" w:hint="eastAsia"/>
                <w:sz w:val="24"/>
                <w:szCs w:val="28"/>
              </w:rPr>
              <w:t>公顷、草地</w:t>
            </w:r>
            <w:r>
              <w:rPr>
                <w:rFonts w:ascii="Times New Roman" w:eastAsia="仿宋_GB2312" w:hAnsi="Times New Roman"/>
                <w:sz w:val="24"/>
                <w:szCs w:val="28"/>
              </w:rPr>
              <w:t>12,177</w:t>
            </w:r>
            <w:r>
              <w:rPr>
                <w:rFonts w:ascii="Times New Roman" w:eastAsia="仿宋_GB2312" w:hAnsi="Times New Roman" w:hint="eastAsia"/>
                <w:sz w:val="24"/>
                <w:szCs w:val="28"/>
              </w:rPr>
              <w:t>公顷和湿地</w:t>
            </w:r>
            <w:r>
              <w:rPr>
                <w:rFonts w:ascii="Times New Roman" w:eastAsia="仿宋_GB2312" w:hAnsi="Times New Roman"/>
                <w:sz w:val="24"/>
                <w:szCs w:val="28"/>
              </w:rPr>
              <w:t>6,128</w:t>
            </w:r>
            <w:r>
              <w:rPr>
                <w:rFonts w:ascii="Times New Roman" w:eastAsia="仿宋_GB2312" w:hAnsi="Times New Roman" w:hint="eastAsia"/>
                <w:sz w:val="24"/>
                <w:szCs w:val="28"/>
              </w:rPr>
              <w:t>公顷</w:t>
            </w:r>
          </w:p>
        </w:tc>
      </w:tr>
      <w:tr>
        <w:tc>
          <w:tcPr>
            <w:tcW w:w="817"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c>
          <w:tcPr>
            <w:tcW w:w="354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27"/>
              <w:tabs>
                <w:tab w:val="left" w:pos="1155"/>
              </w:tabs>
              <w:adjustRightInd w:val="0"/>
              <w:snapToGrid w:val="0"/>
              <w:spacing w:line="540" w:lineRule="exact"/>
              <w:ind w:firstLineChars="0" w:firstLine="0"/>
              <w:rPr>
                <w:rFonts w:ascii="Times New Roman" w:eastAsia="仿宋_GB2312" w:hAnsi="Times New Roman"/>
                <w:sz w:val="24"/>
                <w:szCs w:val="28"/>
              </w:rPr>
            </w:pPr>
            <w:bookmarkStart w:id="13" w:name="OLE_LINK41"/>
            <w:bookmarkStart w:id="14" w:name="OLE_LINK40"/>
            <w:r>
              <w:rPr>
                <w:rFonts w:ascii="Times New Roman" w:eastAsia="仿宋_GB2312" w:hAnsi="Times New Roman" w:hint="eastAsia"/>
                <w:sz w:val="24"/>
                <w:szCs w:val="28"/>
              </w:rPr>
              <w:t>活动2.1.1确保5</w:t>
            </w:r>
            <w:r>
              <w:rPr>
                <w:rFonts w:ascii="Times New Roman" w:eastAsia="仿宋_GB2312" w:hAnsi="Times New Roman"/>
                <w:sz w:val="24"/>
                <w:szCs w:val="28"/>
              </w:rPr>
              <w:t>0%</w:t>
            </w:r>
            <w:r>
              <w:rPr>
                <w:rFonts w:ascii="Times New Roman" w:eastAsia="仿宋_GB2312" w:hAnsi="Times New Roman" w:hint="eastAsia"/>
                <w:sz w:val="24"/>
                <w:szCs w:val="28"/>
              </w:rPr>
              <w:t>的地方女性官员充分参与地方生物多样性主流化的决策。</w:t>
            </w:r>
            <w:bookmarkEnd w:id="13"/>
            <w:bookmarkEnd w:id="14"/>
          </w:p>
        </w:tc>
        <w:tc>
          <w:tcPr>
            <w:tcW w:w="456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27"/>
              <w:adjustRightInd w:val="0"/>
              <w:snapToGrid w:val="0"/>
              <w:spacing w:line="440" w:lineRule="exact"/>
              <w:ind w:firstLineChars="0" w:firstLine="0"/>
              <w:rPr>
                <w:rFonts w:ascii="Times New Roman" w:eastAsia="仿宋_GB2312" w:hAnsi="Times New Roman"/>
                <w:sz w:val="24"/>
                <w:szCs w:val="28"/>
              </w:rPr>
            </w:pPr>
            <w:r>
              <w:rPr>
                <w:rFonts w:ascii="Times New Roman" w:eastAsia="仿宋_GB2312" w:hAnsi="Times New Roman" w:hint="eastAsia"/>
                <w:sz w:val="24"/>
                <w:szCs w:val="28"/>
              </w:rPr>
              <w:t>采取如下行动并至少每半年提交性别行动计划报告</w:t>
            </w:r>
          </w:p>
          <w:p>
            <w:pPr>
              <w:pStyle w:val="27"/>
              <w:adjustRightInd w:val="0"/>
              <w:snapToGrid w:val="0"/>
              <w:spacing w:line="440" w:lineRule="exact"/>
              <w:ind w:firstLineChars="0" w:firstLine="0"/>
              <w:rPr>
                <w:rFonts w:ascii="Times New Roman" w:eastAsia="仿宋_GB2312" w:hAnsi="Times New Roman"/>
                <w:sz w:val="24"/>
                <w:szCs w:val="28"/>
              </w:rPr>
            </w:pPr>
            <w:r>
              <w:rPr>
                <w:rFonts w:ascii="Times New Roman" w:eastAsia="仿宋_GB2312" w:hAnsi="Times New Roman" w:hint="eastAsia"/>
                <w:sz w:val="24"/>
                <w:szCs w:val="28"/>
              </w:rPr>
              <w:t>（1）就地方生物多样性现状分析，与来自不同政府部门、行业协会、民间组织、社区和学术机构的相关关键女性信息提供者进行调查和咨询。</w:t>
            </w:r>
          </w:p>
          <w:p>
            <w:pPr>
              <w:pStyle w:val="27"/>
              <w:adjustRightInd w:val="0"/>
              <w:snapToGrid w:val="0"/>
              <w:spacing w:line="440" w:lineRule="exact"/>
              <w:ind w:firstLineChars="0" w:firstLine="0"/>
              <w:rPr>
                <w:rFonts w:ascii="Times New Roman" w:eastAsia="仿宋_GB2312" w:hAnsi="Times New Roman"/>
                <w:sz w:val="24"/>
                <w:szCs w:val="28"/>
              </w:rPr>
            </w:pPr>
            <w:r>
              <w:rPr>
                <w:rFonts w:ascii="Times New Roman" w:eastAsia="仿宋_GB2312" w:hAnsi="Times New Roman" w:hint="eastAsia"/>
                <w:sz w:val="24"/>
                <w:szCs w:val="28"/>
              </w:rPr>
              <w:t>（2）成立规划制定与领导小组，并包含女性成员。规划制定与领导小组中的女性比例50%</w:t>
            </w:r>
          </w:p>
          <w:p>
            <w:pPr>
              <w:pStyle w:val="27"/>
              <w:adjustRightInd w:val="0"/>
              <w:snapToGrid w:val="0"/>
              <w:spacing w:line="440" w:lineRule="exact"/>
              <w:ind w:firstLineChars="0" w:firstLine="0"/>
              <w:rPr>
                <w:rFonts w:ascii="Times New Roman" w:eastAsia="仿宋_GB2312" w:hAnsi="Times New Roman"/>
                <w:sz w:val="24"/>
                <w:szCs w:val="28"/>
              </w:rPr>
            </w:pPr>
            <w:r>
              <w:rPr>
                <w:rFonts w:ascii="Times New Roman" w:eastAsia="仿宋_GB2312" w:hAnsi="Times New Roman" w:hint="eastAsia"/>
                <w:sz w:val="24"/>
                <w:szCs w:val="28"/>
              </w:rPr>
              <w:t>（3）就规划的制定、评审和完善征求当地女性公众（包括少数民族）的意见和建议。</w:t>
            </w:r>
          </w:p>
        </w:tc>
      </w:tr>
      <w:tr>
        <w:tc>
          <w:tcPr>
            <w:tcW w:w="817"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27"/>
              <w:adjustRightInd w:val="0"/>
              <w:snapToGrid w:val="0"/>
              <w:spacing w:line="440" w:lineRule="exact"/>
              <w:ind w:firstLineChars="0" w:firstLine="0"/>
              <w:jc w:val="center"/>
              <w:rPr>
                <w:rFonts w:ascii="Times New Roman" w:eastAsia="仿宋_GB2312" w:hAnsi="Times New Roman"/>
                <w:sz w:val="24"/>
                <w:szCs w:val="28"/>
              </w:rPr>
            </w:pPr>
            <w:r>
              <w:rPr>
                <w:rFonts w:ascii="Times New Roman" w:eastAsia="仿宋_GB2312" w:hAnsi="Times New Roman" w:hint="eastAsia"/>
                <w:sz w:val="24"/>
                <w:szCs w:val="28"/>
              </w:rPr>
              <w:t>产出2</w:t>
            </w:r>
            <w:r>
              <w:rPr>
                <w:rFonts w:ascii="Times New Roman" w:eastAsia="仿宋_GB2312" w:hAnsi="Times New Roman"/>
                <w:sz w:val="24"/>
                <w:szCs w:val="28"/>
              </w:rPr>
              <w:t>.2</w:t>
            </w:r>
          </w:p>
        </w:tc>
        <w:tc>
          <w:tcPr>
            <w:tcW w:w="354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27"/>
              <w:tabs>
                <w:tab w:val="left" w:pos="1155"/>
              </w:tabs>
              <w:adjustRightInd w:val="0"/>
              <w:snapToGrid w:val="0"/>
              <w:spacing w:line="540" w:lineRule="exact"/>
              <w:ind w:firstLineChars="0" w:firstLine="0"/>
              <w:rPr>
                <w:rFonts w:ascii="Times New Roman" w:eastAsia="仿宋_GB2312" w:hAnsi="Times New Roman"/>
                <w:sz w:val="24"/>
                <w:szCs w:val="28"/>
              </w:rPr>
            </w:pPr>
            <w:r>
              <w:rPr>
                <w:rFonts w:ascii="Times New Roman" w:eastAsia="仿宋_GB2312" w:hAnsi="Times New Roman" w:hint="eastAsia"/>
                <w:sz w:val="24"/>
                <w:szCs w:val="28"/>
              </w:rPr>
              <w:t>活动</w:t>
            </w:r>
            <w:r>
              <w:rPr>
                <w:rFonts w:ascii="Times New Roman" w:eastAsia="仿宋_GB2312" w:hAnsi="Times New Roman"/>
                <w:sz w:val="24"/>
                <w:szCs w:val="28"/>
              </w:rPr>
              <w:t>2.2.2-</w:t>
            </w:r>
            <w:r>
              <w:rPr>
                <w:rFonts w:ascii="Times New Roman" w:eastAsia="仿宋_GB2312" w:hAnsi="Times New Roman" w:hint="eastAsia"/>
                <w:sz w:val="24"/>
                <w:szCs w:val="28"/>
              </w:rPr>
              <w:t>子活动1、子活动2和子活动3：通过项目培训、累计培训人数</w:t>
            </w:r>
          </w:p>
        </w:tc>
        <w:tc>
          <w:tcPr>
            <w:tcW w:w="456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adjustRightInd w:val="0"/>
              <w:snapToGrid w:val="0"/>
              <w:spacing w:line="440" w:lineRule="exact"/>
              <w:rPr>
                <w:rFonts w:ascii="Times New Roman" w:eastAsia="仿宋_GB2312" w:hAnsi="Times New Roman"/>
                <w:sz w:val="24"/>
                <w:szCs w:val="28"/>
              </w:rPr>
            </w:pPr>
            <w:r>
              <w:rPr>
                <w:rFonts w:ascii="Times New Roman" w:eastAsia="仿宋_GB2312" w:hAnsi="Times New Roman" w:hint="eastAsia"/>
                <w:sz w:val="24"/>
                <w:szCs w:val="28"/>
              </w:rPr>
              <w:t>（1）根据需求开发项目培训课程，培训课程设计充分考虑女性需求；</w:t>
            </w:r>
          </w:p>
          <w:p>
            <w:pPr>
              <w:adjustRightInd w:val="0"/>
              <w:snapToGrid w:val="0"/>
              <w:spacing w:line="440" w:lineRule="exact"/>
              <w:rPr>
                <w:rFonts w:ascii="Times New Roman" w:eastAsia="仿宋_GB2312" w:hAnsi="Times New Roman"/>
                <w:sz w:val="24"/>
                <w:szCs w:val="28"/>
              </w:rPr>
            </w:pPr>
            <w:r>
              <w:rPr>
                <w:rFonts w:ascii="Times New Roman" w:eastAsia="仿宋_GB2312" w:hAnsi="Times New Roman" w:hint="eastAsia"/>
                <w:sz w:val="24"/>
                <w:szCs w:val="28"/>
              </w:rPr>
              <w:t>（2）在项目点开始技术培训之前，至少开展一次由性别平等专家介绍关于性别平等和女性赋权的基本概念和最佳实践的培训；</w:t>
            </w:r>
          </w:p>
          <w:p>
            <w:pPr>
              <w:adjustRightInd w:val="0"/>
              <w:snapToGrid w:val="0"/>
              <w:spacing w:line="440" w:lineRule="exact"/>
              <w:rPr>
                <w:rFonts w:ascii="Times New Roman" w:eastAsia="仿宋_GB2312" w:hAnsi="Times New Roman"/>
                <w:sz w:val="24"/>
                <w:szCs w:val="28"/>
              </w:rPr>
            </w:pPr>
            <w:r>
              <w:rPr>
                <w:rFonts w:ascii="Times New Roman" w:eastAsia="仿宋_GB2312" w:hAnsi="Times New Roman" w:hint="eastAsia"/>
                <w:sz w:val="24"/>
                <w:szCs w:val="28"/>
              </w:rPr>
              <w:t>（3）地方政府鼓励、支持并动员相关女性参加项目点的培训课程；</w:t>
            </w:r>
          </w:p>
          <w:p>
            <w:pPr>
              <w:adjustRightInd w:val="0"/>
              <w:snapToGrid w:val="0"/>
              <w:spacing w:line="440" w:lineRule="exact"/>
              <w:rPr>
                <w:rFonts w:ascii="Times New Roman" w:eastAsia="仿宋_GB2312" w:hAnsi="Times New Roman"/>
                <w:sz w:val="24"/>
                <w:szCs w:val="28"/>
              </w:rPr>
            </w:pPr>
            <w:r>
              <w:rPr>
                <w:rFonts w:ascii="Times New Roman" w:eastAsia="仿宋_GB2312" w:hAnsi="Times New Roman" w:hint="eastAsia"/>
                <w:sz w:val="24"/>
                <w:szCs w:val="28"/>
              </w:rPr>
              <w:t>（4）收集培训课程、照片、视频等材料，提交项目实施审查报告评估培训效果。</w:t>
            </w:r>
          </w:p>
          <w:p>
            <w:pPr>
              <w:pStyle w:val="27"/>
              <w:adjustRightInd w:val="0"/>
              <w:snapToGrid w:val="0"/>
              <w:spacing w:line="440" w:lineRule="exact"/>
              <w:ind w:firstLineChars="0" w:firstLine="0"/>
              <w:rPr>
                <w:rFonts w:ascii="Times New Roman" w:eastAsia="仿宋_GB2312" w:hAnsi="Times New Roman"/>
                <w:sz w:val="24"/>
                <w:szCs w:val="28"/>
              </w:rPr>
            </w:pPr>
            <w:r>
              <w:rPr>
                <w:rFonts w:ascii="Times New Roman" w:eastAsia="仿宋_GB2312" w:hAnsi="Times New Roman" w:hint="eastAsia"/>
                <w:sz w:val="24"/>
                <w:szCs w:val="28"/>
              </w:rPr>
              <w:t>总培训人数累计</w:t>
            </w:r>
            <w:r>
              <w:rPr>
                <w:rFonts w:ascii="Times New Roman" w:eastAsia="仿宋_GB2312" w:hAnsi="Times New Roman"/>
                <w:sz w:val="24"/>
                <w:szCs w:val="28"/>
              </w:rPr>
              <w:t>1,000</w:t>
            </w:r>
            <w:r>
              <w:rPr>
                <w:rFonts w:ascii="Times New Roman" w:eastAsia="仿宋_GB2312" w:hAnsi="Times New Roman" w:hint="eastAsia"/>
                <w:sz w:val="24"/>
                <w:szCs w:val="28"/>
              </w:rPr>
              <w:t>人（</w:t>
            </w:r>
            <w:r>
              <w:rPr>
                <w:rFonts w:ascii="Times New Roman" w:eastAsia="仿宋_GB2312" w:hAnsi="Times New Roman"/>
                <w:sz w:val="24"/>
                <w:szCs w:val="28"/>
              </w:rPr>
              <w:t>6</w:t>
            </w:r>
            <w:r>
              <w:rPr>
                <w:rFonts w:ascii="Times New Roman" w:eastAsia="仿宋_GB2312" w:hAnsi="Times New Roman" w:hint="eastAsia"/>
                <w:sz w:val="24"/>
                <w:szCs w:val="28"/>
              </w:rPr>
              <w:t>0%为女性）。</w:t>
            </w:r>
          </w:p>
        </w:tc>
      </w:tr>
    </w:tbl>
    <w:p>
      <w:pPr>
        <w:pStyle w:val="27"/>
        <w:tabs>
          <w:tab w:val="left" w:pos="1134"/>
        </w:tabs>
        <w:adjustRightInd w:val="0"/>
        <w:snapToGrid w:val="0"/>
        <w:spacing w:beforeLines="50" w:before="156" w:line="540" w:lineRule="exact"/>
        <w:ind w:firstLineChars="0" w:firstLine="0"/>
        <w:rPr>
          <w:rFonts w:ascii="Times New Roman" w:eastAsia="仿宋_GB2312" w:hAnsi="Times New Roman"/>
          <w:sz w:val="28"/>
          <w:szCs w:val="28"/>
        </w:rPr>
      </w:pPr>
      <w:bookmarkEnd w:id="7"/>
      <w:bookmarkEnd w:id="8"/>
    </w:p>
    <w:sectPr>
      <w:footerReference w:type="even" r:id="rId2"/>
      <w:footnotePr/>
      <w:pgSz w:w="11906" w:h="16838"/>
      <w:pgMar w:top="1440" w:right="1800" w:bottom="1440" w:left="1800" w:header="851" w:footer="992" w:gutter="0"/>
      <w:pgNumType w:fmt="numberInDash" w:start="1" w:chapStyle="1"/>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00"/>
    <w:family w:val="roman"/>
    <w:pitch w:val="variable"/>
    <w:sig w:usb0="20007A87" w:usb1="80000000" w:usb2="00000008" w:usb3="00000000" w:csb0="000001FF" w:csb1="00000000"/>
  </w:font>
  <w:font w:name="仿宋_GB2312">
    <w:panose1 w:val="02010609030101010101"/>
    <w:charset w:val="86"/>
    <w:family w:val="modern"/>
    <w:pitch w:val="variable"/>
    <w:sig w:usb0="00000001" w:usb1="080E0000" w:usb2="00000000" w:usb3="00000000" w:csb0="00040000" w:csb1="00000000"/>
  </w:font>
  <w:font w:name="黑体">
    <w:panose1 w:val="02010609060101010101"/>
    <w:charset w:val="86"/>
    <w:family w:val="auto"/>
    <w:pitch w:val="variable"/>
    <w:sig w:usb0="800002BF" w:usb1="38CF7CFA" w:usb2="00000016" w:usb3="00000000" w:csb0="00040001" w:csb1="00000000"/>
  </w:font>
  <w:font w:name="楷体">
    <w:panose1 w:val="02010609060101010101"/>
    <w:charset w:val="86"/>
    <w:family w:val="modern"/>
    <w:pitch w:val="variable"/>
    <w:sig w:usb0="800002BF" w:usb1="38CF7CFA" w:usb2="00000016" w:usb3="00000000" w:csb0="00040001" w:csb1="00000000"/>
  </w:font>
  <w:font w:name="宋体">
    <w:panose1 w:val="02010600030101010101"/>
    <w:charset w:val="86"/>
    <w:family w:val="auto"/>
    <w:pitch w:val="variable"/>
    <w:sig w:usb0="00000003" w:usb1="288F0000" w:usb2="00000006" w:usb3="00000000" w:csb0="00040001" w:csb1="00000000"/>
  </w:font>
  <w:font w:name="Calibri">
    <w:altName w:val="Times New Roman"/>
    <w:panose1 w:val="020F0502020204030204"/>
    <w:charset w:val="00"/>
    <w:family w:val="swiss"/>
    <w:pitch w:val="variable"/>
    <w:sig w:usb0="E4002EFF" w:usb1="C000247B" w:usb2="00000009" w:usb3="00000000" w:csb0="200001FF" w:csb1="00000000"/>
  </w:font>
  <w:font w:name="Cambria">
    <w:altName w:val="DejaVu Sans"/>
    <w:panose1 w:val="02040503050406030204"/>
    <w:charset w:val="00"/>
    <w:family w:val="roman"/>
    <w:pitch w:val="variable"/>
    <w:sig w:usb0="E00006FF" w:usb1="420024FF" w:usb2="02000000" w:usb3="00000000" w:csb0="2000019F" w:csb1="00000000"/>
  </w:font>
  <w:font w:name="Arial Unicode MS">
    <w:altName w:val="宋体"/>
    <w:panose1 w:val="020B0604020202020204"/>
    <w:charset w:val="80"/>
    <w:family w:val="swiss"/>
    <w:pitch w:val="variable"/>
    <w:sig w:usb0="FFFFFFFF" w:usb1="E9FFFFFF" w:usb2="0000003F" w:usb3="00000000" w:csb0="603F01FF" w:csb1="FFFF0000"/>
  </w:font>
  <w:font w:name="等线">
    <w:altName w:val="宋体"/>
    <w:panose1 w:val="02010600030101010101"/>
    <w:charset w:val="86"/>
    <w:family w:val="auto"/>
    <w:pitch w:val="variable"/>
    <w:sig w:usb0="A00002BF" w:usb1="38CF7CFA" w:usb2="00000016" w:usb3="00000000" w:csb0="0004000F" w:csb1="00000000"/>
  </w:font>
  <w:font w:name="Symbol">
    <w:altName w:val="DejaVu Sans"/>
    <w:panose1 w:val="05050102010706020507"/>
    <w:charset w:val="02"/>
    <w:family w:val="roman"/>
    <w:pitch w:val="variable"/>
    <w:sig w:usb0="00000000" w:usb1="00000000" w:usb2="00000000" w:usb3="00000000" w:csb0="80000000" w:csb1="00000000"/>
  </w:font>
  <w:font w:name="Wingdings">
    <w:altName w:val="DejaVu Sans"/>
    <w:panose1 w:val="05000000000000000000"/>
    <w:charset w:val="02"/>
    <w:family w:val="auto"/>
    <w:pitch w:val="variable"/>
    <w:sig w:usb0="00000000" w:usb1="00000000" w:usb2="00000000" w:usb3="00000000" w:csb0="8000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8"/>
      <w:tabs>
        <w:tab w:val="center" w:pos="4153"/>
        <w:tab w:val="right" w:pos="8306"/>
      </w:tabs>
      <w:jc w:val="center"/>
    </w:pPr>
    <w:r>
      <w:fldChar w:fldCharType="begin"/>
    </w:r>
    <w:r>
      <w:instrText>PAGE   \* MERGEFORMAT</w:instrText>
    </w:r>
    <w:r>
      <w:fldChar w:fldCharType="separate"/>
    </w:r>
    <w:r>
      <w:rPr>
        <w:lang w:val="zh-CN"/>
      </w:rPr>
      <w:t>-</w:t>
    </w:r>
    <w:r>
      <w:t xml:space="preserve"> 6 -</w:t>
    </w:r>
    <w:r>
      <w:fldChar w:fldCharType="end"/>
    </w:r>
  </w:p>
  <w:p>
    <w:pPr>
      <w:pStyle w:val="18"/>
      <w:tabs>
        <w:tab w:val="center" w:pos="4153"/>
        <w:tab w:val="right" w:pos="8306"/>
      </w:tabs>
    </w:pPr>
  </w:p>
</w:ftr>
</file>

<file path=word/footnotes.xml><?xml version="1.0" encoding="utf-8"?>
<w:footnotes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footnote w:type="separator" w:id="0">
    <w:p>
      <w:r>
        <w:separator/>
      </w:r>
    </w:p>
  </w:footnote>
  <w:footnote w:type="continuationSeparator" w:id="1">
    <w:p>
      <w:r>
        <w:continuationSeparator/>
      </w:r>
    </w:p>
  </w:footnote>
  <w:footnote w:id="2">
    <w:p>
      <w:pPr>
        <w:pStyle w:val="20"/>
      </w:pPr>
      <w:r>
        <w:rPr>
          <w:rStyle w:val="26"/>
        </w:rPr>
        <w:footnoteRef/>
      </w:r>
      <w:r>
        <w:rPr>
          <w:b/>
        </w:rPr>
        <w:t xml:space="preserve"> </w:t>
      </w:r>
      <w:bookmarkStart w:id="15" w:name="OLE_LINK18"/>
      <w:bookmarkStart w:id="16" w:name="OLE_LINK17"/>
      <w:bookmarkStart w:id="17" w:name="OLE_LINK22"/>
      <w:bookmarkStart w:id="18" w:name="OLE_LINK21"/>
      <w:r>
        <w:rPr>
          <w:rFonts w:ascii="仿宋_GB2312" w:eastAsia="仿宋_GB2312" w:hint="eastAsia"/>
        </w:rPr>
        <w:t>因项目涉及4个试点，共有产出2.1（包括活动2.1.1、活动2.1.2）、产出2.2（包括活动2.2.1、活动2.2.2等）。</w:t>
      </w:r>
      <w:r>
        <w:rPr>
          <w:rFonts w:ascii="仿宋_GB2312" w:eastAsia="仿宋_GB2312" w:hint="eastAsia"/>
          <w:b/>
        </w:rPr>
        <w:t>这里产出2.1下活动2.1.1、产出2.2下活动2.2.2子活动1、2和3等编号均与项目文件编号保持一致，不另行编号。</w:t>
      </w:r>
      <w:bookmarkEnd w:id="15"/>
      <w:bookmarkEnd w:id="16"/>
    </w:p>
  </w:footnote>
  <w:footnote w:id="3">
    <w:p>
      <w:pPr>
        <w:pStyle w:val="20"/>
        <w:rPr>
          <w:rFonts w:ascii="仿宋_GB2312" w:eastAsia="仿宋_GB2312"/>
        </w:rPr>
      </w:pPr>
      <w:bookmarkEnd w:id="17"/>
      <w:bookmarkEnd w:id="18"/>
      <w:r>
        <w:rPr>
          <w:rStyle w:val="26"/>
          <w:rFonts w:ascii="仿宋_GB2312" w:eastAsia="仿宋_GB2312"/>
        </w:rPr>
        <w:footnoteRef/>
      </w:r>
      <w:r>
        <w:rPr>
          <w:rFonts w:ascii="仿宋_GB2312" w:eastAsia="仿宋_GB2312"/>
        </w:rPr>
        <w:t xml:space="preserve"> </w:t>
      </w:r>
      <w:r>
        <w:rPr>
          <w:rFonts w:ascii="仿宋_GB2312" w:eastAsia="仿宋_GB2312" w:hint="eastAsia"/>
        </w:rPr>
        <w:t>数据来源：张肖肖</w:t>
      </w:r>
      <w:r>
        <w:rPr>
          <w:rFonts w:ascii="仿宋_GB2312" w:eastAsia="仿宋_GB2312"/>
        </w:rPr>
        <w:t xml:space="preserve">. </w:t>
      </w:r>
      <w:r>
        <w:rPr>
          <w:rFonts w:ascii="仿宋_GB2312" w:eastAsia="仿宋_GB2312" w:hint="eastAsia"/>
        </w:rPr>
        <w:t>攀枝花市国土空间开发适宜性评价</w:t>
      </w:r>
      <w:r>
        <w:rPr>
          <w:rFonts w:ascii="仿宋_GB2312" w:eastAsia="仿宋_GB2312"/>
        </w:rPr>
        <w:t xml:space="preserve">. </w:t>
      </w:r>
      <w:r>
        <w:rPr>
          <w:rFonts w:ascii="仿宋_GB2312" w:eastAsia="仿宋_GB2312" w:hint="eastAsia"/>
        </w:rPr>
        <w:t>成都理工大学硕士论文</w:t>
      </w:r>
      <w:r>
        <w:rPr>
          <w:rFonts w:ascii="仿宋_GB2312" w:eastAsia="仿宋_GB2312"/>
        </w:rPr>
        <w:t>, 2019</w:t>
      </w:r>
      <w:r>
        <w:rPr>
          <w:rFonts w:ascii="仿宋_GB2312" w:eastAsia="仿宋_GB2312" w:hint="eastAsia"/>
        </w:rPr>
        <w:t>年</w:t>
      </w:r>
      <w:r>
        <w:rPr>
          <w:rFonts w:ascii="仿宋_GB2312" w:eastAsia="仿宋_GB2312"/>
        </w:rPr>
        <w:t>5</w:t>
      </w:r>
      <w:r>
        <w:rPr>
          <w:rFonts w:ascii="仿宋_GB2312" w:eastAsia="仿宋_GB2312" w:hint="eastAsia"/>
        </w:rPr>
        <w:t>月</w:t>
      </w:r>
      <w:r>
        <w:rPr>
          <w:rFonts w:ascii="仿宋_GB2312" w:eastAsia="仿宋_GB2312"/>
        </w:rPr>
        <w:t xml:space="preserve">, </w:t>
      </w:r>
      <w:r>
        <w:rPr>
          <w:rFonts w:ascii="仿宋_GB2312" w:eastAsia="仿宋_GB2312" w:hint="eastAsia"/>
        </w:rPr>
        <w:t>第</w:t>
      </w:r>
      <w:r>
        <w:rPr>
          <w:rFonts w:ascii="仿宋_GB2312" w:eastAsia="仿宋_GB2312"/>
        </w:rPr>
        <w:t>21-23</w:t>
      </w:r>
      <w:r>
        <w:rPr>
          <w:rFonts w:ascii="仿宋_GB2312" w:eastAsia="仿宋_GB2312" w:hint="eastAsia"/>
        </w:rPr>
        <w:t>页。</w:t>
      </w:r>
    </w:p>
  </w:footnote>
</w:footnotes>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6EB3151B"/>
    <w:multiLevelType w:val="multilevel"/>
    <w:tmpl w:val="6EB3151B"/>
    <w:lvl w:ilvl="0">
      <w:start w:val="1"/>
      <w:numFmt w:val="chineseCountingThousand"/>
      <w:lvlRestart w:val="0"/>
      <w:lvlText w:val="%1、"/>
      <w:lvlJc w:val="left"/>
      <w:pPr>
        <w:ind w:left="720" w:hanging="720"/>
      </w:pPr>
      <w:rPr>
        <w:rFonts w:hint="eastAsia"/>
        <w:b w:val="0"/>
        <w:bCs/>
        <w:i w:val="0"/>
        <w:sz w:val="28"/>
        <w:szCs w:val="28"/>
      </w:rPr>
    </w:lvl>
    <w:lvl w:ilvl="1">
      <w:start w:val="1"/>
      <w:numFmt w:val="decimal"/>
      <w:lvlText w:val="（%2）"/>
      <w:lvlJc w:val="left"/>
      <w:pPr>
        <w:ind w:left="1455" w:hanging="1035"/>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207C74DC"/>
    <w:multiLevelType w:val="multilevel"/>
    <w:tmpl w:val="207C74DC"/>
    <w:lvl w:ilvl="0">
      <w:start w:val="1"/>
      <w:numFmt w:val="bullet"/>
      <w:lvlRestart w:val="0"/>
      <w:lvlText w:val=""/>
      <w:lvlJc w:val="left"/>
      <w:pPr>
        <w:ind w:left="1140" w:hanging="420"/>
      </w:pPr>
      <w:rPr>
        <w:rFonts w:ascii="Symbol" w:hAnsi="Symbol" w:hint="default"/>
        <w:snapToGrid/>
        <w:color w:val="auto"/>
        <w:kern w:val="24"/>
        <w:sz w:val="28"/>
      </w:rPr>
    </w:lvl>
    <w:lvl w:ilvl="1">
      <w:start w:val="1"/>
      <w:numFmt w:val="bullet"/>
      <w:lvlText w:val=""/>
      <w:lvlJc w:val="left"/>
      <w:pPr>
        <w:ind w:left="1560" w:hanging="420"/>
      </w:pPr>
      <w:rPr>
        <w:rFonts w:ascii="Wingdings" w:hAnsi="Wingdings" w:hint="default"/>
      </w:rPr>
    </w:lvl>
    <w:lvl w:ilvl="2">
      <w:start w:val="1"/>
      <w:numFmt w:val="bullet"/>
      <w:lvlText w:val=""/>
      <w:lvlJc w:val="left"/>
      <w:pPr>
        <w:ind w:left="1980" w:hanging="420"/>
      </w:pPr>
      <w:rPr>
        <w:rFonts w:ascii="Wingdings" w:hAnsi="Wingdings" w:hint="default"/>
      </w:rPr>
    </w:lvl>
    <w:lvl w:ilvl="3">
      <w:start w:val="1"/>
      <w:numFmt w:val="bullet"/>
      <w:lvlText w:val=""/>
      <w:lvlJc w:val="left"/>
      <w:pPr>
        <w:ind w:left="2400" w:hanging="420"/>
      </w:pPr>
      <w:rPr>
        <w:rFonts w:ascii="Wingdings" w:hAnsi="Wingdings" w:hint="default"/>
      </w:rPr>
    </w:lvl>
    <w:lvl w:ilvl="4">
      <w:start w:val="1"/>
      <w:numFmt w:val="bullet"/>
      <w:lvlText w:val=""/>
      <w:lvlJc w:val="left"/>
      <w:pPr>
        <w:ind w:left="2820" w:hanging="420"/>
      </w:pPr>
      <w:rPr>
        <w:rFonts w:ascii="Wingdings" w:hAnsi="Wingdings" w:hint="default"/>
      </w:rPr>
    </w:lvl>
    <w:lvl w:ilvl="5">
      <w:start w:val="1"/>
      <w:numFmt w:val="bullet"/>
      <w:lvlText w:val=""/>
      <w:lvlJc w:val="left"/>
      <w:pPr>
        <w:ind w:left="3240" w:hanging="420"/>
      </w:pPr>
      <w:rPr>
        <w:rFonts w:ascii="Wingdings" w:hAnsi="Wingdings" w:hint="default"/>
      </w:rPr>
    </w:lvl>
    <w:lvl w:ilvl="6">
      <w:start w:val="1"/>
      <w:numFmt w:val="bullet"/>
      <w:lvlText w:val=""/>
      <w:lvlJc w:val="left"/>
      <w:pPr>
        <w:ind w:left="3660" w:hanging="420"/>
      </w:pPr>
      <w:rPr>
        <w:rFonts w:ascii="Wingdings" w:hAnsi="Wingdings" w:hint="default"/>
      </w:rPr>
    </w:lvl>
    <w:lvl w:ilvl="7">
      <w:start w:val="1"/>
      <w:numFmt w:val="bullet"/>
      <w:lvlText w:val=""/>
      <w:lvlJc w:val="left"/>
      <w:pPr>
        <w:ind w:left="4080" w:hanging="420"/>
      </w:pPr>
      <w:rPr>
        <w:rFonts w:ascii="Wingdings" w:hAnsi="Wingdings" w:hint="default"/>
      </w:rPr>
    </w:lvl>
    <w:lvl w:ilvl="8">
      <w:start w:val="1"/>
      <w:numFmt w:val="bullet"/>
      <w:lvlText w:val=""/>
      <w:lvlJc w:val="left"/>
      <w:pPr>
        <w:ind w:left="4500" w:hanging="420"/>
      </w:pPr>
      <w:rPr>
        <w:rFonts w:ascii="Wingdings" w:hAnsi="Wingdings" w:hint="default"/>
      </w:rPr>
    </w:lvl>
  </w:abstractNum>
  <w:num w:numId="1">
    <w:abstractNumId w:val="0"/>
  </w:num>
  <w:num w:numId="2">
    <w:abstractNumId w:val="1"/>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ocumentProtection w:edit="readOnly" w:enforcement="0"/>
  <w:defaultTabStop w:val="420"/>
  <w:evenAndOddHeaders/>
  <w:drawingGridHorizontalSpacing w:val="105"/>
  <w:drawingGridVerticalSpacing w:val="156"/>
  <w:displayHorizontalDrawingGridEvery w:val="0"/>
  <w:displayVerticalDrawingGridEvery w:val="1"/>
  <w:noPunctuationKerning/>
  <w:characterSpacingControl w:val="compressPunctuation"/>
  <w:footnotePr>
    <w:footnote w:id="0"/>
    <w:footnote w:id="1"/>
  </w:footnotePr>
  <w:compat>
    <w:spaceForUL/>
    <w:balanceSingleByteDoubleByteWidth/>
    <w:ulTrailSpace/>
    <w:doNotExpandShiftReturn/>
    <w:adjustLineHeightInTable/>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Times New Roman" w:hAnsi="Calibri"/>
      <w:kern w:val="2"/>
      <w:sz w:val="21"/>
      <w:szCs w:val="22"/>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szCs w:val="44"/>
    </w:rPr>
  </w:style>
  <w:style w:type="paragraph" w:styleId="2">
    <w:name w:val="heading 2"/>
    <w:basedOn w:val="0"/>
    <w:next w:val="0"/>
    <w:pPr>
      <w:keepNext/>
      <w:keepLines/>
      <w:widowControl w:val="0"/>
      <w:spacing w:before="260" w:after="260" w:line="415" w:lineRule="auto"/>
      <w:outlineLvl w:val="1"/>
    </w:pPr>
    <w:rPr>
      <w:rFonts w:ascii="Times New Roman" w:eastAsia="黑体" w:hAnsi="Times New Roman"/>
      <w:b/>
      <w:bCs/>
      <w:sz w:val="32"/>
      <w:szCs w:val="32"/>
    </w:rPr>
  </w:style>
  <w:style w:type="paragraph" w:styleId="3">
    <w:name w:val="heading 3"/>
    <w:basedOn w:val="0"/>
    <w:next w:val="0"/>
    <w:pPr>
      <w:keepNext/>
      <w:keepLines/>
      <w:widowControl w:val="0"/>
      <w:spacing w:before="260" w:after="260" w:line="415" w:lineRule="auto"/>
      <w:outlineLvl w:val="2"/>
    </w:pPr>
    <w:rPr>
      <w:b/>
      <w:bCs/>
      <w:sz w:val="32"/>
      <w:szCs w:val="32"/>
    </w:rPr>
  </w:style>
  <w:style w:type="paragraph" w:styleId="6">
    <w:name w:val="heading 6"/>
    <w:basedOn w:val="8"/>
    <w:next w:val="0"/>
    <w:pPr>
      <w:keepNext/>
      <w:keepLines w:val="0"/>
      <w:widowControl/>
      <w:spacing w:before="0" w:after="0" w:line="240" w:lineRule="auto"/>
      <w:jc w:val="left"/>
      <w:outlineLvl w:val="5"/>
    </w:pPr>
    <w:rPr>
      <w:rFonts w:ascii="Times New Roman" w:hAnsi="Times New Roman"/>
      <w:b/>
      <w:bCs/>
      <w:sz w:val="22"/>
      <w:szCs w:val="20"/>
    </w:rPr>
  </w:style>
  <w:style w:type="paragraph" w:styleId="7">
    <w:name w:val="heading 7"/>
    <w:basedOn w:val="0"/>
    <w:next w:val="0"/>
    <w:pPr>
      <w:keepNext/>
      <w:widowControl/>
      <w:jc w:val="left"/>
      <w:outlineLvl w:val="6"/>
    </w:pPr>
    <w:rPr>
      <w:rFonts w:ascii="Times New Roman" w:hAnsi="Times New Roman"/>
      <w:kern w:val="0"/>
      <w:sz w:val="22"/>
      <w:szCs w:val="20"/>
      <w:u w:val="single"/>
    </w:rPr>
  </w:style>
  <w:style w:type="paragraph" w:styleId="8">
    <w:name w:val="heading 8"/>
    <w:basedOn w:val="0"/>
    <w:next w:val="0"/>
    <w:pPr>
      <w:keepNext/>
      <w:keepLines/>
      <w:widowControl w:val="0"/>
      <w:spacing w:before="240" w:after="64" w:line="319" w:lineRule="auto"/>
      <w:outlineLvl w:val="7"/>
    </w:pPr>
    <w:rPr>
      <w:rFonts w:ascii="Cambria" w:hAnsi="Cambria"/>
      <w:kern w:val="0"/>
      <w:sz w:val="24"/>
      <w:szCs w:val="24"/>
    </w:rPr>
  </w:style>
  <w:style w:type="character" w:default="1" w:styleId="10">
    <w:name w:val="Default Paragraph Font"/>
  </w:style>
  <w:style w:type="paragraph" w:styleId="15">
    <w:name w:val="annotation text"/>
    <w:basedOn w:val="0"/>
    <w:pPr>
      <w:jc w:val="left"/>
    </w:pPr>
    <w:rPr>
      <w:kern w:val="0"/>
      <w:sz w:val="20"/>
      <w:szCs w:val="20"/>
    </w:rPr>
  </w:style>
  <w:style w:type="paragraph" w:styleId="16">
    <w:name w:val="Body Text Indent 2"/>
    <w:basedOn w:val="0"/>
    <w:pPr>
      <w:spacing w:after="120" w:line="480" w:lineRule="auto"/>
      <w:ind w:leftChars="200" w:left="200"/>
    </w:pPr>
    <w:rPr>
      <w:rFonts w:ascii="Times New Roman" w:hAnsi="Times New Roman"/>
      <w:kern w:val="0"/>
      <w:sz w:val="20"/>
      <w:szCs w:val="24"/>
    </w:rPr>
  </w:style>
  <w:style w:type="paragraph" w:styleId="17">
    <w:name w:val="Balloon Text"/>
    <w:basedOn w:val="0"/>
    <w:rPr>
      <w:kern w:val="0"/>
      <w:sz w:val="18"/>
      <w:szCs w:val="18"/>
    </w:rPr>
  </w:style>
  <w:style w:type="paragraph" w:styleId="18">
    <w:name w:val="footer"/>
    <w:basedOn w:val="0"/>
    <w:pPr>
      <w:tabs>
        <w:tab w:val="center" w:pos="4153"/>
        <w:tab w:val="right" w:pos="8306"/>
      </w:tabs>
      <w:snapToGrid w:val="0"/>
      <w:jc w:val="left"/>
    </w:pPr>
    <w:rPr>
      <w:kern w:val="0"/>
      <w:sz w:val="18"/>
      <w:szCs w:val="18"/>
    </w:rPr>
  </w:style>
  <w:style w:type="paragraph" w:styleId="19">
    <w:name w:val="header"/>
    <w:basedOn w:val="0"/>
    <w:pPr>
      <w:pBdr>
        <w:bottom w:val="single" w:sz="6" w:space="1" w:color="auto"/>
      </w:pBdr>
      <w:tabs>
        <w:tab w:val="center" w:pos="4153"/>
        <w:tab w:val="right" w:pos="8306"/>
      </w:tabs>
      <w:snapToGrid w:val="0"/>
      <w:jc w:val="center"/>
    </w:pPr>
    <w:rPr>
      <w:kern w:val="0"/>
      <w:sz w:val="18"/>
      <w:szCs w:val="18"/>
    </w:rPr>
  </w:style>
  <w:style w:type="paragraph" w:styleId="20">
    <w:name w:val="footnote text"/>
    <w:basedOn w:val="0"/>
    <w:pPr>
      <w:snapToGrid w:val="0"/>
      <w:jc w:val="left"/>
    </w:pPr>
    <w:rPr>
      <w:kern w:val="0"/>
      <w:sz w:val="18"/>
      <w:szCs w:val="18"/>
    </w:rPr>
  </w:style>
  <w:style w:type="paragraph" w:styleId="21">
    <w:name w:val="Title"/>
    <w:basedOn w:val="0"/>
    <w:next w:val="0"/>
    <w:pPr>
      <w:spacing w:before="240" w:after="60"/>
      <w:jc w:val="center"/>
      <w:outlineLvl w:val="0"/>
    </w:pPr>
    <w:rPr>
      <w:rFonts w:ascii="Cambria" w:hAnsi="Cambria"/>
      <w:b/>
      <w:bCs/>
      <w:kern w:val="0"/>
      <w:sz w:val="32"/>
      <w:szCs w:val="32"/>
    </w:rPr>
  </w:style>
  <w:style w:type="paragraph" w:styleId="22">
    <w:name w:val="annotation subject"/>
    <w:basedOn w:val="15"/>
    <w:next w:val="15"/>
    <w:rPr>
      <w:b/>
      <w:bCs/>
    </w:rPr>
  </w:style>
  <w:style w:type="character" w:styleId="23">
    <w:name w:val="page number"/>
    <w:basedOn w:val="10"/>
  </w:style>
  <w:style w:type="character" w:styleId="24">
    <w:name w:val="Hyperlink"/>
    <w:basedOn w:val="10"/>
    <w:rPr>
      <w:color w:val="0000FF"/>
      <w:u w:val="single"/>
    </w:rPr>
  </w:style>
  <w:style w:type="character" w:styleId="25">
    <w:name w:val="annotation reference"/>
    <w:rPr>
      <w:sz w:val="21"/>
      <w:szCs w:val="21"/>
    </w:rPr>
  </w:style>
  <w:style w:type="character" w:styleId="26">
    <w:name w:val="footnote reference"/>
    <w:rPr>
      <w:vertAlign w:val="superscript"/>
    </w:rPr>
  </w:style>
  <w:style w:type="paragraph" w:customStyle="1" w:styleId="27">
    <w:name w:val="_Style 18"/>
    <w:basedOn w:val="0"/>
    <w:pPr>
      <w:ind w:firstLineChars="200" w:firstLine="200"/>
    </w:pPr>
  </w:style>
  <w:style w:type="paragraph" w:customStyle="1" w:styleId="28">
    <w:name w:val="Numbered Paras"/>
    <w:basedOn w:val="0"/>
    <w:pPr>
      <w:widowControl/>
      <w:spacing w:before="100" w:beforeAutospacing="1" w:after="100" w:afterAutospacing="1"/>
    </w:pPr>
    <w:rPr>
      <w:rFonts w:ascii="Times New Roman" w:hAnsi="Times New Roman"/>
      <w:kern w:val="0"/>
      <w:sz w:val="22"/>
    </w:rPr>
  </w:style>
  <w:style w:type="paragraph" w:customStyle="1" w:styleId="29">
    <w:name w:val="_Style 20"/>
    <w:rPr>
      <w:rFonts w:ascii="Calibri" w:eastAsia="宋体" w:cs="Times New Roman" w:hAnsi="Calibri"/>
      <w:kern w:val="2"/>
      <w:sz w:val="21"/>
      <w:szCs w:val="22"/>
      <w:lang w:val="en-US" w:eastAsia="zh-CN" w:bidi="ar-SA"/>
    </w:rPr>
  </w:style>
  <w:style w:type="paragraph" w:customStyle="1" w:styleId="30">
    <w:name w:val="Default"/>
    <w:pPr>
      <w:widowControl w:val="0"/>
      <w:autoSpaceDE w:val="0"/>
      <w:autoSpaceDN w:val="0"/>
      <w:adjustRightInd w:val="0"/>
    </w:pPr>
    <w:rPr>
      <w:rFonts w:ascii="Arial Unicode MS" w:eastAsia="Arial Unicode MS" w:cs="Arial Unicode MS" w:hAnsi="Arial Unicode MS"/>
      <w:color w:val="000000"/>
      <w:sz w:val="24"/>
      <w:szCs w:val="24"/>
      <w:lang w:val="en-US" w:eastAsia="zh-CN" w:bidi="ar-SA"/>
    </w:rPr>
  </w:style>
  <w:style w:type="paragraph" w:styleId="31">
    <w:name w:val="List Paragraph"/>
    <w:basedOn w:val="0"/>
    <w:pPr>
      <w:widowControl/>
      <w:spacing w:line="0" w:lineRule="atLeast"/>
      <w:ind w:firstLineChars="200" w:firstLine="200"/>
    </w:pPr>
    <w:rPr>
      <w:rFonts w:ascii="等线" w:eastAsia="等线"/>
    </w:rPr>
  </w:style>
  <w:style w:type="paragraph" w:customStyle="1" w:styleId="32">
    <w:name w:val="修订1"/>
    <w:rPr>
      <w:rFonts w:ascii="Calibri" w:eastAsia="宋体" w:cs="Times New Roman" w:hAnsi="Calibri"/>
      <w:kern w:val="2"/>
      <w:sz w:val="21"/>
      <w:szCs w:val="22"/>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notes" Target="footnotes.xml"/><Relationship Id="rId4" Type="http://schemas.openxmlformats.org/officeDocument/2006/relationships/styles" Target="styles.xml"/><Relationship Id="rId5" Type="http://schemas.openxmlformats.org/officeDocument/2006/relationships/numbering" Target="numbering.xml"/><Relationship Id="rId6" Type="http://schemas.openxmlformats.org/officeDocument/2006/relationships/fontTable" Target="fontTable.xml"/></Relationships>
</file>

<file path=docProps/app.xml><?xml version="1.0" encoding="utf-8"?>
<Properties xmlns="http://schemas.openxmlformats.org/officeDocument/2006/extended-properties">
  <Template>Normal.eit</Template>
  <TotalTime>259</TotalTime>
  <Application>Yozo_Office27021597764231179</Application>
  <Pages>7</Pages>
  <Words>3933</Words>
  <Characters>4093</Characters>
  <Lines>191</Lines>
  <Paragraphs>64</Paragraphs>
  <CharactersWithSpaces>4100</CharactersWithSpaces>
  <Company>Mepfeco</Company>
</Properties>
</file>

<file path=docProps/core.xml><?xml version="1.0" encoding="utf-8"?>
<cp:coreProperties xmlns:cp="http://schemas.openxmlformats.org/package/2006/metadata/core-properties" xmlns:dc="http://purl.org/dc/elements/1.1/" xmlns:dcterms="http://purl.org/dc/terms/" xmlns:xsi="http://www.w3.org/2001/XMLSchema-instance">
  <dc:creator>yueyu</dc:creator>
  <cp:lastModifiedBy>linhao</cp:lastModifiedBy>
  <cp:revision>2</cp:revision>
  <cp:lastPrinted>2026-06-11T02:18:13Z</cp:lastPrinted>
  <dcterms:created xsi:type="dcterms:W3CDTF">2026-05-28T03:23:00Z</dcterms:created>
  <dcterms:modified xsi:type="dcterms:W3CDTF">2026-08-11T01:17:36Z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2052-12.1.0.26895</vt:lpwstr>
  </property>
  <property fmtid="{D5CDD505-2E9C-101B-9397-08002B2CF9AE}" pid="3" name="KSOTemplateDocerSaveRecord">
    <vt:lpwstr>eyJoZGlkIjoiZTg1YWE2ZTY1ZjJiMjg0YTg3MmJmYjQxZDRiNTA2YTciLCJ1c2VySWQiOiI0MDEyMTQxMjAifQ==</vt:lpwstr>
  </property>
  <property fmtid="{D5CDD505-2E9C-101B-9397-08002B2CF9AE}" pid="4" name="ICV">
    <vt:lpwstr>9E013C9FBA27456B9C5699649C049902_13</vt:lpwstr>
  </property>
</Properties>
</file>