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36266">
      <w:pPr>
        <w:pStyle w:val="8"/>
        <w:spacing w:before="93"/>
        <w:rPr>
          <w:rFonts w:ascii="Times New Roman" w:eastAsia="方正小标宋简体"/>
          <w:kern w:val="2"/>
          <w:sz w:val="72"/>
          <w:szCs w:val="72"/>
        </w:rPr>
      </w:pPr>
      <w:bookmarkStart w:id="0" w:name="_Toc15377425"/>
      <w:bookmarkStart w:id="1" w:name="_Toc15396475"/>
      <w:bookmarkStart w:id="2" w:name="_Toc15377193"/>
      <w:bookmarkStart w:id="3" w:name="_Toc15378441"/>
      <w:bookmarkStart w:id="4" w:name="_Toc15396597"/>
      <w:bookmarkStart w:id="5" w:name="_Toc15306267"/>
    </w:p>
    <w:p w14:paraId="7FE8FEF2">
      <w:pPr>
        <w:pStyle w:val="8"/>
        <w:spacing w:before="93"/>
        <w:rPr>
          <w:rFonts w:ascii="Times New Roman" w:eastAsia="方正小标宋简体"/>
          <w:kern w:val="2"/>
          <w:sz w:val="72"/>
          <w:szCs w:val="72"/>
        </w:rPr>
      </w:pPr>
    </w:p>
    <w:p w14:paraId="75586F2B">
      <w:pPr>
        <w:pStyle w:val="8"/>
        <w:spacing w:before="93"/>
        <w:rPr>
          <w:rFonts w:hint="eastAsia" w:ascii="Times New Roman" w:eastAsia="方正小标宋简体"/>
          <w:kern w:val="2"/>
          <w:sz w:val="72"/>
          <w:szCs w:val="72"/>
        </w:rPr>
      </w:pPr>
    </w:p>
    <w:p w14:paraId="28CD0DCC">
      <w:pPr>
        <w:pStyle w:val="8"/>
        <w:spacing w:before="93"/>
        <w:jc w:val="center"/>
        <w:rPr>
          <w:rFonts w:hint="eastAsia" w:ascii="Times New Roman" w:eastAsia="方正小标宋简体"/>
          <w:kern w:val="2"/>
          <w:sz w:val="44"/>
          <w:szCs w:val="44"/>
        </w:rPr>
      </w:pPr>
    </w:p>
    <w:p w14:paraId="035E3623">
      <w:pPr>
        <w:pStyle w:val="8"/>
        <w:spacing w:before="93"/>
        <w:jc w:val="center"/>
        <w:rPr>
          <w:rFonts w:hint="eastAsia" w:ascii="Times New Roman" w:eastAsia="方正小标宋简体"/>
          <w:kern w:val="2"/>
          <w:sz w:val="44"/>
          <w:szCs w:val="44"/>
        </w:rPr>
      </w:pPr>
    </w:p>
    <w:p w14:paraId="039C6C10">
      <w:pPr>
        <w:pStyle w:val="8"/>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2025年度</w:t>
      </w:r>
      <w:r>
        <w:rPr>
          <w:rFonts w:hint="eastAsia" w:ascii="Times New Roman" w:eastAsia="方正小标宋简体"/>
          <w:kern w:val="2"/>
          <w:sz w:val="44"/>
          <w:szCs w:val="44"/>
          <w:lang w:eastAsia="zh-CN"/>
        </w:rPr>
        <w:t>攀枝花市仁和生态环境监测站</w:t>
      </w:r>
    </w:p>
    <w:p w14:paraId="0777E7E1">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14:paraId="0EEA913C">
      <w:pPr>
        <w:spacing w:line="600" w:lineRule="exact"/>
        <w:jc w:val="center"/>
        <w:outlineLvl w:val="0"/>
        <w:rPr>
          <w:rFonts w:eastAsia="方正小标宋简体"/>
          <w:sz w:val="72"/>
          <w:szCs w:val="72"/>
        </w:rPr>
      </w:pPr>
    </w:p>
    <w:p w14:paraId="570E9EF6">
      <w:pPr>
        <w:pStyle w:val="19"/>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2D5DF99E"/>
    <w:p w14:paraId="3FF6F744">
      <w:pPr>
        <w:pStyle w:val="8"/>
        <w:spacing w:before="93"/>
        <w:jc w:val="center"/>
        <w:rPr>
          <w:rFonts w:ascii="Times New Roman" w:eastAsia="方正小标宋简体"/>
          <w:kern w:val="2"/>
          <w:sz w:val="44"/>
          <w:szCs w:val="44"/>
        </w:rPr>
      </w:pPr>
    </w:p>
    <w:p w14:paraId="15E45AAC">
      <w:pPr>
        <w:pStyle w:val="8"/>
        <w:spacing w:before="93"/>
        <w:jc w:val="center"/>
        <w:rPr>
          <w:rFonts w:ascii="Times New Roman" w:eastAsia="方正小标宋简体"/>
          <w:kern w:val="2"/>
          <w:sz w:val="44"/>
          <w:szCs w:val="44"/>
        </w:rPr>
      </w:pPr>
    </w:p>
    <w:p w14:paraId="1C665C59">
      <w:pPr>
        <w:pStyle w:val="8"/>
        <w:spacing w:before="93"/>
        <w:jc w:val="center"/>
        <w:rPr>
          <w:rFonts w:ascii="Times New Roman" w:eastAsia="方正小标宋简体"/>
          <w:kern w:val="2"/>
          <w:sz w:val="44"/>
          <w:szCs w:val="44"/>
        </w:rPr>
      </w:pPr>
    </w:p>
    <w:p w14:paraId="33403511">
      <w:pPr>
        <w:pStyle w:val="8"/>
        <w:spacing w:before="93"/>
        <w:jc w:val="center"/>
        <w:rPr>
          <w:rFonts w:ascii="Times New Roman" w:eastAsia="方正小标宋简体"/>
          <w:kern w:val="2"/>
          <w:sz w:val="44"/>
          <w:szCs w:val="44"/>
        </w:rPr>
      </w:pPr>
    </w:p>
    <w:bookmarkEnd w:id="0"/>
    <w:bookmarkEnd w:id="1"/>
    <w:bookmarkEnd w:id="2"/>
    <w:bookmarkEnd w:id="3"/>
    <w:bookmarkEnd w:id="4"/>
    <w:p w14:paraId="26C100C8">
      <w:pPr>
        <w:pStyle w:val="8"/>
        <w:spacing w:before="93"/>
        <w:jc w:val="center"/>
        <w:rPr>
          <w:rFonts w:hint="eastAsia" w:ascii="Times New Roman" w:eastAsia="方正小标宋简体"/>
          <w:kern w:val="2"/>
          <w:sz w:val="44"/>
          <w:szCs w:val="44"/>
        </w:rPr>
      </w:pPr>
      <w:bookmarkStart w:id="6" w:name="_Toc15377426"/>
      <w:bookmarkStart w:id="7" w:name="_Toc15378442"/>
      <w:bookmarkStart w:id="8" w:name="_Toc15396598"/>
      <w:bookmarkStart w:id="9" w:name="_Toc15377194"/>
      <w:bookmarkStart w:id="10" w:name="_Toc15396476"/>
    </w:p>
    <w:p w14:paraId="490A5746">
      <w:pPr>
        <w:pStyle w:val="8"/>
        <w:spacing w:before="93"/>
        <w:jc w:val="center"/>
        <w:rPr>
          <w:rFonts w:hint="eastAsia" w:ascii="Times New Roman" w:eastAsia="方正小标宋简体"/>
          <w:kern w:val="2"/>
          <w:sz w:val="44"/>
          <w:szCs w:val="44"/>
        </w:rPr>
      </w:pPr>
    </w:p>
    <w:p w14:paraId="472A40F6">
      <w:pPr>
        <w:pStyle w:val="8"/>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2025年度</w:t>
      </w:r>
      <w:bookmarkEnd w:id="5"/>
      <w:bookmarkStart w:id="11" w:name="_Toc15306268"/>
      <w:r>
        <w:rPr>
          <w:rFonts w:hint="eastAsia" w:ascii="Times New Roman" w:eastAsia="方正小标宋简体"/>
          <w:kern w:val="2"/>
          <w:sz w:val="44"/>
          <w:szCs w:val="44"/>
          <w:lang w:eastAsia="zh-CN"/>
        </w:rPr>
        <w:t>攀枝花市仁和生态环境监测站</w:t>
      </w:r>
    </w:p>
    <w:p w14:paraId="02B2F18A">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部门决算</w:t>
      </w:r>
      <w:bookmarkEnd w:id="6"/>
      <w:bookmarkEnd w:id="7"/>
      <w:bookmarkEnd w:id="8"/>
      <w:bookmarkEnd w:id="9"/>
      <w:bookmarkEnd w:id="10"/>
      <w:bookmarkEnd w:id="11"/>
    </w:p>
    <w:p w14:paraId="0AA45950">
      <w:pPr>
        <w:pStyle w:val="14"/>
        <w:adjustRightInd w:val="0"/>
        <w:snapToGrid w:val="0"/>
        <w:spacing w:line="560" w:lineRule="exact"/>
        <w:jc w:val="left"/>
        <w:rPr>
          <w:rFonts w:eastAsia="仿宋_GB2312" w:cs="仿宋_GB2312"/>
          <w:sz w:val="32"/>
          <w:szCs w:val="32"/>
        </w:rPr>
      </w:pPr>
    </w:p>
    <w:p w14:paraId="40F68484">
      <w:pPr>
        <w:widowControl/>
        <w:jc w:val="center"/>
        <w:rPr>
          <w:rFonts w:eastAsia="黑体"/>
          <w:sz w:val="48"/>
          <w:szCs w:val="48"/>
        </w:rPr>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pPr>
    </w:p>
    <w:p w14:paraId="041EA3F3">
      <w:pPr>
        <w:widowControl/>
        <w:jc w:val="center"/>
        <w:rPr>
          <w:rFonts w:eastAsia="黑体"/>
          <w:sz w:val="48"/>
          <w:szCs w:val="48"/>
        </w:rPr>
      </w:pPr>
      <w:r>
        <w:rPr>
          <w:rFonts w:hint="eastAsia" w:eastAsia="黑体"/>
          <w:sz w:val="48"/>
          <w:szCs w:val="48"/>
        </w:rPr>
        <w:t>目录</w:t>
      </w:r>
    </w:p>
    <w:p w14:paraId="64090E52">
      <w:pPr>
        <w:widowControl/>
        <w:jc w:val="center"/>
        <w:rPr>
          <w:rFonts w:eastAsia="黑体" w:cstheme="minorBidi"/>
          <w:sz w:val="28"/>
          <w:szCs w:val="28"/>
        </w:rPr>
      </w:pPr>
    </w:p>
    <w:p w14:paraId="74DD0FE9">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11</w:t>
      </w:r>
      <w:bookmarkStart w:id="69" w:name="_GoBack"/>
      <w:bookmarkEnd w:id="69"/>
      <w:r>
        <w:rPr>
          <w:rFonts w:hint="eastAsia" w:ascii="Times New Roman" w:hAnsi="Times New Roman" w:eastAsia="仿宋_GB2312" w:cs="仿宋_GB2312"/>
          <w:sz w:val="32"/>
          <w:szCs w:val="32"/>
        </w:rPr>
        <w:t>日</w:t>
      </w:r>
    </w:p>
    <w:p w14:paraId="6D86F425"/>
    <w:p w14:paraId="2E691964">
      <w:pPr>
        <w:pStyle w:val="13"/>
        <w:adjustRightInd w:val="0"/>
        <w:snapToGrid w:val="0"/>
        <w:spacing w:before="0" w:beforeLines="0" w:afterLines="0" w:line="560" w:lineRule="exact"/>
        <w:jc w:val="left"/>
        <w:rPr>
          <w:rFonts w:hint="default" w:ascii="Times New Roman" w:hAnsi="Times New Roman" w:eastAsia="黑体"/>
          <w:color w:val="auto"/>
          <w:sz w:val="32"/>
          <w:szCs w:val="32"/>
        </w:rPr>
      </w:pPr>
      <w:bookmarkStart w:id="12" w:name="_Toc15377196"/>
      <w:bookmarkStart w:id="13" w:name="_Toc15396599"/>
      <w:r>
        <w:rPr>
          <w:rFonts w:hint="eastAsia" w:ascii="Times New Roman" w:hAnsi="Times New Roman" w:eastAsia="黑体"/>
          <w:color w:val="auto"/>
          <w:sz w:val="32"/>
          <w:szCs w:val="32"/>
        </w:rPr>
        <w:t>第一部分 单位概况</w:t>
      </w:r>
      <w:r>
        <w:rPr>
          <w:rFonts w:hint="default" w:ascii="Times New Roman" w:hAnsi="Times New Roman" w:eastAsia="黑体"/>
          <w:color w:val="auto"/>
          <w:sz w:val="32"/>
          <w:szCs w:val="32"/>
        </w:rPr>
        <w:tab/>
      </w:r>
      <w:r>
        <w:rPr>
          <w:rFonts w:hint="default" w:ascii="Times New Roman" w:hAnsi="Times New Roman" w:eastAsia="黑体"/>
          <w:color w:val="auto"/>
          <w:sz w:val="32"/>
          <w:szCs w:val="32"/>
        </w:rPr>
        <w:t>1</w:t>
      </w:r>
    </w:p>
    <w:p w14:paraId="4939BF4C">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rPr>
      </w:pPr>
      <w:r>
        <w:rPr>
          <w:rFonts w:hint="eastAsia" w:eastAsia="仿宋_GB2312"/>
          <w:color w:val="auto"/>
          <w:sz w:val="32"/>
          <w:szCs w:val="32"/>
        </w:rPr>
        <w:t>一、单位职责</w:t>
      </w:r>
      <w:r>
        <w:rPr>
          <w:rFonts w:hint="default" w:eastAsia="仿宋_GB2312"/>
          <w:color w:val="auto"/>
          <w:sz w:val="32"/>
          <w:szCs w:val="32"/>
        </w:rPr>
        <w:tab/>
      </w:r>
      <w:r>
        <w:rPr>
          <w:rFonts w:hint="default" w:eastAsia="仿宋_GB2312"/>
          <w:color w:val="auto"/>
          <w:sz w:val="32"/>
          <w:szCs w:val="32"/>
        </w:rPr>
        <w:t>1</w:t>
      </w:r>
    </w:p>
    <w:p w14:paraId="17B0CFD9">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二、机构设置</w:t>
      </w:r>
      <w:r>
        <w:rPr>
          <w:rFonts w:hint="default" w:eastAsia="仿宋_GB2312"/>
          <w:color w:val="auto"/>
          <w:sz w:val="32"/>
          <w:szCs w:val="32"/>
        </w:rPr>
        <w:tab/>
      </w:r>
      <w:r>
        <w:rPr>
          <w:rFonts w:hint="eastAsia" w:eastAsia="仿宋_GB2312"/>
          <w:color w:val="auto"/>
          <w:sz w:val="32"/>
          <w:szCs w:val="32"/>
          <w:lang w:val="en-US" w:eastAsia="zh-CN"/>
        </w:rPr>
        <w:t>1</w:t>
      </w:r>
    </w:p>
    <w:p w14:paraId="0B8C7277">
      <w:pPr>
        <w:pStyle w:val="13"/>
        <w:adjustRightInd w:val="0"/>
        <w:snapToGrid w:val="0"/>
        <w:spacing w:before="0" w:beforeLines="0" w:afterLines="0" w:line="560" w:lineRule="exact"/>
        <w:jc w:val="left"/>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rPr>
        <w:t>第二部分</w:t>
      </w:r>
      <w:r>
        <w:rPr>
          <w:rFonts w:hint="default" w:ascii="Times New Roman" w:hAnsi="Times New Roman" w:eastAsia="黑体"/>
          <w:color w:val="auto"/>
          <w:sz w:val="32"/>
          <w:szCs w:val="32"/>
        </w:rPr>
        <w:t xml:space="preserve"> 202</w:t>
      </w:r>
      <w:r>
        <w:rPr>
          <w:rFonts w:hint="eastAsia" w:ascii="Times New Roman" w:hAnsi="Times New Roman" w:eastAsia="黑体"/>
          <w:color w:val="auto"/>
          <w:sz w:val="32"/>
          <w:szCs w:val="32"/>
          <w:lang w:val="en-US" w:eastAsia="zh-CN"/>
        </w:rPr>
        <w:t>5</w:t>
      </w:r>
      <w:r>
        <w:rPr>
          <w:rFonts w:hint="eastAsia" w:ascii="Times New Roman" w:hAnsi="Times New Roman" w:eastAsia="黑体"/>
          <w:color w:val="auto"/>
          <w:sz w:val="32"/>
          <w:szCs w:val="32"/>
        </w:rPr>
        <w:t>年度单位决算情况说明</w:t>
      </w:r>
      <w:r>
        <w:rPr>
          <w:rFonts w:hint="default" w:ascii="Times New Roman" w:hAnsi="Times New Roman" w:eastAsia="黑体"/>
          <w:color w:val="auto"/>
          <w:sz w:val="32"/>
          <w:szCs w:val="32"/>
        </w:rPr>
        <w:tab/>
      </w:r>
      <w:r>
        <w:rPr>
          <w:rFonts w:hint="eastAsia" w:ascii="Times New Roman" w:hAnsi="Times New Roman" w:eastAsia="黑体"/>
          <w:color w:val="auto"/>
          <w:sz w:val="32"/>
          <w:szCs w:val="32"/>
          <w:lang w:val="en-US" w:eastAsia="zh-CN"/>
        </w:rPr>
        <w:t>2</w:t>
      </w:r>
    </w:p>
    <w:p w14:paraId="0ED5C6CF">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一、收入支出决算总体情况说明</w:t>
      </w:r>
      <w:r>
        <w:rPr>
          <w:rFonts w:hint="default" w:eastAsia="仿宋_GB2312"/>
          <w:color w:val="auto"/>
          <w:sz w:val="32"/>
          <w:szCs w:val="32"/>
        </w:rPr>
        <w:tab/>
      </w:r>
      <w:r>
        <w:rPr>
          <w:rFonts w:hint="eastAsia" w:eastAsia="仿宋_GB2312"/>
          <w:color w:val="auto"/>
          <w:sz w:val="32"/>
          <w:szCs w:val="32"/>
          <w:lang w:val="en-US" w:eastAsia="zh-CN"/>
        </w:rPr>
        <w:t>2</w:t>
      </w:r>
    </w:p>
    <w:p w14:paraId="1205568B">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二、收入决算情况说明</w:t>
      </w:r>
      <w:r>
        <w:rPr>
          <w:rFonts w:hint="default" w:eastAsia="仿宋_GB2312"/>
          <w:color w:val="auto"/>
          <w:sz w:val="32"/>
          <w:szCs w:val="32"/>
        </w:rPr>
        <w:tab/>
      </w:r>
      <w:r>
        <w:rPr>
          <w:rFonts w:hint="eastAsia" w:eastAsia="仿宋_GB2312"/>
          <w:color w:val="auto"/>
          <w:sz w:val="32"/>
          <w:szCs w:val="32"/>
          <w:lang w:val="en-US" w:eastAsia="zh-CN"/>
        </w:rPr>
        <w:t>2</w:t>
      </w:r>
    </w:p>
    <w:p w14:paraId="152BC5CB">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三、支出决算情况说明</w:t>
      </w:r>
      <w:r>
        <w:rPr>
          <w:rFonts w:hint="default" w:eastAsia="仿宋_GB2312"/>
          <w:color w:val="auto"/>
          <w:sz w:val="32"/>
          <w:szCs w:val="32"/>
        </w:rPr>
        <w:tab/>
      </w:r>
      <w:r>
        <w:rPr>
          <w:rFonts w:hint="eastAsia" w:eastAsia="仿宋_GB2312"/>
          <w:color w:val="auto"/>
          <w:sz w:val="32"/>
          <w:szCs w:val="32"/>
          <w:lang w:val="en-US" w:eastAsia="zh-CN"/>
        </w:rPr>
        <w:t>3</w:t>
      </w:r>
    </w:p>
    <w:p w14:paraId="2E8A9BA3">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四、财政拨款收入支出决算总体情况说明</w:t>
      </w:r>
      <w:r>
        <w:rPr>
          <w:rFonts w:hint="default" w:eastAsia="仿宋_GB2312"/>
          <w:color w:val="auto"/>
          <w:sz w:val="32"/>
          <w:szCs w:val="32"/>
        </w:rPr>
        <w:tab/>
      </w:r>
      <w:r>
        <w:rPr>
          <w:rFonts w:hint="eastAsia" w:eastAsia="仿宋_GB2312"/>
          <w:color w:val="auto"/>
          <w:sz w:val="32"/>
          <w:szCs w:val="32"/>
          <w:lang w:val="en-US" w:eastAsia="zh-CN"/>
        </w:rPr>
        <w:t>3</w:t>
      </w:r>
    </w:p>
    <w:p w14:paraId="080E18AF">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五、一般公共预算财政拨款支出决算情况说明</w:t>
      </w:r>
      <w:r>
        <w:rPr>
          <w:rFonts w:hint="default" w:eastAsia="仿宋_GB2312"/>
          <w:color w:val="auto"/>
          <w:sz w:val="32"/>
          <w:szCs w:val="32"/>
        </w:rPr>
        <w:tab/>
      </w:r>
      <w:r>
        <w:rPr>
          <w:rFonts w:hint="eastAsia" w:eastAsia="仿宋_GB2312"/>
          <w:color w:val="auto"/>
          <w:sz w:val="32"/>
          <w:szCs w:val="32"/>
          <w:lang w:val="en-US" w:eastAsia="zh-CN"/>
        </w:rPr>
        <w:t>4</w:t>
      </w:r>
    </w:p>
    <w:p w14:paraId="1425A330">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六、一般公共预算财政拨款基本支出决算情况说明</w:t>
      </w:r>
      <w:r>
        <w:rPr>
          <w:rFonts w:hint="default" w:eastAsia="仿宋_GB2312"/>
          <w:color w:val="auto"/>
          <w:sz w:val="32"/>
          <w:szCs w:val="32"/>
        </w:rPr>
        <w:tab/>
      </w:r>
      <w:r>
        <w:rPr>
          <w:rFonts w:hint="eastAsia" w:eastAsia="仿宋_GB2312"/>
          <w:color w:val="auto"/>
          <w:sz w:val="32"/>
          <w:szCs w:val="32"/>
          <w:lang w:val="en-US" w:eastAsia="zh-CN"/>
        </w:rPr>
        <w:t>6</w:t>
      </w:r>
    </w:p>
    <w:p w14:paraId="0AF57D86">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七、财政拨款</w:t>
      </w:r>
      <w:r>
        <w:rPr>
          <w:rFonts w:hint="default" w:eastAsia="仿宋_GB2312"/>
          <w:color w:val="auto"/>
          <w:sz w:val="32"/>
          <w:szCs w:val="32"/>
        </w:rPr>
        <w:t>“</w:t>
      </w:r>
      <w:r>
        <w:rPr>
          <w:rFonts w:hint="eastAsia" w:eastAsia="仿宋_GB2312"/>
          <w:color w:val="auto"/>
          <w:sz w:val="32"/>
          <w:szCs w:val="32"/>
        </w:rPr>
        <w:t>三公”经费支出决算情况说明</w:t>
      </w:r>
      <w:r>
        <w:rPr>
          <w:rFonts w:hint="default" w:eastAsia="仿宋_GB2312"/>
          <w:color w:val="auto"/>
          <w:sz w:val="32"/>
          <w:szCs w:val="32"/>
        </w:rPr>
        <w:tab/>
      </w:r>
      <w:r>
        <w:rPr>
          <w:rFonts w:hint="eastAsia" w:eastAsia="仿宋_GB2312"/>
          <w:color w:val="auto"/>
          <w:sz w:val="32"/>
          <w:szCs w:val="32"/>
          <w:lang w:val="en-US" w:eastAsia="zh-CN"/>
        </w:rPr>
        <w:t>6</w:t>
      </w:r>
    </w:p>
    <w:p w14:paraId="7CBCC86B">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八、政府性基金预算支出决算情况说明</w:t>
      </w:r>
      <w:r>
        <w:rPr>
          <w:rFonts w:hint="default" w:eastAsia="仿宋_GB2312"/>
          <w:color w:val="auto"/>
          <w:sz w:val="32"/>
          <w:szCs w:val="32"/>
        </w:rPr>
        <w:tab/>
      </w:r>
      <w:r>
        <w:rPr>
          <w:rFonts w:hint="eastAsia" w:eastAsia="仿宋_GB2312"/>
          <w:color w:val="auto"/>
          <w:sz w:val="32"/>
          <w:szCs w:val="32"/>
          <w:lang w:val="en-US" w:eastAsia="zh-CN"/>
        </w:rPr>
        <w:t>8</w:t>
      </w:r>
    </w:p>
    <w:p w14:paraId="0DEF1682">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九、国有资本经营预算支出决算情况说明</w:t>
      </w:r>
      <w:r>
        <w:rPr>
          <w:rFonts w:hint="default" w:eastAsia="仿宋_GB2312"/>
          <w:color w:val="auto"/>
          <w:sz w:val="32"/>
          <w:szCs w:val="32"/>
        </w:rPr>
        <w:tab/>
      </w:r>
      <w:r>
        <w:rPr>
          <w:rFonts w:hint="eastAsia" w:eastAsia="仿宋_GB2312"/>
          <w:color w:val="auto"/>
          <w:sz w:val="32"/>
          <w:szCs w:val="32"/>
          <w:lang w:val="en-US" w:eastAsia="zh-CN"/>
        </w:rPr>
        <w:t>9</w:t>
      </w:r>
    </w:p>
    <w:p w14:paraId="3B0189EE">
      <w:pPr>
        <w:pStyle w:val="14"/>
        <w:adjustRightInd w:val="0"/>
        <w:snapToGrid w:val="0"/>
        <w:spacing w:beforeLines="0" w:afterLines="0" w:line="560" w:lineRule="exact"/>
        <w:ind w:left="0" w:leftChars="0" w:firstLine="640" w:firstLineChars="200"/>
        <w:jc w:val="left"/>
        <w:rPr>
          <w:rFonts w:hint="eastAsia" w:eastAsia="仿宋_GB2312"/>
          <w:color w:val="auto"/>
          <w:sz w:val="32"/>
          <w:szCs w:val="32"/>
          <w:lang w:eastAsia="zh-CN"/>
        </w:rPr>
      </w:pPr>
      <w:r>
        <w:rPr>
          <w:rFonts w:hint="eastAsia" w:eastAsia="仿宋_GB2312"/>
          <w:color w:val="auto"/>
          <w:sz w:val="32"/>
          <w:szCs w:val="32"/>
        </w:rPr>
        <w:t>十、其他重要事项的情况说明</w:t>
      </w:r>
      <w:r>
        <w:rPr>
          <w:rFonts w:hint="default" w:eastAsia="仿宋_GB2312"/>
          <w:color w:val="auto"/>
          <w:sz w:val="32"/>
          <w:szCs w:val="32"/>
        </w:rPr>
        <w:tab/>
      </w:r>
      <w:r>
        <w:rPr>
          <w:rFonts w:hint="eastAsia" w:eastAsia="仿宋_GB2312"/>
          <w:color w:val="auto"/>
          <w:sz w:val="32"/>
          <w:szCs w:val="32"/>
          <w:lang w:val="en-US" w:eastAsia="zh-CN"/>
        </w:rPr>
        <w:t>9</w:t>
      </w:r>
    </w:p>
    <w:p w14:paraId="7E1DE626">
      <w:pPr>
        <w:pStyle w:val="13"/>
        <w:adjustRightInd w:val="0"/>
        <w:snapToGrid w:val="0"/>
        <w:spacing w:before="0" w:beforeLines="0" w:afterLines="0" w:line="560" w:lineRule="exact"/>
        <w:jc w:val="left"/>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rPr>
        <w:t>第三部分 名词解释</w:t>
      </w:r>
      <w:r>
        <w:rPr>
          <w:rFonts w:hint="default" w:ascii="Times New Roman" w:hAnsi="Times New Roman" w:eastAsia="黑体"/>
          <w:color w:val="auto"/>
          <w:sz w:val="32"/>
          <w:szCs w:val="32"/>
        </w:rPr>
        <w:tab/>
      </w:r>
      <w:r>
        <w:rPr>
          <w:rFonts w:hint="default" w:ascii="Times New Roman" w:hAnsi="Times New Roman" w:eastAsia="黑体"/>
          <w:color w:val="auto"/>
          <w:sz w:val="32"/>
          <w:szCs w:val="32"/>
        </w:rPr>
        <w:t>1</w:t>
      </w:r>
      <w:r>
        <w:rPr>
          <w:rFonts w:hint="eastAsia" w:ascii="Times New Roman" w:hAnsi="Times New Roman" w:eastAsia="黑体"/>
          <w:color w:val="auto"/>
          <w:sz w:val="32"/>
          <w:szCs w:val="32"/>
          <w:lang w:val="en-US" w:eastAsia="zh-CN"/>
        </w:rPr>
        <w:t>1</w:t>
      </w:r>
    </w:p>
    <w:p w14:paraId="056685F9">
      <w:pPr>
        <w:pStyle w:val="13"/>
        <w:adjustRightInd w:val="0"/>
        <w:snapToGrid w:val="0"/>
        <w:spacing w:before="0" w:beforeLines="0" w:afterLines="0" w:line="560" w:lineRule="exact"/>
        <w:jc w:val="left"/>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rPr>
        <w:t>第四部分 附件</w:t>
      </w:r>
      <w:r>
        <w:rPr>
          <w:rFonts w:hint="default" w:ascii="Times New Roman" w:hAnsi="Times New Roman" w:eastAsia="黑体"/>
          <w:color w:val="auto"/>
          <w:sz w:val="32"/>
          <w:szCs w:val="32"/>
        </w:rPr>
        <w:tab/>
      </w:r>
      <w:r>
        <w:rPr>
          <w:rFonts w:hint="default" w:ascii="Times New Roman" w:hAnsi="Times New Roman" w:eastAsia="黑体"/>
          <w:color w:val="auto"/>
          <w:sz w:val="32"/>
          <w:szCs w:val="32"/>
        </w:rPr>
        <w:t>1</w:t>
      </w:r>
      <w:r>
        <w:rPr>
          <w:rFonts w:hint="eastAsia" w:ascii="Times New Roman" w:hAnsi="Times New Roman" w:eastAsia="黑体"/>
          <w:color w:val="auto"/>
          <w:sz w:val="32"/>
          <w:szCs w:val="32"/>
          <w:lang w:val="en-US" w:eastAsia="zh-CN"/>
        </w:rPr>
        <w:t>3</w:t>
      </w:r>
    </w:p>
    <w:p w14:paraId="491A4A2F">
      <w:pPr>
        <w:pStyle w:val="13"/>
        <w:adjustRightInd w:val="0"/>
        <w:snapToGrid w:val="0"/>
        <w:spacing w:before="0" w:beforeLines="0" w:afterLines="0" w:line="560" w:lineRule="exact"/>
        <w:jc w:val="left"/>
        <w:rPr>
          <w:rFonts w:hint="default" w:ascii="Times New Roman" w:hAnsi="Times New Roman" w:eastAsia="黑体"/>
          <w:color w:val="auto"/>
          <w:sz w:val="32"/>
          <w:szCs w:val="32"/>
          <w:lang w:val="en-US" w:eastAsia="zh-CN"/>
        </w:rPr>
      </w:pPr>
      <w:r>
        <w:rPr>
          <w:rFonts w:hint="eastAsia" w:ascii="Times New Roman" w:hAnsi="Times New Roman" w:eastAsia="黑体"/>
          <w:color w:val="auto"/>
          <w:sz w:val="32"/>
          <w:szCs w:val="32"/>
        </w:rPr>
        <w:t>第五部分 附表</w:t>
      </w:r>
      <w:r>
        <w:rPr>
          <w:rFonts w:hint="default" w:ascii="Times New Roman" w:hAnsi="Times New Roman" w:eastAsia="黑体"/>
          <w:color w:val="auto"/>
          <w:sz w:val="32"/>
          <w:szCs w:val="32"/>
        </w:rPr>
        <w:tab/>
      </w:r>
      <w:r>
        <w:rPr>
          <w:rFonts w:hint="eastAsia" w:ascii="Times New Roman" w:hAnsi="Times New Roman" w:eastAsia="黑体"/>
          <w:color w:val="auto"/>
          <w:sz w:val="32"/>
          <w:szCs w:val="32"/>
          <w:lang w:val="en-US" w:eastAsia="zh-CN"/>
        </w:rPr>
        <w:t>14</w:t>
      </w:r>
    </w:p>
    <w:p w14:paraId="249C6390">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一、收入支出决算总表</w:t>
      </w:r>
      <w:r>
        <w:rPr>
          <w:rFonts w:hint="default" w:eastAsia="仿宋_GB2312"/>
          <w:color w:val="auto"/>
          <w:sz w:val="32"/>
          <w:szCs w:val="32"/>
        </w:rPr>
        <w:tab/>
      </w:r>
      <w:r>
        <w:rPr>
          <w:rFonts w:hint="eastAsia" w:eastAsia="仿宋_GB2312"/>
          <w:color w:val="auto"/>
          <w:sz w:val="32"/>
          <w:szCs w:val="32"/>
          <w:lang w:val="en-US" w:eastAsia="zh-CN"/>
        </w:rPr>
        <w:t>14</w:t>
      </w:r>
    </w:p>
    <w:p w14:paraId="24B37CFC">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二、收入决算表</w:t>
      </w:r>
      <w:r>
        <w:rPr>
          <w:rFonts w:hint="default" w:eastAsia="仿宋_GB2312"/>
          <w:color w:val="auto"/>
          <w:sz w:val="32"/>
          <w:szCs w:val="32"/>
        </w:rPr>
        <w:tab/>
      </w:r>
      <w:r>
        <w:rPr>
          <w:rFonts w:hint="eastAsia" w:eastAsia="仿宋_GB2312"/>
          <w:color w:val="auto"/>
          <w:sz w:val="32"/>
          <w:szCs w:val="32"/>
          <w:lang w:val="en-US" w:eastAsia="zh-CN"/>
        </w:rPr>
        <w:t>14</w:t>
      </w:r>
    </w:p>
    <w:p w14:paraId="269E4CD3">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三、支出决算表</w:t>
      </w:r>
      <w:r>
        <w:rPr>
          <w:rFonts w:hint="default" w:eastAsia="仿宋_GB2312"/>
          <w:color w:val="auto"/>
          <w:sz w:val="32"/>
          <w:szCs w:val="32"/>
        </w:rPr>
        <w:tab/>
      </w:r>
      <w:r>
        <w:rPr>
          <w:rFonts w:hint="eastAsia" w:eastAsia="仿宋_GB2312"/>
          <w:color w:val="auto"/>
          <w:sz w:val="32"/>
          <w:szCs w:val="32"/>
          <w:lang w:val="en-US" w:eastAsia="zh-CN"/>
        </w:rPr>
        <w:t>14</w:t>
      </w:r>
    </w:p>
    <w:p w14:paraId="5BA8D162">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四、财政拨款收入支出决算总表</w:t>
      </w:r>
      <w:r>
        <w:rPr>
          <w:rFonts w:hint="default" w:eastAsia="仿宋_GB2312"/>
          <w:color w:val="auto"/>
          <w:sz w:val="32"/>
          <w:szCs w:val="32"/>
        </w:rPr>
        <w:tab/>
      </w:r>
      <w:r>
        <w:rPr>
          <w:rFonts w:hint="eastAsia" w:eastAsia="仿宋_GB2312"/>
          <w:color w:val="auto"/>
          <w:sz w:val="32"/>
          <w:szCs w:val="32"/>
          <w:lang w:val="en-US" w:eastAsia="zh-CN"/>
        </w:rPr>
        <w:t>14</w:t>
      </w:r>
    </w:p>
    <w:p w14:paraId="3F3EDF8D">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五、财政拨款支出决算明细表</w:t>
      </w:r>
      <w:r>
        <w:rPr>
          <w:rFonts w:hint="default" w:eastAsia="仿宋_GB2312"/>
          <w:color w:val="auto"/>
          <w:sz w:val="32"/>
          <w:szCs w:val="32"/>
        </w:rPr>
        <w:tab/>
      </w:r>
      <w:r>
        <w:rPr>
          <w:rFonts w:hint="eastAsia" w:eastAsia="仿宋_GB2312"/>
          <w:color w:val="auto"/>
          <w:sz w:val="32"/>
          <w:szCs w:val="32"/>
          <w:lang w:val="en-US" w:eastAsia="zh-CN"/>
        </w:rPr>
        <w:t>14</w:t>
      </w:r>
    </w:p>
    <w:p w14:paraId="4559027B">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六、一般公共预算财政拨款支出决算表</w:t>
      </w:r>
      <w:r>
        <w:rPr>
          <w:rFonts w:hint="default" w:eastAsia="仿宋_GB2312"/>
          <w:color w:val="auto"/>
          <w:sz w:val="32"/>
          <w:szCs w:val="32"/>
        </w:rPr>
        <w:tab/>
      </w:r>
      <w:r>
        <w:rPr>
          <w:rFonts w:hint="eastAsia" w:eastAsia="仿宋_GB2312"/>
          <w:color w:val="auto"/>
          <w:sz w:val="32"/>
          <w:szCs w:val="32"/>
          <w:lang w:val="en-US" w:eastAsia="zh-CN"/>
        </w:rPr>
        <w:t>14</w:t>
      </w:r>
    </w:p>
    <w:p w14:paraId="2C310D5C">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七、一般公共预算财政拨款支出决算明细表</w:t>
      </w:r>
      <w:r>
        <w:rPr>
          <w:rFonts w:hint="default" w:eastAsia="仿宋_GB2312"/>
          <w:color w:val="auto"/>
          <w:sz w:val="32"/>
          <w:szCs w:val="32"/>
        </w:rPr>
        <w:tab/>
      </w:r>
      <w:r>
        <w:rPr>
          <w:rFonts w:hint="eastAsia" w:eastAsia="仿宋_GB2312"/>
          <w:color w:val="auto"/>
          <w:sz w:val="32"/>
          <w:szCs w:val="32"/>
          <w:lang w:val="en-US" w:eastAsia="zh-CN"/>
        </w:rPr>
        <w:t>14</w:t>
      </w:r>
    </w:p>
    <w:p w14:paraId="3F2D1DCE">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八、一般公共预算财政拨款基本支出决算明细表</w:t>
      </w:r>
      <w:r>
        <w:rPr>
          <w:rFonts w:hint="default" w:eastAsia="仿宋_GB2312"/>
          <w:color w:val="auto"/>
          <w:sz w:val="32"/>
          <w:szCs w:val="32"/>
        </w:rPr>
        <w:tab/>
      </w:r>
      <w:r>
        <w:rPr>
          <w:rFonts w:hint="eastAsia" w:eastAsia="仿宋_GB2312"/>
          <w:color w:val="auto"/>
          <w:sz w:val="32"/>
          <w:szCs w:val="32"/>
          <w:lang w:val="en-US" w:eastAsia="zh-CN"/>
        </w:rPr>
        <w:t>14</w:t>
      </w:r>
    </w:p>
    <w:p w14:paraId="2FD82370">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九、一般公共预算财政拨款项目支出决算表</w:t>
      </w:r>
      <w:r>
        <w:rPr>
          <w:rFonts w:hint="default" w:eastAsia="仿宋_GB2312"/>
          <w:color w:val="auto"/>
          <w:sz w:val="32"/>
          <w:szCs w:val="32"/>
        </w:rPr>
        <w:tab/>
      </w:r>
      <w:r>
        <w:rPr>
          <w:rFonts w:hint="eastAsia" w:eastAsia="仿宋_GB2312"/>
          <w:color w:val="auto"/>
          <w:sz w:val="32"/>
          <w:szCs w:val="32"/>
          <w:lang w:val="en-US" w:eastAsia="zh-CN"/>
        </w:rPr>
        <w:t>14</w:t>
      </w:r>
    </w:p>
    <w:p w14:paraId="6BA8064F">
      <w:pPr>
        <w:pStyle w:val="14"/>
        <w:adjustRightInd w:val="0"/>
        <w:snapToGrid w:val="0"/>
        <w:spacing w:beforeLines="0" w:afterLines="0" w:line="560" w:lineRule="exact"/>
        <w:ind w:left="0" w:leftChars="0" w:firstLine="640" w:firstLineChars="200"/>
        <w:jc w:val="left"/>
        <w:rPr>
          <w:rFonts w:hint="default" w:eastAsia="仿宋_GB2312"/>
          <w:color w:val="auto"/>
          <w:sz w:val="32"/>
          <w:szCs w:val="32"/>
          <w:lang w:val="en-US" w:eastAsia="zh-CN"/>
        </w:rPr>
      </w:pPr>
      <w:r>
        <w:rPr>
          <w:rFonts w:hint="eastAsia" w:eastAsia="仿宋_GB2312"/>
          <w:color w:val="auto"/>
          <w:sz w:val="32"/>
          <w:szCs w:val="32"/>
        </w:rPr>
        <w:t>十、政府性基金预算财政拨款收入支出决算表</w:t>
      </w:r>
      <w:r>
        <w:rPr>
          <w:rFonts w:hint="default" w:eastAsia="仿宋_GB2312"/>
          <w:color w:val="auto"/>
          <w:sz w:val="32"/>
          <w:szCs w:val="32"/>
        </w:rPr>
        <w:tab/>
      </w:r>
      <w:r>
        <w:rPr>
          <w:rFonts w:hint="eastAsia" w:eastAsia="仿宋_GB2312"/>
          <w:color w:val="auto"/>
          <w:sz w:val="32"/>
          <w:szCs w:val="32"/>
          <w:lang w:val="en-US" w:eastAsia="zh-CN"/>
        </w:rPr>
        <w:t>14</w:t>
      </w:r>
    </w:p>
    <w:p w14:paraId="7CA3A4EC">
      <w:pPr>
        <w:pStyle w:val="14"/>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olor w:val="auto"/>
          <w:sz w:val="32"/>
          <w:szCs w:val="32"/>
          <w:lang w:val="en-US" w:eastAsia="zh-CN"/>
        </w:rPr>
      </w:pPr>
      <w:r>
        <w:rPr>
          <w:rFonts w:hint="eastAsia" w:eastAsia="仿宋_GB2312"/>
          <w:color w:val="auto"/>
          <w:sz w:val="32"/>
          <w:szCs w:val="32"/>
        </w:rPr>
        <w:t>十一、国有资本经营预算财政拨款收入支出决算表</w:t>
      </w:r>
      <w:r>
        <w:rPr>
          <w:rFonts w:hint="default" w:eastAsia="仿宋_GB2312"/>
          <w:color w:val="auto"/>
          <w:sz w:val="32"/>
          <w:szCs w:val="32"/>
        </w:rPr>
        <w:tab/>
      </w:r>
      <w:r>
        <w:rPr>
          <w:rFonts w:hint="eastAsia" w:eastAsia="仿宋_GB2312"/>
          <w:color w:val="auto"/>
          <w:sz w:val="32"/>
          <w:szCs w:val="32"/>
          <w:lang w:val="en-US" w:eastAsia="zh-CN"/>
        </w:rPr>
        <w:t>14</w:t>
      </w:r>
    </w:p>
    <w:p w14:paraId="7EDE3019">
      <w:pPr>
        <w:pStyle w:val="14"/>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olor w:val="auto"/>
          <w:sz w:val="32"/>
          <w:szCs w:val="32"/>
          <w:lang w:val="en-US" w:eastAsia="zh-CN"/>
        </w:rPr>
      </w:pPr>
      <w:r>
        <w:rPr>
          <w:rFonts w:hint="eastAsia" w:eastAsia="仿宋_GB2312"/>
          <w:color w:val="auto"/>
          <w:sz w:val="32"/>
          <w:szCs w:val="32"/>
        </w:rPr>
        <w:t>十二、国有资本经营预算财政拨款支出决算表</w:t>
      </w:r>
      <w:r>
        <w:rPr>
          <w:rFonts w:hint="default" w:eastAsia="仿宋_GB2312"/>
          <w:color w:val="auto"/>
          <w:sz w:val="32"/>
          <w:szCs w:val="32"/>
        </w:rPr>
        <w:tab/>
      </w:r>
      <w:r>
        <w:rPr>
          <w:rFonts w:hint="eastAsia" w:eastAsia="仿宋_GB2312"/>
          <w:color w:val="auto"/>
          <w:sz w:val="32"/>
          <w:szCs w:val="32"/>
          <w:lang w:val="en-US" w:eastAsia="zh-CN"/>
        </w:rPr>
        <w:t>14</w:t>
      </w:r>
    </w:p>
    <w:p w14:paraId="745ED5E7">
      <w:pPr>
        <w:pStyle w:val="5"/>
        <w:pageBreakBefore w:val="0"/>
        <w:widowControl w:val="0"/>
        <w:kinsoku/>
        <w:wordWrap/>
        <w:overflowPunct/>
        <w:topLinePunct w:val="0"/>
        <w:autoSpaceDE/>
        <w:autoSpaceDN/>
        <w:bidi w:val="0"/>
        <w:spacing w:before="0" w:after="0" w:line="560" w:lineRule="exact"/>
        <w:jc w:val="center"/>
        <w:textAlignment w:val="auto"/>
        <w:rPr>
          <w:rFonts w:hint="default" w:ascii="Times New Roman" w:hAnsi="Times New Roman" w:eastAsia="仿宋_GB2312" w:cs="Times New Roman"/>
          <w:b w:val="0"/>
          <w:bCs w:val="0"/>
          <w:color w:val="auto"/>
          <w:kern w:val="2"/>
          <w:sz w:val="32"/>
          <w:szCs w:val="32"/>
          <w:lang w:val="en-US" w:eastAsia="zh-CN" w:bidi="ar-SA"/>
        </w:rPr>
        <w:sectPr>
          <w:footerReference r:id="rId9" w:type="first"/>
          <w:footerReference r:id="rId8" w:type="default"/>
          <w:pgSz w:w="11906" w:h="16838"/>
          <w:pgMar w:top="1440" w:right="1800" w:bottom="1440" w:left="1800" w:header="851" w:footer="992" w:gutter="0"/>
          <w:pgNumType w:fmt="numberInDash" w:start="1"/>
          <w:cols w:space="425" w:num="1"/>
          <w:docGrid w:type="lines" w:linePitch="312" w:charSpace="0"/>
        </w:sectPr>
      </w:pPr>
      <w:r>
        <w:rPr>
          <w:rFonts w:hint="eastAsia" w:ascii="Times New Roman" w:hAnsi="Times New Roman" w:eastAsia="仿宋_GB2312" w:cs="Times New Roman"/>
          <w:b w:val="0"/>
          <w:bCs w:val="0"/>
          <w:color w:val="auto"/>
          <w:kern w:val="2"/>
          <w:sz w:val="32"/>
          <w:szCs w:val="32"/>
          <w:lang w:val="en-US" w:eastAsia="zh-CN" w:bidi="ar-SA"/>
        </w:rPr>
        <w:t xml:space="preserve">    十三、财政拨款“三公”经费支出决算表……………</w:t>
      </w:r>
      <w:r>
        <w:rPr>
          <w:rFonts w:hint="eastAsia" w:eastAsia="仿宋_GB2312" w:cs="Times New Roman"/>
          <w:b w:val="0"/>
          <w:bCs w:val="0"/>
          <w:color w:val="auto"/>
          <w:kern w:val="2"/>
          <w:sz w:val="32"/>
          <w:szCs w:val="32"/>
          <w:lang w:val="en-US" w:eastAsia="zh-CN" w:bidi="ar-SA"/>
        </w:rPr>
        <w:t>14</w:t>
      </w:r>
    </w:p>
    <w:p w14:paraId="6E2F7F4A">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lang w:eastAsia="zh-CN"/>
        </w:rPr>
        <w:t>单位</w:t>
      </w:r>
      <w:r>
        <w:rPr>
          <w:rStyle w:val="28"/>
          <w:rFonts w:hint="eastAsia" w:eastAsia="方正小标宋简体" w:cs="方正小标宋简体"/>
          <w:b w:val="0"/>
          <w:bCs w:val="0"/>
        </w:rPr>
        <w:t>概况</w:t>
      </w:r>
      <w:bookmarkEnd w:id="12"/>
      <w:bookmarkEnd w:id="13"/>
    </w:p>
    <w:p w14:paraId="1A072AD6">
      <w:pPr>
        <w:pStyle w:val="6"/>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hint="eastAsia" w:ascii="Times New Roman" w:hAnsi="Times New Roman" w:eastAsia="黑体"/>
          <w:b w:val="0"/>
        </w:rPr>
      </w:pPr>
      <w:bookmarkStart w:id="14" w:name="_Toc15396600"/>
      <w:bookmarkStart w:id="15" w:name="_Toc15377197"/>
      <w:r>
        <w:rPr>
          <w:rFonts w:hint="eastAsia" w:ascii="Times New Roman" w:hAnsi="Times New Roman" w:eastAsia="黑体"/>
          <w:b w:val="0"/>
        </w:rPr>
        <w:t>一、</w:t>
      </w:r>
      <w:bookmarkEnd w:id="14"/>
      <w:bookmarkEnd w:id="15"/>
      <w:r>
        <w:rPr>
          <w:rFonts w:hint="eastAsia" w:ascii="Times New Roman" w:hAnsi="Times New Roman" w:eastAsia="黑体"/>
          <w:b w:val="0"/>
          <w:lang w:eastAsia="zh-CN"/>
        </w:rPr>
        <w:t>单位</w:t>
      </w:r>
      <w:r>
        <w:rPr>
          <w:rFonts w:hint="eastAsia" w:ascii="Times New Roman" w:hAnsi="Times New Roman" w:eastAsia="黑体"/>
          <w:b w:val="0"/>
        </w:rPr>
        <w:t>职责</w:t>
      </w:r>
    </w:p>
    <w:p w14:paraId="2EDE4A11">
      <w:pPr>
        <w:pStyle w:val="8"/>
        <w:pageBreakBefore w:val="0"/>
        <w:widowControl w:val="0"/>
        <w:kinsoku/>
        <w:wordWrap/>
        <w:overflowPunct/>
        <w:topLinePunct w:val="0"/>
        <w:autoSpaceDE/>
        <w:autoSpaceDN/>
        <w:bidi w:val="0"/>
        <w:adjustRightInd w:val="0"/>
        <w:snapToGrid w:val="0"/>
        <w:spacing w:beforeLines="0" w:line="600" w:lineRule="exact"/>
        <w:ind w:firstLine="640" w:firstLineChars="200"/>
        <w:textAlignment w:val="auto"/>
        <w:rPr>
          <w:rFonts w:hint="default" w:ascii="Times New Roman" w:hAnsi="Times New Roman" w:eastAsia="仿宋" w:cs="Times New Roman"/>
          <w:sz w:val="32"/>
          <w:lang w:val="en-US" w:eastAsia="zh-CN"/>
        </w:rPr>
      </w:pPr>
      <w:r>
        <w:rPr>
          <w:rFonts w:hint="default" w:ascii="Times New Roman" w:hAnsi="Times New Roman" w:eastAsia="仿宋" w:cs="Times New Roman"/>
          <w:sz w:val="32"/>
        </w:rPr>
        <w:t>负责辖区范围内的执法监测、监督性监测和突发生态环境事件应急监测等工作。</w:t>
      </w:r>
    </w:p>
    <w:p w14:paraId="2DA5A914">
      <w:pPr>
        <w:pStyle w:val="6"/>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Style w:val="29"/>
          <w:rFonts w:hint="default" w:ascii="Times New Roman" w:hAnsi="Times New Roman" w:cs="Times New Roman"/>
          <w:b w:val="0"/>
          <w:bCs w:val="0"/>
          <w:color w:val="auto"/>
          <w:highlight w:val="none"/>
        </w:rPr>
      </w:pPr>
      <w:bookmarkStart w:id="16" w:name="_Toc15377200"/>
      <w:bookmarkStart w:id="17" w:name="_Toc15396601"/>
      <w:r>
        <w:rPr>
          <w:rFonts w:hint="default" w:ascii="Times New Roman" w:hAnsi="Times New Roman" w:eastAsia="黑体" w:cs="Times New Roman"/>
          <w:b w:val="0"/>
          <w:color w:val="auto"/>
          <w:highlight w:val="none"/>
        </w:rPr>
        <w:t>二、机</w:t>
      </w:r>
      <w:r>
        <w:rPr>
          <w:rStyle w:val="29"/>
          <w:rFonts w:hint="default" w:ascii="Times New Roman" w:hAnsi="Times New Roman" w:eastAsia="黑体" w:cs="Times New Roman"/>
          <w:b w:val="0"/>
          <w:bCs w:val="0"/>
          <w:color w:val="auto"/>
          <w:highlight w:val="none"/>
        </w:rPr>
        <w:t>构设置</w:t>
      </w:r>
      <w:bookmarkEnd w:id="16"/>
      <w:bookmarkEnd w:id="17"/>
    </w:p>
    <w:p w14:paraId="20279546">
      <w:pPr>
        <w:pStyle w:val="8"/>
        <w:keepNext w:val="0"/>
        <w:keepLines w:val="0"/>
        <w:pageBreakBefore w:val="0"/>
        <w:widowControl w:val="0"/>
        <w:kinsoku/>
        <w:wordWrap/>
        <w:overflowPunct/>
        <w:topLinePunct w:val="0"/>
        <w:autoSpaceDE/>
        <w:autoSpaceDN/>
        <w:bidi w:val="0"/>
        <w:adjustRightInd w:val="0"/>
        <w:snapToGrid w:val="0"/>
        <w:spacing w:beforeLines="0" w:line="600" w:lineRule="exact"/>
        <w:ind w:firstLine="672" w:firstLineChars="21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攀枝花市仁和生态环境监测站下属二级</w:t>
      </w:r>
      <w:r>
        <w:rPr>
          <w:rFonts w:hint="default" w:ascii="Times New Roman" w:hAnsi="Times New Roman" w:eastAsia="仿宋_GB2312" w:cs="Times New Roman"/>
          <w:color w:val="auto"/>
          <w:sz w:val="32"/>
          <w:szCs w:val="32"/>
          <w:highlight w:val="none"/>
          <w:lang w:eastAsia="zh-CN"/>
        </w:rPr>
        <w:t>预算</w:t>
      </w:r>
      <w:r>
        <w:rPr>
          <w:rFonts w:hint="default" w:ascii="Times New Roman" w:hAnsi="Times New Roman" w:eastAsia="仿宋_GB2312" w:cs="Times New Roman"/>
          <w:color w:val="auto"/>
          <w:sz w:val="32"/>
          <w:szCs w:val="32"/>
          <w:highlight w:val="none"/>
        </w:rPr>
        <w:t>单位</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个</w:t>
      </w:r>
      <w:r>
        <w:rPr>
          <w:rFonts w:hint="eastAsia" w:ascii="Times New Roman" w:hAnsi="Times New Roman" w:cs="Times New Roman"/>
          <w:color w:val="auto"/>
          <w:sz w:val="32"/>
          <w:szCs w:val="32"/>
          <w:highlight w:val="none"/>
          <w:lang w:eastAsia="zh-CN"/>
        </w:rPr>
        <w:t>，为</w:t>
      </w:r>
      <w:r>
        <w:rPr>
          <w:rFonts w:hint="default" w:ascii="Times New Roman" w:hAnsi="Times New Roman" w:cs="Times New Roman"/>
          <w:sz w:val="32"/>
          <w:szCs w:val="32"/>
          <w:lang w:eastAsia="zh-CN"/>
        </w:rPr>
        <w:t>市生态环境局所属公益一类事业单位，具体工作接受市生态环境局</w:t>
      </w:r>
      <w:r>
        <w:rPr>
          <w:rFonts w:hint="default" w:ascii="Times New Roman" w:hAnsi="Times New Roman" w:cs="Times New Roman"/>
          <w:sz w:val="32"/>
          <w:szCs w:val="32"/>
          <w:lang w:val="en-US" w:eastAsia="zh-CN"/>
        </w:rPr>
        <w:t>派驻县</w:t>
      </w:r>
      <w:r>
        <w:rPr>
          <w:rFonts w:hint="eastAsia" w:ascii="Times New Roman" w:hAnsi="Times New Roman" w:cs="Times New Roman"/>
          <w:sz w:val="32"/>
          <w:szCs w:val="32"/>
          <w:lang w:val="en-US" w:eastAsia="zh-CN"/>
        </w:rPr>
        <w:t>（区）</w:t>
      </w:r>
      <w:r>
        <w:rPr>
          <w:rFonts w:hint="default" w:ascii="Times New Roman" w:hAnsi="Times New Roman" w:cs="Times New Roman"/>
          <w:sz w:val="32"/>
          <w:szCs w:val="32"/>
          <w:lang w:val="en-US" w:eastAsia="zh-CN"/>
        </w:rPr>
        <w:t>的生态环境局领导。核定事业编制16名，党政领导职数3名</w:t>
      </w:r>
      <w:r>
        <w:rPr>
          <w:rFonts w:hint="default" w:ascii="Times New Roman" w:hAnsi="Times New Roman" w:cs="Times New Roman"/>
          <w:color w:val="auto"/>
          <w:sz w:val="32"/>
          <w:szCs w:val="32"/>
          <w:highlight w:val="none"/>
          <w:lang w:eastAsia="zh-CN"/>
        </w:rPr>
        <w:t>。</w:t>
      </w:r>
    </w:p>
    <w:p w14:paraId="159F5D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
          <w:kern w:val="0"/>
          <w:sz w:val="32"/>
          <w:szCs w:val="32"/>
        </w:rPr>
      </w:pPr>
      <w:r>
        <w:rPr>
          <w:rFonts w:eastAsia="仿宋"/>
          <w:sz w:val="32"/>
          <w:szCs w:val="32"/>
        </w:rPr>
        <w:br w:type="page"/>
      </w:r>
    </w:p>
    <w:p w14:paraId="0E18F023">
      <w:pPr>
        <w:pStyle w:val="5"/>
        <w:jc w:val="center"/>
        <w:rPr>
          <w:rFonts w:eastAsia="方正小标宋简体" w:cs="方正小标宋简体"/>
          <w:b w:val="0"/>
        </w:rPr>
      </w:pPr>
      <w:bookmarkStart w:id="18" w:name="_Toc15377204"/>
      <w:bookmarkStart w:id="19" w:name="_Toc15396602"/>
      <w:r>
        <w:rPr>
          <w:rFonts w:hint="eastAsia" w:eastAsia="方正小标宋简体" w:cs="方正小标宋简体"/>
          <w:b w:val="0"/>
        </w:rPr>
        <w:t>第二部分  2025年度部门决算情况说明</w:t>
      </w:r>
      <w:bookmarkEnd w:id="18"/>
      <w:bookmarkEnd w:id="19"/>
    </w:p>
    <w:p w14:paraId="202A4ACB">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29"/>
          <w:rFonts w:ascii="Times New Roman" w:hAnsi="Times New Roman" w:eastAsia="黑体"/>
          <w:b w:val="0"/>
        </w:rPr>
      </w:pPr>
      <w:bookmarkStart w:id="20" w:name="_Toc15396603"/>
      <w:bookmarkStart w:id="21"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20"/>
      <w:bookmarkEnd w:id="21"/>
    </w:p>
    <w:p w14:paraId="54923AC6">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eastAsia="仿宋_GB2312" w:cs="仿宋_GB2312"/>
          <w:sz w:val="32"/>
          <w:szCs w:val="32"/>
          <w:lang w:eastAsia="zh-CN"/>
        </w:rPr>
      </w:pPr>
      <w:r>
        <w:rPr>
          <w:rFonts w:hint="eastAsia" w:eastAsia="仿宋_GB2312" w:cs="仿宋_GB2312"/>
          <w:sz w:val="32"/>
          <w:szCs w:val="32"/>
        </w:rPr>
        <w:t>2025年度收入、支出总计均为343.8万元。与上年度相比，收入、支出总计各</w:t>
      </w:r>
      <w:r>
        <w:rPr>
          <w:rFonts w:hint="eastAsia" w:eastAsia="仿宋_GB2312" w:cs="仿宋_GB2312"/>
          <w:sz w:val="32"/>
          <w:szCs w:val="32"/>
          <w:lang w:eastAsia="zh-CN"/>
        </w:rPr>
        <w:t>减少</w:t>
      </w:r>
      <w:r>
        <w:rPr>
          <w:rFonts w:hint="eastAsia" w:eastAsia="仿宋_GB2312" w:cs="仿宋_GB2312"/>
          <w:sz w:val="32"/>
          <w:szCs w:val="32"/>
          <w:lang w:val="en-US" w:eastAsia="zh-CN"/>
        </w:rPr>
        <w:t>214.74</w:t>
      </w:r>
      <w:r>
        <w:rPr>
          <w:rFonts w:hint="eastAsia" w:eastAsia="仿宋_GB2312" w:cs="仿宋_GB2312"/>
          <w:sz w:val="32"/>
          <w:szCs w:val="32"/>
        </w:rPr>
        <w:t>万元，</w:t>
      </w:r>
      <w:r>
        <w:rPr>
          <w:rFonts w:hint="eastAsia" w:eastAsia="仿宋_GB2312" w:cs="仿宋_GB2312"/>
          <w:sz w:val="32"/>
          <w:szCs w:val="32"/>
          <w:lang w:eastAsia="zh-CN"/>
        </w:rPr>
        <w:t>减少</w:t>
      </w:r>
      <w:r>
        <w:rPr>
          <w:rFonts w:hint="eastAsia" w:eastAsia="仿宋_GB2312" w:cs="仿宋_GB2312"/>
          <w:sz w:val="32"/>
          <w:szCs w:val="32"/>
          <w:lang w:val="en-US" w:eastAsia="zh-CN"/>
        </w:rPr>
        <w:t>38.5</w:t>
      </w:r>
      <w:r>
        <w:rPr>
          <w:rFonts w:hint="eastAsia" w:eastAsia="仿宋_GB2312" w:cs="仿宋_GB2312"/>
          <w:sz w:val="32"/>
          <w:szCs w:val="32"/>
        </w:rPr>
        <w:t>%。主要变动原因是</w:t>
      </w:r>
      <w:r>
        <w:rPr>
          <w:rFonts w:hint="eastAsia" w:eastAsia="仿宋_GB2312" w:cs="仿宋_GB2312"/>
          <w:sz w:val="32"/>
          <w:szCs w:val="32"/>
          <w:lang w:eastAsia="zh-CN"/>
        </w:rPr>
        <w:t>市级、</w:t>
      </w:r>
      <w:r>
        <w:rPr>
          <w:rFonts w:hint="default" w:ascii="Times New Roman" w:hAnsi="Times New Roman" w:eastAsia="仿宋_GB2312" w:cs="仿宋_GB2312"/>
          <w:sz w:val="32"/>
          <w:szCs w:val="32"/>
          <w:lang w:eastAsia="zh-CN"/>
        </w:rPr>
        <w:t>区</w:t>
      </w:r>
      <w:r>
        <w:rPr>
          <w:rFonts w:hint="eastAsia" w:eastAsia="仿宋_GB2312" w:cs="仿宋_GB2312"/>
          <w:sz w:val="32"/>
          <w:szCs w:val="32"/>
          <w:lang w:eastAsia="zh-CN"/>
        </w:rPr>
        <w:t>级</w:t>
      </w:r>
      <w:r>
        <w:rPr>
          <w:rFonts w:hint="default" w:ascii="Times New Roman" w:hAnsi="Times New Roman" w:eastAsia="仿宋_GB2312" w:cs="仿宋_GB2312"/>
          <w:sz w:val="32"/>
          <w:szCs w:val="32"/>
          <w:lang w:eastAsia="zh-CN"/>
        </w:rPr>
        <w:t>财政安排专项资金</w:t>
      </w:r>
      <w:r>
        <w:rPr>
          <w:rFonts w:hint="eastAsia" w:eastAsia="仿宋_GB2312" w:cs="仿宋_GB2312"/>
          <w:sz w:val="32"/>
          <w:szCs w:val="32"/>
          <w:lang w:eastAsia="zh-CN"/>
        </w:rPr>
        <w:t>减少</w:t>
      </w:r>
      <w:r>
        <w:rPr>
          <w:rFonts w:hint="default" w:ascii="Times New Roman" w:hAnsi="Times New Roman" w:eastAsia="仿宋_GB2312" w:cs="仿宋_GB2312"/>
          <w:sz w:val="32"/>
          <w:szCs w:val="32"/>
          <w:lang w:eastAsia="zh-CN"/>
        </w:rPr>
        <w:t>。</w:t>
      </w:r>
    </w:p>
    <w:p w14:paraId="36CBD242">
      <w:pPr>
        <w:pStyle w:val="27"/>
        <w:spacing w:line="600" w:lineRule="exact"/>
        <w:ind w:firstLine="640"/>
        <w:outlineLvl w:val="1"/>
        <w:rPr>
          <w:rFonts w:hint="eastAsia" w:eastAsia="仿宋_GB2312" w:cs="仿宋_GB2312"/>
          <w:sz w:val="32"/>
          <w:szCs w:val="32"/>
        </w:rPr>
      </w:pPr>
      <w:r>
        <w:drawing>
          <wp:anchor distT="0" distB="0" distL="114300" distR="114300" simplePos="0" relativeHeight="251659264" behindDoc="0" locked="0" layoutInCell="1" allowOverlap="1">
            <wp:simplePos x="0" y="0"/>
            <wp:positionH relativeFrom="column">
              <wp:posOffset>516890</wp:posOffset>
            </wp:positionH>
            <wp:positionV relativeFrom="paragraph">
              <wp:posOffset>222885</wp:posOffset>
            </wp:positionV>
            <wp:extent cx="4320540" cy="2486660"/>
            <wp:effectExtent l="4445" t="4445" r="12700" b="12065"/>
            <wp:wrapNone/>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BEB29BB">
      <w:pPr>
        <w:pStyle w:val="27"/>
        <w:spacing w:line="600" w:lineRule="exact"/>
        <w:ind w:firstLine="640"/>
        <w:outlineLvl w:val="1"/>
        <w:rPr>
          <w:rFonts w:hint="eastAsia" w:eastAsia="仿宋_GB2312" w:cs="仿宋_GB2312"/>
          <w:sz w:val="32"/>
          <w:szCs w:val="32"/>
        </w:rPr>
      </w:pPr>
    </w:p>
    <w:p w14:paraId="7CB8451D">
      <w:pPr>
        <w:pStyle w:val="27"/>
        <w:spacing w:line="600" w:lineRule="exact"/>
        <w:outlineLvl w:val="1"/>
        <w:rPr>
          <w:rFonts w:hint="eastAsia" w:eastAsia="仿宋_GB2312" w:cs="仿宋_GB2312"/>
          <w:sz w:val="32"/>
          <w:szCs w:val="32"/>
        </w:rPr>
      </w:pPr>
    </w:p>
    <w:p w14:paraId="4F94259F">
      <w:pPr>
        <w:pStyle w:val="27"/>
        <w:spacing w:line="600" w:lineRule="exact"/>
        <w:ind w:firstLine="640"/>
        <w:outlineLvl w:val="1"/>
        <w:rPr>
          <w:rFonts w:hint="eastAsia" w:eastAsia="仿宋_GB2312" w:cs="仿宋_GB2312"/>
          <w:sz w:val="32"/>
          <w:szCs w:val="32"/>
        </w:rPr>
      </w:pPr>
    </w:p>
    <w:p w14:paraId="59A67F9A">
      <w:pPr>
        <w:pStyle w:val="27"/>
        <w:spacing w:line="600" w:lineRule="exact"/>
        <w:ind w:firstLine="640"/>
        <w:outlineLvl w:val="1"/>
        <w:rPr>
          <w:rFonts w:hint="eastAsia" w:eastAsia="仿宋_GB2312" w:cs="仿宋_GB2312"/>
          <w:sz w:val="32"/>
          <w:szCs w:val="32"/>
        </w:rPr>
      </w:pPr>
    </w:p>
    <w:p w14:paraId="0C1121C7">
      <w:pPr>
        <w:pStyle w:val="27"/>
        <w:spacing w:line="600" w:lineRule="exact"/>
        <w:outlineLvl w:val="1"/>
        <w:rPr>
          <w:rFonts w:hint="eastAsia" w:eastAsia="仿宋_GB2312" w:cs="仿宋_GB2312"/>
          <w:sz w:val="32"/>
          <w:szCs w:val="32"/>
        </w:rPr>
      </w:pPr>
    </w:p>
    <w:p w14:paraId="0101DE1D">
      <w:pPr>
        <w:pStyle w:val="27"/>
        <w:spacing w:line="600" w:lineRule="exact"/>
        <w:outlineLvl w:val="1"/>
        <w:rPr>
          <w:rFonts w:hint="eastAsia" w:eastAsia="仿宋_GB2312" w:cs="仿宋_GB2312"/>
          <w:sz w:val="32"/>
          <w:szCs w:val="32"/>
        </w:rPr>
      </w:pPr>
    </w:p>
    <w:p w14:paraId="39C8439B">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hint="eastAsia" w:eastAsia="仿宋_GB2312" w:cs="仿宋_GB2312"/>
          <w:sz w:val="32"/>
          <w:szCs w:val="32"/>
          <w:lang w:eastAsia="zh-CN"/>
        </w:rPr>
      </w:pPr>
      <w:r>
        <w:rPr>
          <w:rFonts w:hint="eastAsia" w:eastAsia="仿宋_GB2312" w:cs="仿宋_GB2312"/>
          <w:sz w:val="32"/>
          <w:szCs w:val="32"/>
        </w:rPr>
        <w:t>图1：收入、支出决算总计变动情况图</w:t>
      </w:r>
      <w:r>
        <w:rPr>
          <w:rFonts w:hint="default" w:eastAsia="仿宋_GB2312" w:cs="仿宋_GB2312"/>
          <w:sz w:val="32"/>
          <w:szCs w:val="32"/>
        </w:rPr>
        <w:t>（单位：万元）</w:t>
      </w:r>
    </w:p>
    <w:p w14:paraId="2156F36D">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eastAsia="黑体"/>
          <w:sz w:val="32"/>
          <w:szCs w:val="32"/>
        </w:rPr>
      </w:pPr>
      <w:bookmarkStart w:id="22" w:name="_Toc15377206"/>
      <w:bookmarkStart w:id="23" w:name="_Toc15396604"/>
      <w:r>
        <w:rPr>
          <w:rFonts w:hint="eastAsia" w:eastAsia="黑体"/>
          <w:sz w:val="32"/>
          <w:szCs w:val="32"/>
        </w:rPr>
        <w:t>二、收入决算情况说明</w:t>
      </w:r>
      <w:bookmarkEnd w:id="22"/>
      <w:bookmarkEnd w:id="23"/>
    </w:p>
    <w:p w14:paraId="1ADB5231">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Fonts w:hint="eastAsia" w:ascii="Times New Roman" w:hAnsi="Times New Roman" w:eastAsia="仿宋_GB2312" w:cs="仿宋_GB2312"/>
          <w:sz w:val="32"/>
          <w:szCs w:val="32"/>
          <w:lang w:eastAsia="zh-CN"/>
        </w:rPr>
      </w:pPr>
      <w:r>
        <w:rPr>
          <w:rFonts w:hint="eastAsia" w:eastAsia="仿宋_GB2312" w:cs="仿宋_GB2312"/>
          <w:sz w:val="32"/>
          <w:szCs w:val="32"/>
        </w:rPr>
        <w:t>2025年度本年收入合计343.8万元，其中：一般公共预算财政拨款收入252.42万元，占73.4%；其他收入91.3</w:t>
      </w:r>
      <w:r>
        <w:rPr>
          <w:rFonts w:hint="eastAsia" w:eastAsia="仿宋_GB2312" w:cs="仿宋_GB2312"/>
          <w:sz w:val="32"/>
          <w:szCs w:val="32"/>
          <w:lang w:val="en-US" w:eastAsia="zh-CN"/>
        </w:rPr>
        <w:t>8</w:t>
      </w:r>
      <w:r>
        <w:rPr>
          <w:rFonts w:hint="eastAsia" w:eastAsia="仿宋_GB2312" w:cs="仿宋_GB2312"/>
          <w:sz w:val="32"/>
          <w:szCs w:val="32"/>
        </w:rPr>
        <w:t>万元，占26.</w:t>
      </w:r>
      <w:r>
        <w:rPr>
          <w:rFonts w:hint="eastAsia" w:eastAsia="仿宋_GB2312" w:cs="仿宋_GB2312"/>
          <w:sz w:val="32"/>
          <w:szCs w:val="32"/>
          <w:lang w:val="en-US" w:eastAsia="zh-CN"/>
        </w:rPr>
        <w:t>6</w:t>
      </w:r>
      <w:r>
        <w:rPr>
          <w:rFonts w:hint="eastAsia" w:eastAsia="仿宋_GB2312" w:cs="仿宋_GB2312"/>
          <w:sz w:val="32"/>
          <w:szCs w:val="32"/>
        </w:rPr>
        <w:t>%。</w:t>
      </w:r>
    </w:p>
    <w:p w14:paraId="7408F355">
      <w:pPr>
        <w:pStyle w:val="27"/>
        <w:spacing w:line="600" w:lineRule="exact"/>
        <w:ind w:firstLine="640"/>
        <w:outlineLvl w:val="1"/>
        <w:rPr>
          <w:rFonts w:hint="eastAsia" w:ascii="Times New Roman" w:hAnsi="Times New Roman" w:eastAsia="仿宋_GB2312" w:cs="仿宋_GB2312"/>
          <w:sz w:val="32"/>
          <w:szCs w:val="32"/>
          <w:lang w:eastAsia="zh-CN"/>
        </w:rPr>
      </w:pPr>
    </w:p>
    <w:p w14:paraId="531EB791">
      <w:pPr>
        <w:pStyle w:val="27"/>
        <w:spacing w:line="600" w:lineRule="exact"/>
        <w:ind w:firstLine="640"/>
        <w:outlineLvl w:val="1"/>
        <w:rPr>
          <w:rFonts w:hint="eastAsia" w:ascii="Times New Roman" w:hAnsi="Times New Roman" w:eastAsia="仿宋_GB2312" w:cs="仿宋_GB2312"/>
          <w:sz w:val="32"/>
          <w:szCs w:val="32"/>
          <w:lang w:eastAsia="zh-CN"/>
        </w:rPr>
      </w:pPr>
    </w:p>
    <w:p w14:paraId="2340B224">
      <w:pPr>
        <w:pStyle w:val="27"/>
        <w:spacing w:line="600" w:lineRule="exact"/>
        <w:ind w:firstLine="640"/>
        <w:outlineLvl w:val="1"/>
        <w:rPr>
          <w:rFonts w:hint="eastAsia" w:ascii="Times New Roman" w:hAnsi="Times New Roman" w:eastAsia="仿宋_GB2312" w:cs="仿宋_GB2312"/>
          <w:sz w:val="32"/>
          <w:szCs w:val="32"/>
          <w:lang w:eastAsia="zh-CN"/>
        </w:rPr>
      </w:pPr>
    </w:p>
    <w:p w14:paraId="64CE1561">
      <w:pPr>
        <w:pStyle w:val="27"/>
        <w:spacing w:line="600" w:lineRule="exact"/>
        <w:ind w:firstLine="640"/>
        <w:outlineLvl w:val="1"/>
        <w:rPr>
          <w:rFonts w:hint="eastAsia" w:eastAsia="仿宋_GB2312" w:cs="仿宋_GB2312"/>
          <w:sz w:val="32"/>
          <w:szCs w:val="32"/>
        </w:rPr>
      </w:pPr>
    </w:p>
    <w:p w14:paraId="291D4124">
      <w:pPr>
        <w:pStyle w:val="27"/>
        <w:spacing w:line="600" w:lineRule="exact"/>
        <w:ind w:firstLine="640"/>
        <w:outlineLvl w:val="1"/>
        <w:rPr>
          <w:rFonts w:hint="eastAsia" w:eastAsia="仿宋_GB2312" w:cs="仿宋_GB2312"/>
          <w:sz w:val="32"/>
          <w:szCs w:val="32"/>
        </w:rPr>
      </w:pPr>
    </w:p>
    <w:p w14:paraId="0D9CD344">
      <w:pPr>
        <w:pStyle w:val="27"/>
        <w:spacing w:line="600" w:lineRule="exact"/>
        <w:ind w:firstLine="640"/>
        <w:outlineLvl w:val="1"/>
        <w:rPr>
          <w:rFonts w:hint="eastAsia" w:eastAsia="仿宋_GB2312" w:cs="仿宋_GB2312"/>
          <w:sz w:val="32"/>
          <w:szCs w:val="32"/>
        </w:rPr>
      </w:pPr>
      <w:r>
        <w:drawing>
          <wp:anchor distT="0" distB="0" distL="114300" distR="114300" simplePos="0" relativeHeight="251660288" behindDoc="0" locked="0" layoutInCell="1" allowOverlap="1">
            <wp:simplePos x="0" y="0"/>
            <wp:positionH relativeFrom="column">
              <wp:posOffset>748665</wp:posOffset>
            </wp:positionH>
            <wp:positionV relativeFrom="paragraph">
              <wp:posOffset>193040</wp:posOffset>
            </wp:positionV>
            <wp:extent cx="3887470" cy="1992630"/>
            <wp:effectExtent l="4445" t="4445" r="17145" b="889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1EFD2A3">
      <w:pPr>
        <w:pStyle w:val="27"/>
        <w:spacing w:line="600" w:lineRule="exact"/>
        <w:ind w:firstLine="640"/>
        <w:outlineLvl w:val="1"/>
        <w:rPr>
          <w:rFonts w:hint="eastAsia" w:eastAsia="仿宋_GB2312" w:cs="仿宋_GB2312"/>
          <w:sz w:val="32"/>
          <w:szCs w:val="32"/>
        </w:rPr>
      </w:pPr>
    </w:p>
    <w:p w14:paraId="2B3BAD04">
      <w:pPr>
        <w:pStyle w:val="27"/>
        <w:spacing w:line="600" w:lineRule="exact"/>
        <w:ind w:firstLine="640"/>
        <w:outlineLvl w:val="1"/>
        <w:rPr>
          <w:rFonts w:hint="eastAsia" w:eastAsia="仿宋_GB2312" w:cs="仿宋_GB2312"/>
          <w:sz w:val="32"/>
          <w:szCs w:val="32"/>
        </w:rPr>
      </w:pPr>
    </w:p>
    <w:p w14:paraId="00F9FD2A">
      <w:pPr>
        <w:pStyle w:val="27"/>
        <w:spacing w:line="600" w:lineRule="exact"/>
        <w:ind w:firstLine="640"/>
        <w:outlineLvl w:val="1"/>
        <w:rPr>
          <w:rFonts w:hint="eastAsia" w:eastAsia="仿宋_GB2312" w:cs="仿宋_GB2312"/>
          <w:sz w:val="32"/>
          <w:szCs w:val="32"/>
        </w:rPr>
      </w:pPr>
    </w:p>
    <w:p w14:paraId="7D2DE303">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_GB2312" w:cs="Times New Roman"/>
          <w:sz w:val="32"/>
          <w:szCs w:val="32"/>
        </w:rPr>
      </w:pPr>
    </w:p>
    <w:p w14:paraId="391760F6">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_GB2312" w:cs="Times New Roman"/>
          <w:sz w:val="32"/>
          <w:szCs w:val="32"/>
        </w:rPr>
      </w:pPr>
    </w:p>
    <w:p w14:paraId="319F192C">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图2：收入决算结构图 （单位：万元）</w:t>
      </w:r>
    </w:p>
    <w:p w14:paraId="0693C592">
      <w:pPr>
        <w:pStyle w:val="27"/>
        <w:spacing w:line="600" w:lineRule="exact"/>
        <w:ind w:firstLine="640"/>
        <w:outlineLvl w:val="1"/>
        <w:rPr>
          <w:rStyle w:val="29"/>
          <w:rFonts w:ascii="Times New Roman" w:hAnsi="Times New Roman" w:eastAsia="黑体"/>
          <w:b w:val="0"/>
        </w:rPr>
      </w:pPr>
      <w:bookmarkStart w:id="24" w:name="_Toc15377207"/>
      <w:bookmarkStart w:id="25" w:name="_Toc15396605"/>
      <w:r>
        <w:rPr>
          <w:rFonts w:hint="eastAsia" w:eastAsia="黑体"/>
          <w:sz w:val="32"/>
          <w:szCs w:val="32"/>
        </w:rPr>
        <w:t>三、支</w:t>
      </w:r>
      <w:r>
        <w:rPr>
          <w:rStyle w:val="29"/>
          <w:rFonts w:hint="eastAsia" w:ascii="Times New Roman" w:hAnsi="Times New Roman" w:eastAsia="黑体"/>
          <w:b w:val="0"/>
        </w:rPr>
        <w:t>出决算情况说明</w:t>
      </w:r>
      <w:bookmarkEnd w:id="24"/>
      <w:bookmarkEnd w:id="25"/>
    </w:p>
    <w:p w14:paraId="73C7EF62">
      <w:pPr>
        <w:pStyle w:val="27"/>
        <w:spacing w:line="600" w:lineRule="exact"/>
        <w:ind w:firstLine="640"/>
        <w:outlineLvl w:val="1"/>
        <w:rPr>
          <w:rFonts w:hint="eastAsia" w:ascii="Times New Roman" w:hAnsi="Times New Roman" w:eastAsia="仿宋_GB2312" w:cs="仿宋_GB2312"/>
          <w:sz w:val="32"/>
          <w:szCs w:val="32"/>
          <w:lang w:eastAsia="zh-CN"/>
        </w:rPr>
      </w:pPr>
      <w:r>
        <w:rPr>
          <w:rFonts w:hint="eastAsia" w:eastAsia="仿宋_GB2312" w:cs="仿宋_GB2312"/>
          <w:sz w:val="32"/>
          <w:szCs w:val="32"/>
        </w:rPr>
        <w:t>2025年度本年支出</w:t>
      </w:r>
      <w:r>
        <w:rPr>
          <w:rFonts w:hint="eastAsia" w:ascii="Times New Roman" w:hAnsi="Times New Roman" w:eastAsia="仿宋_GB2312" w:cs="仿宋_GB2312"/>
          <w:sz w:val="32"/>
          <w:szCs w:val="32"/>
        </w:rPr>
        <w:t>合计343.8万元，其中：基本支出310.37万元，占90.</w:t>
      </w:r>
      <w:r>
        <w:rPr>
          <w:rFonts w:hint="eastAsia" w:eastAsia="仿宋_GB2312" w:cs="仿宋_GB2312"/>
          <w:sz w:val="32"/>
          <w:szCs w:val="32"/>
          <w:lang w:val="en-US" w:eastAsia="zh-CN"/>
        </w:rPr>
        <w:t>3</w:t>
      </w:r>
      <w:r>
        <w:rPr>
          <w:rFonts w:hint="eastAsia" w:ascii="Times New Roman" w:hAnsi="Times New Roman" w:eastAsia="仿宋_GB2312" w:cs="仿宋_GB2312"/>
          <w:sz w:val="32"/>
          <w:szCs w:val="32"/>
        </w:rPr>
        <w:t>%；项目支出33.43万元，占9.7%</w:t>
      </w:r>
      <w:r>
        <w:rPr>
          <w:rFonts w:hint="eastAsia" w:eastAsia="仿宋_GB2312" w:cs="仿宋_GB2312"/>
          <w:sz w:val="32"/>
          <w:szCs w:val="32"/>
          <w:lang w:eastAsia="zh-CN"/>
        </w:rPr>
        <w:t>。</w:t>
      </w:r>
    </w:p>
    <w:p w14:paraId="4329658B">
      <w:pPr>
        <w:pStyle w:val="27"/>
        <w:spacing w:line="600" w:lineRule="exact"/>
        <w:outlineLvl w:val="1"/>
        <w:rPr>
          <w:rFonts w:hint="eastAsia" w:eastAsia="仿宋_GB2312" w:cs="仿宋_GB2312"/>
          <w:sz w:val="32"/>
          <w:szCs w:val="32"/>
        </w:rPr>
      </w:pPr>
      <w:r>
        <w:drawing>
          <wp:anchor distT="0" distB="0" distL="114300" distR="114300" simplePos="0" relativeHeight="251661312" behindDoc="0" locked="0" layoutInCell="1" allowOverlap="1">
            <wp:simplePos x="0" y="0"/>
            <wp:positionH relativeFrom="column">
              <wp:posOffset>722630</wp:posOffset>
            </wp:positionH>
            <wp:positionV relativeFrom="paragraph">
              <wp:posOffset>40005</wp:posOffset>
            </wp:positionV>
            <wp:extent cx="3859530" cy="2264410"/>
            <wp:effectExtent l="4445" t="4445" r="10795" b="11430"/>
            <wp:wrapNone/>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718EF0D4">
      <w:pPr>
        <w:pStyle w:val="27"/>
        <w:spacing w:line="600" w:lineRule="exact"/>
        <w:ind w:firstLine="640"/>
        <w:outlineLvl w:val="1"/>
        <w:rPr>
          <w:rFonts w:hint="eastAsia" w:eastAsia="仿宋_GB2312" w:cs="仿宋_GB2312"/>
          <w:sz w:val="32"/>
          <w:szCs w:val="32"/>
        </w:rPr>
      </w:pPr>
    </w:p>
    <w:p w14:paraId="5E94842C">
      <w:pPr>
        <w:pStyle w:val="27"/>
        <w:spacing w:line="600" w:lineRule="exact"/>
        <w:ind w:firstLine="640"/>
        <w:outlineLvl w:val="1"/>
        <w:rPr>
          <w:rFonts w:hint="eastAsia" w:eastAsia="仿宋_GB2312" w:cs="仿宋_GB2312"/>
          <w:sz w:val="32"/>
          <w:szCs w:val="32"/>
        </w:rPr>
      </w:pPr>
    </w:p>
    <w:p w14:paraId="6AEABCAA">
      <w:pPr>
        <w:pStyle w:val="27"/>
        <w:spacing w:line="600" w:lineRule="exact"/>
        <w:ind w:firstLine="640"/>
        <w:outlineLvl w:val="1"/>
        <w:rPr>
          <w:rFonts w:hint="eastAsia" w:eastAsia="仿宋_GB2312" w:cs="仿宋_GB2312"/>
          <w:sz w:val="32"/>
          <w:szCs w:val="32"/>
        </w:rPr>
      </w:pPr>
    </w:p>
    <w:p w14:paraId="774C409A">
      <w:pPr>
        <w:pStyle w:val="27"/>
        <w:spacing w:line="600" w:lineRule="exact"/>
        <w:ind w:firstLine="640"/>
        <w:outlineLvl w:val="1"/>
        <w:rPr>
          <w:rFonts w:hint="eastAsia" w:eastAsia="仿宋_GB2312" w:cs="仿宋_GB2312"/>
          <w:sz w:val="32"/>
          <w:szCs w:val="32"/>
        </w:rPr>
      </w:pPr>
    </w:p>
    <w:p w14:paraId="7A83D6F5">
      <w:pPr>
        <w:pStyle w:val="27"/>
        <w:spacing w:line="600" w:lineRule="exact"/>
        <w:ind w:firstLine="640"/>
        <w:outlineLvl w:val="1"/>
        <w:rPr>
          <w:rFonts w:hint="eastAsia" w:eastAsia="仿宋_GB2312" w:cs="仿宋_GB2312"/>
          <w:sz w:val="32"/>
          <w:szCs w:val="32"/>
        </w:rPr>
      </w:pPr>
    </w:p>
    <w:p w14:paraId="1CF946DF">
      <w:pPr>
        <w:pStyle w:val="27"/>
        <w:spacing w:line="600" w:lineRule="exact"/>
        <w:ind w:firstLine="1600" w:firstLineChars="500"/>
        <w:outlineLvl w:val="1"/>
        <w:rPr>
          <w:rFonts w:hint="eastAsia" w:eastAsia="仿宋_GB2312" w:cs="仿宋_GB2312"/>
          <w:sz w:val="32"/>
          <w:szCs w:val="32"/>
          <w:lang w:eastAsia="zh-CN"/>
        </w:rPr>
      </w:pPr>
      <w:r>
        <w:rPr>
          <w:rFonts w:hint="eastAsia" w:eastAsia="仿宋_GB2312" w:cs="仿宋_GB2312"/>
          <w:sz w:val="32"/>
          <w:szCs w:val="32"/>
        </w:rPr>
        <w:t>图3：支出决算结构图</w:t>
      </w:r>
      <w:r>
        <w:rPr>
          <w:rFonts w:hint="eastAsia" w:eastAsia="仿宋_GB2312" w:cs="仿宋_GB2312"/>
          <w:sz w:val="32"/>
          <w:szCs w:val="32"/>
          <w:lang w:val="en-US" w:eastAsia="zh-CN"/>
        </w:rPr>
        <w:t xml:space="preserve"> </w:t>
      </w:r>
      <w:r>
        <w:rPr>
          <w:rFonts w:hint="default" w:ascii="Times New Roman" w:hAnsi="Times New Roman" w:eastAsia="仿宋_GB2312" w:cs="Times New Roman"/>
          <w:sz w:val="32"/>
          <w:szCs w:val="32"/>
        </w:rPr>
        <w:t>（单位：万元）</w:t>
      </w:r>
    </w:p>
    <w:p w14:paraId="5691D6F5">
      <w:pPr>
        <w:spacing w:line="600" w:lineRule="exact"/>
        <w:ind w:firstLine="640" w:firstLineChars="200"/>
        <w:outlineLvl w:val="1"/>
        <w:rPr>
          <w:rStyle w:val="29"/>
          <w:rFonts w:ascii="Times New Roman" w:hAnsi="Times New Roman" w:eastAsia="黑体"/>
          <w:b w:val="0"/>
        </w:rPr>
      </w:pPr>
      <w:bookmarkStart w:id="26" w:name="_Toc15377208"/>
      <w:bookmarkStart w:id="27"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6"/>
      <w:bookmarkEnd w:id="27"/>
    </w:p>
    <w:p w14:paraId="1D8A6605">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eastAsia="仿宋_GB2312" w:cs="仿宋_GB2312"/>
          <w:sz w:val="32"/>
          <w:szCs w:val="32"/>
          <w:lang w:eastAsia="zh-CN"/>
        </w:rPr>
      </w:pPr>
      <w:r>
        <w:rPr>
          <w:rFonts w:hint="eastAsia" w:eastAsia="仿宋_GB2312" w:cs="仿宋_GB2312"/>
          <w:sz w:val="32"/>
          <w:szCs w:val="32"/>
        </w:rPr>
        <w:t>2025年度财政拨款收入、支出总计均</w:t>
      </w:r>
      <w:r>
        <w:rPr>
          <w:rFonts w:hint="eastAsia" w:ascii="Times New Roman" w:hAnsi="Times New Roman" w:eastAsia="仿宋_GB2312" w:cs="仿宋_GB2312"/>
          <w:sz w:val="32"/>
          <w:szCs w:val="32"/>
        </w:rPr>
        <w:t>为252.42万元。与上年度相比，财政拨款收入、支出总计各减少</w:t>
      </w:r>
      <w:r>
        <w:rPr>
          <w:rFonts w:hint="eastAsia" w:eastAsia="仿宋_GB2312" w:cs="仿宋_GB2312"/>
          <w:sz w:val="32"/>
          <w:szCs w:val="32"/>
          <w:lang w:val="en-US" w:eastAsia="zh-CN"/>
        </w:rPr>
        <w:t>94.49</w:t>
      </w:r>
      <w:r>
        <w:rPr>
          <w:rFonts w:hint="eastAsia" w:ascii="Times New Roman" w:hAnsi="Times New Roman" w:eastAsia="仿宋_GB2312" w:cs="仿宋_GB2312"/>
          <w:sz w:val="32"/>
          <w:szCs w:val="32"/>
        </w:rPr>
        <w:t>万元，下降</w:t>
      </w:r>
      <w:r>
        <w:rPr>
          <w:rFonts w:hint="eastAsia" w:eastAsia="仿宋_GB2312" w:cs="仿宋_GB2312"/>
          <w:sz w:val="32"/>
          <w:szCs w:val="32"/>
          <w:lang w:val="en-US" w:eastAsia="zh-CN"/>
        </w:rPr>
        <w:t>27.2</w:t>
      </w:r>
      <w:r>
        <w:rPr>
          <w:rFonts w:hint="eastAsia" w:ascii="Times New Roman" w:hAnsi="Times New Roman" w:eastAsia="仿宋_GB2312" w:cs="仿宋_GB2312"/>
          <w:sz w:val="32"/>
          <w:szCs w:val="32"/>
        </w:rPr>
        <w:t>%。主要变动原因是</w:t>
      </w:r>
      <w:r>
        <w:rPr>
          <w:rFonts w:hint="eastAsia" w:eastAsia="仿宋_GB2312" w:cs="仿宋_GB2312"/>
          <w:sz w:val="32"/>
          <w:szCs w:val="32"/>
          <w:lang w:eastAsia="zh-CN"/>
        </w:rPr>
        <w:t>市级</w:t>
      </w:r>
      <w:r>
        <w:rPr>
          <w:rFonts w:hint="default" w:ascii="Times New Roman" w:hAnsi="Times New Roman" w:eastAsia="仿宋_GB2312" w:cs="仿宋_GB2312"/>
          <w:sz w:val="32"/>
          <w:szCs w:val="32"/>
          <w:lang w:eastAsia="zh-CN"/>
        </w:rPr>
        <w:t>财政安排专项资金</w:t>
      </w:r>
      <w:r>
        <w:rPr>
          <w:rFonts w:hint="eastAsia" w:eastAsia="仿宋_GB2312" w:cs="仿宋_GB2312"/>
          <w:sz w:val="32"/>
          <w:szCs w:val="32"/>
          <w:lang w:eastAsia="zh-CN"/>
        </w:rPr>
        <w:t>减少</w:t>
      </w:r>
      <w:r>
        <w:rPr>
          <w:rFonts w:hint="default" w:ascii="Times New Roman" w:hAnsi="Times New Roman" w:eastAsia="仿宋_GB2312" w:cs="仿宋_GB2312"/>
          <w:sz w:val="32"/>
          <w:szCs w:val="32"/>
          <w:lang w:eastAsia="zh-CN"/>
        </w:rPr>
        <w:t>。</w:t>
      </w:r>
    </w:p>
    <w:p w14:paraId="79C7A315">
      <w:pPr>
        <w:spacing w:line="600" w:lineRule="exact"/>
        <w:ind w:firstLine="640"/>
        <w:rPr>
          <w:rFonts w:hint="eastAsia" w:ascii="Times New Roman" w:hAnsi="Times New Roman" w:eastAsia="仿宋_GB2312" w:cs="仿宋_GB2312"/>
          <w:sz w:val="32"/>
          <w:szCs w:val="32"/>
          <w:lang w:eastAsia="zh-CN"/>
        </w:rPr>
      </w:pPr>
    </w:p>
    <w:p w14:paraId="16B07736">
      <w:pPr>
        <w:pStyle w:val="2"/>
        <w:rPr>
          <w:rFonts w:hint="eastAsia" w:ascii="Times New Roman" w:hAnsi="Times New Roman" w:eastAsia="仿宋_GB2312" w:cs="仿宋_GB2312"/>
          <w:sz w:val="32"/>
          <w:szCs w:val="32"/>
          <w:lang w:eastAsia="zh-CN"/>
        </w:rPr>
      </w:pPr>
    </w:p>
    <w:p w14:paraId="286DFCDD">
      <w:pPr>
        <w:pStyle w:val="3"/>
        <w:rPr>
          <w:rFonts w:hint="eastAsia"/>
          <w:lang w:eastAsia="zh-CN"/>
        </w:rPr>
      </w:pPr>
    </w:p>
    <w:p w14:paraId="08599241">
      <w:pPr>
        <w:spacing w:line="600" w:lineRule="exact"/>
        <w:ind w:firstLine="640"/>
        <w:rPr>
          <w:rFonts w:hint="eastAsia" w:ascii="Times New Roman" w:hAnsi="Times New Roman" w:eastAsia="仿宋_GB2312" w:cs="仿宋_GB2312"/>
          <w:sz w:val="32"/>
          <w:szCs w:val="32"/>
          <w:lang w:eastAsia="zh-CN"/>
        </w:rPr>
      </w:pPr>
      <w:r>
        <w:drawing>
          <wp:anchor distT="0" distB="0" distL="114300" distR="114300" simplePos="0" relativeHeight="251662336" behindDoc="0" locked="0" layoutInCell="1" allowOverlap="1">
            <wp:simplePos x="0" y="0"/>
            <wp:positionH relativeFrom="column">
              <wp:posOffset>715645</wp:posOffset>
            </wp:positionH>
            <wp:positionV relativeFrom="paragraph">
              <wp:posOffset>301625</wp:posOffset>
            </wp:positionV>
            <wp:extent cx="4046220" cy="2373630"/>
            <wp:effectExtent l="4445" t="4445" r="12700" b="508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4DDBE4C9">
      <w:pPr>
        <w:spacing w:line="600" w:lineRule="exact"/>
        <w:ind w:firstLine="640"/>
        <w:rPr>
          <w:rFonts w:hint="eastAsia" w:ascii="Times New Roman" w:hAnsi="Times New Roman" w:eastAsia="仿宋_GB2312" w:cs="仿宋_GB2312"/>
          <w:sz w:val="32"/>
          <w:szCs w:val="32"/>
          <w:lang w:eastAsia="zh-CN"/>
        </w:rPr>
      </w:pPr>
    </w:p>
    <w:p w14:paraId="5CB7366C">
      <w:pPr>
        <w:spacing w:line="600" w:lineRule="exact"/>
        <w:ind w:firstLine="640"/>
        <w:rPr>
          <w:rFonts w:hint="eastAsia" w:ascii="Times New Roman" w:hAnsi="Times New Roman" w:eastAsia="仿宋_GB2312" w:cs="仿宋_GB2312"/>
          <w:sz w:val="32"/>
          <w:szCs w:val="32"/>
          <w:lang w:eastAsia="zh-CN"/>
        </w:rPr>
      </w:pPr>
    </w:p>
    <w:p w14:paraId="72328EC9">
      <w:pPr>
        <w:spacing w:line="600" w:lineRule="exact"/>
        <w:ind w:firstLine="640" w:firstLineChars="200"/>
        <w:rPr>
          <w:rFonts w:hint="eastAsia" w:eastAsia="仿宋_GB2312" w:cs="仿宋_GB2312"/>
          <w:sz w:val="32"/>
          <w:szCs w:val="32"/>
        </w:rPr>
      </w:pPr>
    </w:p>
    <w:p w14:paraId="394EE882">
      <w:pPr>
        <w:pStyle w:val="27"/>
        <w:spacing w:line="600" w:lineRule="exact"/>
        <w:outlineLvl w:val="1"/>
        <w:rPr>
          <w:rFonts w:hint="eastAsia" w:eastAsia="仿宋_GB2312" w:cs="仿宋_GB2312"/>
          <w:sz w:val="32"/>
          <w:szCs w:val="32"/>
        </w:rPr>
      </w:pPr>
    </w:p>
    <w:p w14:paraId="4A00B79D">
      <w:pPr>
        <w:pStyle w:val="27"/>
        <w:spacing w:line="600" w:lineRule="exact"/>
        <w:outlineLvl w:val="1"/>
        <w:rPr>
          <w:rFonts w:hint="eastAsia" w:eastAsia="仿宋_GB2312" w:cs="仿宋_GB2312"/>
          <w:sz w:val="32"/>
          <w:szCs w:val="32"/>
        </w:rPr>
      </w:pPr>
    </w:p>
    <w:p w14:paraId="25602579">
      <w:pPr>
        <w:pStyle w:val="27"/>
        <w:spacing w:line="600" w:lineRule="exact"/>
        <w:outlineLvl w:val="1"/>
        <w:rPr>
          <w:rFonts w:hint="eastAsia" w:eastAsia="仿宋_GB2312" w:cs="仿宋_GB2312"/>
          <w:sz w:val="32"/>
          <w:szCs w:val="32"/>
        </w:rPr>
      </w:pPr>
    </w:p>
    <w:p w14:paraId="6FA43466">
      <w:pPr>
        <w:pStyle w:val="27"/>
        <w:spacing w:line="600" w:lineRule="exact"/>
        <w:outlineLvl w:val="1"/>
        <w:rPr>
          <w:rFonts w:hint="eastAsia" w:eastAsia="仿宋_GB2312" w:cs="仿宋_GB2312"/>
          <w:sz w:val="32"/>
          <w:szCs w:val="32"/>
          <w:lang w:eastAsia="zh-CN"/>
        </w:rPr>
      </w:pPr>
      <w:r>
        <w:rPr>
          <w:rFonts w:hint="eastAsia" w:eastAsia="仿宋_GB2312" w:cs="仿宋_GB2312"/>
          <w:sz w:val="32"/>
          <w:szCs w:val="32"/>
        </w:rPr>
        <w:t>图4：财政拨款收、支决算总计变动情况</w:t>
      </w:r>
      <w:r>
        <w:rPr>
          <w:rFonts w:hint="default" w:ascii="Times New Roman" w:hAnsi="Times New Roman" w:eastAsia="仿宋_GB2312" w:cs="Times New Roman"/>
          <w:sz w:val="32"/>
          <w:szCs w:val="32"/>
        </w:rPr>
        <w:t>（单位：万元）</w:t>
      </w:r>
    </w:p>
    <w:p w14:paraId="16F1B1E1">
      <w:pPr>
        <w:spacing w:line="600" w:lineRule="exact"/>
        <w:ind w:firstLine="640" w:firstLineChars="200"/>
        <w:outlineLvl w:val="1"/>
        <w:rPr>
          <w:rStyle w:val="29"/>
          <w:rFonts w:ascii="Times New Roman" w:hAnsi="Times New Roman" w:eastAsia="黑体"/>
          <w:b w:val="0"/>
        </w:rPr>
      </w:pPr>
      <w:bookmarkStart w:id="28" w:name="_Toc15396607"/>
      <w:bookmarkStart w:id="29"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8"/>
      <w:bookmarkEnd w:id="29"/>
    </w:p>
    <w:p w14:paraId="116EEDD6">
      <w:pPr>
        <w:spacing w:line="600" w:lineRule="exact"/>
        <w:ind w:firstLine="643" w:firstLineChars="200"/>
        <w:outlineLvl w:val="2"/>
        <w:rPr>
          <w:rFonts w:eastAsia="楷体_GB2312" w:cs="楷体_GB2312"/>
          <w:b/>
          <w:sz w:val="32"/>
          <w:szCs w:val="32"/>
        </w:rPr>
      </w:pPr>
      <w:bookmarkStart w:id="30" w:name="_Toc15377210"/>
      <w:r>
        <w:rPr>
          <w:rFonts w:hint="eastAsia" w:eastAsia="楷体_GB2312" w:cs="楷体_GB2312"/>
          <w:b/>
          <w:sz w:val="32"/>
          <w:szCs w:val="32"/>
        </w:rPr>
        <w:t>（一）一般公共预算财政拨款支出决算总体情况</w:t>
      </w:r>
      <w:bookmarkEnd w:id="30"/>
    </w:p>
    <w:p w14:paraId="54FDA78C">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Fonts w:hint="eastAsia" w:ascii="Times New Roman" w:hAnsi="Times New Roman" w:eastAsia="仿宋_GB2312" w:cs="仿宋_GB2312"/>
          <w:sz w:val="32"/>
          <w:szCs w:val="32"/>
          <w:lang w:eastAsia="zh-CN"/>
        </w:rPr>
      </w:pPr>
      <w:r>
        <w:rPr>
          <w:rFonts w:hint="eastAsia" w:eastAsia="仿宋_GB2312" w:cs="仿宋_GB2312"/>
          <w:sz w:val="32"/>
          <w:szCs w:val="32"/>
        </w:rPr>
        <w:t>2025年度一般公共预算财政拨款</w:t>
      </w:r>
      <w:r>
        <w:rPr>
          <w:rFonts w:hint="eastAsia" w:ascii="Times New Roman" w:hAnsi="Times New Roman" w:eastAsia="仿宋_GB2312" w:cs="仿宋_GB2312"/>
          <w:sz w:val="32"/>
          <w:szCs w:val="32"/>
        </w:rPr>
        <w:t>支出252.42万元，占本年支出合计的73.4%。</w:t>
      </w:r>
      <w:r>
        <w:rPr>
          <w:rFonts w:hint="eastAsia" w:eastAsia="仿宋_GB2312" w:cs="仿宋_GB2312"/>
          <w:sz w:val="32"/>
          <w:szCs w:val="32"/>
        </w:rPr>
        <w:t>与上年度相比，一般公共预算财政拨款支出</w:t>
      </w:r>
      <w:r>
        <w:rPr>
          <w:rFonts w:hint="eastAsia" w:ascii="Times New Roman" w:hAnsi="Times New Roman" w:eastAsia="仿宋_GB2312" w:cs="仿宋_GB2312"/>
          <w:sz w:val="32"/>
          <w:szCs w:val="32"/>
        </w:rPr>
        <w:t>减少</w:t>
      </w:r>
      <w:r>
        <w:rPr>
          <w:rFonts w:hint="eastAsia" w:eastAsia="仿宋_GB2312" w:cs="仿宋_GB2312"/>
          <w:sz w:val="32"/>
          <w:szCs w:val="32"/>
          <w:lang w:val="en-US" w:eastAsia="zh-CN"/>
        </w:rPr>
        <w:t>18.89</w:t>
      </w:r>
      <w:r>
        <w:rPr>
          <w:rFonts w:hint="eastAsia" w:ascii="Times New Roman" w:hAnsi="Times New Roman" w:eastAsia="仿宋_GB2312" w:cs="仿宋_GB2312"/>
          <w:sz w:val="32"/>
          <w:szCs w:val="32"/>
        </w:rPr>
        <w:t>万元，下降</w:t>
      </w:r>
      <w:r>
        <w:rPr>
          <w:rFonts w:hint="eastAsia" w:eastAsia="仿宋_GB2312" w:cs="仿宋_GB2312"/>
          <w:sz w:val="32"/>
          <w:szCs w:val="32"/>
          <w:lang w:val="en-US" w:eastAsia="zh-CN"/>
        </w:rPr>
        <w:t>7</w:t>
      </w:r>
      <w:r>
        <w:rPr>
          <w:rFonts w:hint="eastAsia" w:ascii="Times New Roman" w:hAnsi="Times New Roman" w:eastAsia="仿宋_GB2312" w:cs="仿宋_GB2312"/>
          <w:sz w:val="32"/>
          <w:szCs w:val="32"/>
        </w:rPr>
        <w:t>%。主要变动原因是</w:t>
      </w:r>
      <w:r>
        <w:rPr>
          <w:rFonts w:hint="eastAsia" w:eastAsia="仿宋_GB2312" w:cs="仿宋_GB2312"/>
          <w:sz w:val="32"/>
          <w:szCs w:val="32"/>
          <w:lang w:eastAsia="zh-CN"/>
        </w:rPr>
        <w:t>市级</w:t>
      </w:r>
      <w:r>
        <w:rPr>
          <w:rFonts w:hint="default" w:ascii="Times New Roman" w:hAnsi="Times New Roman" w:eastAsia="仿宋_GB2312" w:cs="仿宋_GB2312"/>
          <w:sz w:val="32"/>
          <w:szCs w:val="32"/>
          <w:lang w:eastAsia="zh-CN"/>
        </w:rPr>
        <w:t>财政安排专项资金</w:t>
      </w:r>
      <w:r>
        <w:rPr>
          <w:rFonts w:hint="eastAsia" w:eastAsia="仿宋_GB2312" w:cs="仿宋_GB2312"/>
          <w:sz w:val="32"/>
          <w:szCs w:val="32"/>
          <w:lang w:eastAsia="zh-CN"/>
        </w:rPr>
        <w:t>减少</w:t>
      </w:r>
      <w:r>
        <w:rPr>
          <w:rFonts w:hint="default" w:ascii="Times New Roman" w:hAnsi="Times New Roman" w:eastAsia="仿宋_GB2312" w:cs="仿宋_GB2312"/>
          <w:sz w:val="32"/>
          <w:szCs w:val="32"/>
          <w:lang w:eastAsia="zh-CN"/>
        </w:rPr>
        <w:t>。</w:t>
      </w:r>
    </w:p>
    <w:p w14:paraId="75A7D06E">
      <w:pPr>
        <w:spacing w:line="600" w:lineRule="exact"/>
        <w:ind w:firstLine="640"/>
        <w:rPr>
          <w:rFonts w:hint="eastAsia" w:eastAsia="仿宋_GB2312" w:cs="仿宋_GB2312"/>
          <w:sz w:val="32"/>
          <w:szCs w:val="32"/>
        </w:rPr>
      </w:pPr>
      <w:r>
        <w:drawing>
          <wp:anchor distT="0" distB="0" distL="114300" distR="114300" simplePos="0" relativeHeight="251663360" behindDoc="0" locked="0" layoutInCell="1" allowOverlap="1">
            <wp:simplePos x="0" y="0"/>
            <wp:positionH relativeFrom="column">
              <wp:posOffset>515620</wp:posOffset>
            </wp:positionH>
            <wp:positionV relativeFrom="paragraph">
              <wp:posOffset>276225</wp:posOffset>
            </wp:positionV>
            <wp:extent cx="4414520" cy="2263140"/>
            <wp:effectExtent l="4445" t="4445" r="21590" b="12700"/>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535A43F7">
      <w:pPr>
        <w:spacing w:line="600" w:lineRule="exact"/>
        <w:ind w:firstLine="640"/>
        <w:rPr>
          <w:rFonts w:hint="eastAsia" w:eastAsia="仿宋_GB2312" w:cs="仿宋_GB2312"/>
          <w:sz w:val="32"/>
          <w:szCs w:val="32"/>
        </w:rPr>
      </w:pPr>
    </w:p>
    <w:p w14:paraId="757FC5F7">
      <w:pPr>
        <w:spacing w:line="600" w:lineRule="exact"/>
        <w:ind w:firstLine="640"/>
        <w:rPr>
          <w:rFonts w:hint="eastAsia" w:eastAsia="仿宋_GB2312" w:cs="仿宋_GB2312"/>
          <w:sz w:val="32"/>
          <w:szCs w:val="32"/>
        </w:rPr>
      </w:pPr>
    </w:p>
    <w:p w14:paraId="5BCC8C67">
      <w:pPr>
        <w:spacing w:line="600" w:lineRule="exact"/>
        <w:ind w:firstLine="640"/>
        <w:rPr>
          <w:rFonts w:hint="eastAsia" w:eastAsia="仿宋_GB2312" w:cs="仿宋_GB2312"/>
          <w:sz w:val="32"/>
          <w:szCs w:val="32"/>
        </w:rPr>
      </w:pPr>
    </w:p>
    <w:p w14:paraId="039F75E7">
      <w:pPr>
        <w:spacing w:line="600" w:lineRule="exact"/>
        <w:ind w:firstLine="640"/>
        <w:rPr>
          <w:rFonts w:hint="eastAsia" w:eastAsia="仿宋_GB2312" w:cs="仿宋_GB2312"/>
          <w:sz w:val="32"/>
          <w:szCs w:val="32"/>
        </w:rPr>
      </w:pPr>
    </w:p>
    <w:p w14:paraId="2F9A59C3">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eastAsia="仿宋_GB2312" w:cs="仿宋_GB2312"/>
          <w:sz w:val="32"/>
          <w:szCs w:val="32"/>
        </w:rPr>
      </w:pPr>
    </w:p>
    <w:p w14:paraId="07E0F56B">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eastAsia="仿宋_GB2312" w:cs="仿宋_GB2312"/>
          <w:sz w:val="32"/>
          <w:szCs w:val="32"/>
        </w:rPr>
      </w:pPr>
    </w:p>
    <w:p w14:paraId="2EAB102D">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eastAsia="仿宋_GB2312" w:cs="仿宋_GB2312"/>
          <w:sz w:val="32"/>
          <w:szCs w:val="32"/>
          <w:lang w:val="en-US" w:eastAsia="zh-CN"/>
        </w:rPr>
      </w:pPr>
      <w:r>
        <w:rPr>
          <w:rFonts w:hint="eastAsia" w:eastAsia="仿宋_GB2312" w:cs="仿宋_GB2312"/>
          <w:sz w:val="32"/>
          <w:szCs w:val="32"/>
        </w:rPr>
        <w:t>图5：一般公共预算财政拨款支出决算变动情况（</w:t>
      </w:r>
      <w:r>
        <w:rPr>
          <w:rFonts w:hint="eastAsia" w:eastAsia="仿宋_GB2312" w:cs="仿宋_GB2312"/>
          <w:sz w:val="32"/>
          <w:szCs w:val="32"/>
          <w:lang w:eastAsia="zh-CN"/>
        </w:rPr>
        <w:t>单位：万元）</w:t>
      </w:r>
    </w:p>
    <w:p w14:paraId="15EA5F7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eastAsia="楷体_GB2312" w:cs="楷体_GB2312"/>
          <w:b/>
          <w:sz w:val="32"/>
          <w:szCs w:val="32"/>
        </w:rPr>
      </w:pPr>
      <w:bookmarkStart w:id="31" w:name="_Toc15377211"/>
      <w:r>
        <w:rPr>
          <w:rFonts w:hint="eastAsia" w:eastAsia="楷体_GB2312" w:cs="楷体_GB2312"/>
          <w:b/>
          <w:sz w:val="32"/>
          <w:szCs w:val="32"/>
        </w:rPr>
        <w:t>（二）一般公共预算财政拨款支出决算结构情况</w:t>
      </w:r>
      <w:bookmarkEnd w:id="31"/>
    </w:p>
    <w:p w14:paraId="2F665C3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eastAsia="仿宋_GB2312" w:cs="仿宋_GB2312"/>
          <w:b/>
          <w:bCs/>
          <w:color w:val="FF0000"/>
          <w:sz w:val="32"/>
          <w:szCs w:val="32"/>
          <w:lang w:val="en-US" w:eastAsia="zh-CN"/>
        </w:rPr>
      </w:pPr>
      <w:r>
        <w:rPr>
          <w:rFonts w:hint="eastAsia" w:eastAsia="仿宋_GB2312" w:cs="仿宋_GB2312"/>
          <w:color w:val="auto"/>
          <w:sz w:val="32"/>
          <w:szCs w:val="32"/>
        </w:rPr>
        <w:t>2025年度一般公共预算财政拨款支出</w:t>
      </w:r>
      <w:r>
        <w:rPr>
          <w:rFonts w:hint="eastAsia" w:eastAsia="仿宋_GB2312" w:cs="仿宋_GB2312"/>
          <w:color w:val="auto"/>
          <w:sz w:val="32"/>
          <w:szCs w:val="32"/>
          <w:lang w:val="en-US" w:eastAsia="zh-CN"/>
        </w:rPr>
        <w:t>252.42</w:t>
      </w:r>
      <w:r>
        <w:rPr>
          <w:rFonts w:hint="eastAsia" w:eastAsia="仿宋_GB2312" w:cs="仿宋_GB2312"/>
          <w:color w:val="auto"/>
          <w:sz w:val="32"/>
          <w:szCs w:val="32"/>
        </w:rPr>
        <w:t>万元，主要用于以下方面：社会保障和就业支出</w:t>
      </w:r>
      <w:r>
        <w:rPr>
          <w:rFonts w:hint="eastAsia" w:eastAsia="仿宋_GB2312" w:cs="仿宋_GB2312"/>
          <w:color w:val="auto"/>
          <w:sz w:val="32"/>
          <w:szCs w:val="32"/>
          <w:lang w:val="en-US" w:eastAsia="zh-CN"/>
        </w:rPr>
        <w:t>36.21</w:t>
      </w:r>
      <w:r>
        <w:rPr>
          <w:rFonts w:hint="eastAsia" w:eastAsia="仿宋_GB2312" w:cs="仿宋_GB2312"/>
          <w:color w:val="auto"/>
          <w:sz w:val="32"/>
          <w:szCs w:val="32"/>
        </w:rPr>
        <w:t>万元，占</w:t>
      </w:r>
      <w:r>
        <w:rPr>
          <w:rFonts w:hint="eastAsia" w:eastAsia="仿宋_GB2312" w:cs="仿宋_GB2312"/>
          <w:color w:val="auto"/>
          <w:sz w:val="32"/>
          <w:szCs w:val="32"/>
          <w:lang w:val="en-US" w:eastAsia="zh-CN"/>
        </w:rPr>
        <w:t>14.4</w:t>
      </w:r>
      <w:r>
        <w:rPr>
          <w:rFonts w:hint="eastAsia" w:eastAsia="仿宋_GB2312" w:cs="仿宋_GB2312"/>
          <w:color w:val="auto"/>
          <w:sz w:val="32"/>
          <w:szCs w:val="32"/>
        </w:rPr>
        <w:t>%；卫生健康支出</w:t>
      </w:r>
      <w:r>
        <w:rPr>
          <w:rFonts w:hint="eastAsia" w:eastAsia="仿宋_GB2312" w:cs="仿宋_GB2312"/>
          <w:color w:val="auto"/>
          <w:sz w:val="32"/>
          <w:szCs w:val="32"/>
          <w:lang w:val="en-US" w:eastAsia="zh-CN"/>
        </w:rPr>
        <w:t>18.6</w:t>
      </w:r>
      <w:r>
        <w:rPr>
          <w:rFonts w:hint="eastAsia" w:eastAsia="仿宋_GB2312" w:cs="仿宋_GB2312"/>
          <w:color w:val="auto"/>
          <w:sz w:val="32"/>
          <w:szCs w:val="32"/>
        </w:rPr>
        <w:t>万元，占</w:t>
      </w:r>
      <w:r>
        <w:rPr>
          <w:rFonts w:hint="eastAsia" w:eastAsia="仿宋_GB2312" w:cs="仿宋_GB2312"/>
          <w:color w:val="auto"/>
          <w:sz w:val="32"/>
          <w:szCs w:val="32"/>
          <w:lang w:val="en-US" w:eastAsia="zh-CN"/>
        </w:rPr>
        <w:t>7.4</w:t>
      </w:r>
      <w:r>
        <w:rPr>
          <w:rFonts w:hint="eastAsia" w:eastAsia="仿宋_GB2312" w:cs="仿宋_GB2312"/>
          <w:color w:val="auto"/>
          <w:sz w:val="32"/>
          <w:szCs w:val="32"/>
        </w:rPr>
        <w:t>%；节能环保支出</w:t>
      </w:r>
      <w:r>
        <w:rPr>
          <w:rFonts w:hint="eastAsia" w:eastAsia="仿宋_GB2312" w:cs="仿宋_GB2312"/>
          <w:color w:val="auto"/>
          <w:sz w:val="32"/>
          <w:szCs w:val="32"/>
          <w:lang w:val="en-US" w:eastAsia="zh-CN"/>
        </w:rPr>
        <w:t>174.43</w:t>
      </w:r>
      <w:r>
        <w:rPr>
          <w:rFonts w:hint="eastAsia" w:eastAsia="仿宋_GB2312" w:cs="仿宋_GB2312"/>
          <w:color w:val="auto"/>
          <w:sz w:val="32"/>
          <w:szCs w:val="32"/>
        </w:rPr>
        <w:t>万元，占</w:t>
      </w:r>
      <w:r>
        <w:rPr>
          <w:rFonts w:hint="eastAsia" w:eastAsia="仿宋_GB2312" w:cs="仿宋_GB2312"/>
          <w:color w:val="auto"/>
          <w:sz w:val="32"/>
          <w:szCs w:val="32"/>
          <w:lang w:val="en-US" w:eastAsia="zh-CN"/>
        </w:rPr>
        <w:t>69.1</w:t>
      </w:r>
      <w:r>
        <w:rPr>
          <w:rFonts w:hint="eastAsia" w:eastAsia="仿宋_GB2312" w:cs="仿宋_GB2312"/>
          <w:color w:val="auto"/>
          <w:sz w:val="32"/>
          <w:szCs w:val="32"/>
        </w:rPr>
        <w:t>%</w:t>
      </w:r>
      <w:r>
        <w:rPr>
          <w:rFonts w:hint="eastAsia" w:eastAsia="仿宋_GB2312" w:cs="仿宋_GB2312"/>
          <w:color w:val="auto"/>
          <w:sz w:val="32"/>
          <w:szCs w:val="32"/>
          <w:lang w:eastAsia="zh-CN"/>
        </w:rPr>
        <w:t>；</w:t>
      </w:r>
      <w:r>
        <w:rPr>
          <w:rFonts w:hint="eastAsia" w:eastAsia="仿宋_GB2312" w:cs="仿宋_GB2312"/>
          <w:color w:val="auto"/>
          <w:sz w:val="32"/>
          <w:szCs w:val="32"/>
        </w:rPr>
        <w:t>住房保障支出</w:t>
      </w:r>
      <w:r>
        <w:rPr>
          <w:rFonts w:hint="eastAsia" w:eastAsia="仿宋_GB2312" w:cs="仿宋_GB2312"/>
          <w:color w:val="auto"/>
          <w:sz w:val="32"/>
          <w:szCs w:val="32"/>
          <w:lang w:val="en-US" w:eastAsia="zh-CN"/>
        </w:rPr>
        <w:t>23.18</w:t>
      </w:r>
      <w:r>
        <w:rPr>
          <w:rFonts w:hint="eastAsia" w:eastAsia="仿宋_GB2312" w:cs="仿宋_GB2312"/>
          <w:color w:val="auto"/>
          <w:sz w:val="32"/>
          <w:szCs w:val="32"/>
        </w:rPr>
        <w:t>万元，占</w:t>
      </w:r>
      <w:r>
        <w:rPr>
          <w:rFonts w:hint="eastAsia" w:eastAsia="仿宋_GB2312" w:cs="仿宋_GB2312"/>
          <w:color w:val="auto"/>
          <w:sz w:val="32"/>
          <w:szCs w:val="32"/>
          <w:lang w:val="en-US" w:eastAsia="zh-CN"/>
        </w:rPr>
        <w:t>9.1</w:t>
      </w:r>
      <w:r>
        <w:rPr>
          <w:rFonts w:hint="eastAsia" w:eastAsia="仿宋_GB2312" w:cs="仿宋_GB2312"/>
          <w:color w:val="auto"/>
          <w:sz w:val="32"/>
          <w:szCs w:val="32"/>
        </w:rPr>
        <w:t>%</w:t>
      </w:r>
      <w:r>
        <w:rPr>
          <w:rFonts w:hint="eastAsia" w:eastAsia="仿宋_GB2312" w:cs="仿宋_GB2312"/>
          <w:color w:val="auto"/>
          <w:sz w:val="32"/>
          <w:szCs w:val="32"/>
          <w:lang w:eastAsia="zh-CN"/>
        </w:rPr>
        <w:t>。</w:t>
      </w:r>
    </w:p>
    <w:p w14:paraId="03AF01F3">
      <w:pPr>
        <w:spacing w:line="600" w:lineRule="exact"/>
        <w:ind w:firstLine="640"/>
        <w:rPr>
          <w:rFonts w:hint="eastAsia" w:eastAsia="仿宋_GB2312" w:cs="仿宋_GB2312"/>
          <w:sz w:val="32"/>
          <w:szCs w:val="32"/>
        </w:rPr>
      </w:pPr>
      <w:r>
        <w:drawing>
          <wp:anchor distT="0" distB="0" distL="114300" distR="114300" simplePos="0" relativeHeight="251664384" behindDoc="0" locked="0" layoutInCell="1" allowOverlap="1">
            <wp:simplePos x="0" y="0"/>
            <wp:positionH relativeFrom="column">
              <wp:posOffset>569595</wp:posOffset>
            </wp:positionH>
            <wp:positionV relativeFrom="paragraph">
              <wp:posOffset>177165</wp:posOffset>
            </wp:positionV>
            <wp:extent cx="4184015" cy="2125980"/>
            <wp:effectExtent l="4445" t="4445" r="12065" b="12700"/>
            <wp:wrapNone/>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449407E7">
      <w:pPr>
        <w:spacing w:line="600" w:lineRule="exact"/>
        <w:ind w:firstLine="640"/>
        <w:rPr>
          <w:rFonts w:hint="eastAsia" w:eastAsia="仿宋_GB2312" w:cs="仿宋_GB2312"/>
          <w:sz w:val="32"/>
          <w:szCs w:val="32"/>
        </w:rPr>
      </w:pPr>
    </w:p>
    <w:p w14:paraId="2D0A365A">
      <w:pPr>
        <w:spacing w:line="600" w:lineRule="exact"/>
        <w:ind w:firstLine="640"/>
        <w:rPr>
          <w:rFonts w:hint="eastAsia" w:eastAsia="仿宋_GB2312" w:cs="仿宋_GB2312"/>
          <w:sz w:val="32"/>
          <w:szCs w:val="32"/>
        </w:rPr>
      </w:pPr>
    </w:p>
    <w:p w14:paraId="1ECCB465">
      <w:pPr>
        <w:spacing w:line="600" w:lineRule="exact"/>
        <w:ind w:firstLine="640"/>
        <w:rPr>
          <w:rFonts w:hint="eastAsia" w:eastAsia="仿宋_GB2312" w:cs="仿宋_GB2312"/>
          <w:sz w:val="32"/>
          <w:szCs w:val="32"/>
        </w:rPr>
      </w:pPr>
    </w:p>
    <w:p w14:paraId="1304E4A0">
      <w:pPr>
        <w:spacing w:line="600" w:lineRule="exact"/>
        <w:ind w:firstLine="640"/>
        <w:rPr>
          <w:rFonts w:hint="eastAsia" w:eastAsia="仿宋_GB2312" w:cs="仿宋_GB2312"/>
          <w:sz w:val="32"/>
          <w:szCs w:val="32"/>
        </w:rPr>
      </w:pPr>
    </w:p>
    <w:p w14:paraId="42496783">
      <w:pPr>
        <w:spacing w:line="600" w:lineRule="exact"/>
        <w:ind w:firstLine="640"/>
        <w:rPr>
          <w:rFonts w:hint="eastAsia" w:eastAsia="仿宋_GB2312" w:cs="仿宋_GB2312"/>
          <w:sz w:val="32"/>
          <w:szCs w:val="32"/>
        </w:rPr>
      </w:pPr>
    </w:p>
    <w:p w14:paraId="2E6FAC37">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eastAsia="仿宋_GB2312" w:cs="仿宋_GB2312"/>
          <w:sz w:val="32"/>
          <w:szCs w:val="32"/>
          <w:lang w:val="en-US" w:eastAsia="zh-CN"/>
        </w:rPr>
      </w:pPr>
      <w:r>
        <w:rPr>
          <w:rFonts w:hint="eastAsia" w:eastAsia="仿宋_GB2312" w:cs="仿宋_GB2312"/>
          <w:sz w:val="32"/>
          <w:szCs w:val="32"/>
        </w:rPr>
        <w:t>图6：一般公共预算财政拨款支出决算结构</w:t>
      </w:r>
      <w:r>
        <w:rPr>
          <w:rFonts w:hint="eastAsia" w:eastAsia="仿宋_GB2312" w:cs="仿宋_GB2312"/>
          <w:sz w:val="32"/>
          <w:szCs w:val="32"/>
          <w:lang w:val="en-US" w:eastAsia="zh-CN"/>
        </w:rPr>
        <w:t xml:space="preserve"> </w:t>
      </w:r>
      <w:r>
        <w:rPr>
          <w:rFonts w:hint="eastAsia" w:eastAsia="仿宋_GB2312" w:cs="仿宋_GB2312"/>
          <w:sz w:val="32"/>
          <w:szCs w:val="32"/>
        </w:rPr>
        <w:t>（</w:t>
      </w:r>
      <w:r>
        <w:rPr>
          <w:rFonts w:hint="eastAsia" w:eastAsia="仿宋_GB2312" w:cs="仿宋_GB2312"/>
          <w:sz w:val="32"/>
          <w:szCs w:val="32"/>
          <w:lang w:eastAsia="zh-CN"/>
        </w:rPr>
        <w:t>单位：万元）</w:t>
      </w:r>
    </w:p>
    <w:p w14:paraId="0D1C255F">
      <w:pPr>
        <w:spacing w:line="600" w:lineRule="exact"/>
        <w:ind w:firstLine="643" w:firstLineChars="200"/>
        <w:outlineLvl w:val="2"/>
        <w:rPr>
          <w:rFonts w:eastAsia="楷体_GB2312" w:cs="楷体_GB2312"/>
          <w:b/>
          <w:color w:val="auto"/>
          <w:sz w:val="32"/>
          <w:szCs w:val="32"/>
        </w:rPr>
      </w:pPr>
      <w:bookmarkStart w:id="32" w:name="_Toc15377212"/>
      <w:r>
        <w:rPr>
          <w:rFonts w:hint="eastAsia" w:eastAsia="楷体_GB2312" w:cs="楷体_GB2312"/>
          <w:b/>
          <w:color w:val="auto"/>
          <w:sz w:val="32"/>
          <w:szCs w:val="32"/>
        </w:rPr>
        <w:t>（三）一般公共预算财政拨款支出决算具体情况</w:t>
      </w:r>
      <w:bookmarkEnd w:id="32"/>
    </w:p>
    <w:p w14:paraId="0086E3E3">
      <w:pPr>
        <w:spacing w:line="600" w:lineRule="exact"/>
        <w:ind w:firstLine="640"/>
        <w:rPr>
          <w:rFonts w:eastAsia="仿宋_GB2312" w:cs="仿宋_GB2312"/>
          <w:color w:val="auto"/>
          <w:sz w:val="32"/>
          <w:szCs w:val="32"/>
        </w:rPr>
      </w:pPr>
      <w:bookmarkStart w:id="33" w:name="_Toc15377444"/>
      <w:bookmarkStart w:id="34" w:name="_Toc15377213"/>
      <w:bookmarkStart w:id="35" w:name="_Toc15378460"/>
      <w:r>
        <w:rPr>
          <w:rFonts w:hint="eastAsia" w:eastAsia="仿宋_GB2312" w:cs="仿宋_GB2312"/>
          <w:color w:val="auto"/>
          <w:sz w:val="32"/>
          <w:szCs w:val="32"/>
        </w:rPr>
        <w:t>2025年度一般公共预算支出决算数为</w:t>
      </w:r>
      <w:r>
        <w:rPr>
          <w:rFonts w:hint="eastAsia" w:ascii="Times New Roman" w:hAnsi="Times New Roman" w:eastAsia="仿宋_GB2312" w:cs="仿宋_GB2312"/>
          <w:color w:val="auto"/>
          <w:sz w:val="32"/>
          <w:szCs w:val="32"/>
        </w:rPr>
        <w:t>25</w:t>
      </w:r>
      <w:r>
        <w:rPr>
          <w:rFonts w:hint="eastAsia" w:eastAsia="仿宋_GB2312" w:cs="仿宋_GB2312"/>
          <w:color w:val="auto"/>
          <w:sz w:val="32"/>
          <w:szCs w:val="32"/>
          <w:lang w:val="en-US" w:eastAsia="zh-CN"/>
        </w:rPr>
        <w:t>2.42</w:t>
      </w:r>
      <w:r>
        <w:rPr>
          <w:rFonts w:hint="eastAsia" w:ascii="Times New Roman" w:hAnsi="Times New Roman" w:eastAsia="仿宋_GB2312" w:cs="仿宋_GB2312"/>
          <w:color w:val="auto"/>
          <w:sz w:val="32"/>
          <w:szCs w:val="32"/>
          <w:lang w:eastAsia="zh-CN"/>
        </w:rPr>
        <w:t>万元</w:t>
      </w:r>
      <w:r>
        <w:rPr>
          <w:rFonts w:hint="eastAsia" w:eastAsia="仿宋_GB2312" w:cs="仿宋_GB2312"/>
          <w:color w:val="auto"/>
          <w:sz w:val="32"/>
          <w:szCs w:val="32"/>
        </w:rPr>
        <w:t>，完成预算</w:t>
      </w:r>
      <w:r>
        <w:rPr>
          <w:rFonts w:hint="eastAsia" w:eastAsia="仿宋_GB2312" w:cs="仿宋_GB2312"/>
          <w:color w:val="auto"/>
          <w:sz w:val="32"/>
          <w:szCs w:val="32"/>
          <w:lang w:val="en-US" w:eastAsia="zh-CN"/>
        </w:rPr>
        <w:t>100</w:t>
      </w:r>
      <w:r>
        <w:rPr>
          <w:rFonts w:hint="eastAsia" w:eastAsia="仿宋_GB2312" w:cs="仿宋_GB2312"/>
          <w:color w:val="auto"/>
          <w:sz w:val="32"/>
          <w:szCs w:val="32"/>
        </w:rPr>
        <w:t>%。其中：</w:t>
      </w:r>
      <w:bookmarkEnd w:id="33"/>
      <w:bookmarkEnd w:id="34"/>
      <w:bookmarkEnd w:id="35"/>
    </w:p>
    <w:p w14:paraId="1D047FE9">
      <w:pPr>
        <w:spacing w:line="600" w:lineRule="exact"/>
        <w:ind w:firstLine="640"/>
        <w:rPr>
          <w:rFonts w:eastAsia="仿宋_GB2312" w:cs="仿宋_GB2312"/>
          <w:color w:val="auto"/>
          <w:sz w:val="32"/>
          <w:szCs w:val="32"/>
        </w:rPr>
      </w:pPr>
      <w:r>
        <w:rPr>
          <w:rFonts w:hint="eastAsia" w:eastAsia="仿宋_GB2312" w:cs="仿宋_GB2312"/>
          <w:color w:val="auto"/>
          <w:sz w:val="32"/>
          <w:szCs w:val="32"/>
        </w:rPr>
        <w:t>1.社会保障和就业（类）人力资源和社会保障管理事务（款）其他人力资源和社会保障管理事务支出（项）:支出决算为</w:t>
      </w:r>
      <w:r>
        <w:rPr>
          <w:rFonts w:hint="eastAsia" w:eastAsia="仿宋_GB2312" w:cs="仿宋_GB2312"/>
          <w:color w:val="auto"/>
          <w:sz w:val="32"/>
          <w:szCs w:val="32"/>
          <w:lang w:val="en-US" w:eastAsia="zh-CN"/>
        </w:rPr>
        <w:t>8</w:t>
      </w:r>
      <w:r>
        <w:rPr>
          <w:rFonts w:hint="eastAsia" w:eastAsia="仿宋_GB2312" w:cs="仿宋_GB2312"/>
          <w:color w:val="auto"/>
          <w:sz w:val="32"/>
          <w:szCs w:val="32"/>
        </w:rPr>
        <w:t>万元，完成预算100%。</w:t>
      </w:r>
    </w:p>
    <w:p w14:paraId="67A997C0">
      <w:pPr>
        <w:spacing w:line="600" w:lineRule="exact"/>
        <w:ind w:firstLine="640"/>
        <w:rPr>
          <w:rFonts w:hint="eastAsia" w:eastAsia="仿宋_GB2312" w:cs="仿宋_GB2312"/>
          <w:color w:val="auto"/>
          <w:sz w:val="32"/>
          <w:szCs w:val="32"/>
        </w:rPr>
      </w:pPr>
      <w:r>
        <w:rPr>
          <w:rFonts w:hint="eastAsia" w:eastAsia="仿宋_GB2312" w:cs="仿宋_GB2312"/>
          <w:color w:val="auto"/>
          <w:sz w:val="32"/>
          <w:szCs w:val="32"/>
        </w:rPr>
        <w:t>2.社会保障和就业（类）行政事业单位养老支出（款）机关事业单位基本养老保险缴费支出（项）:支出决算为</w:t>
      </w:r>
      <w:r>
        <w:rPr>
          <w:rFonts w:hint="eastAsia" w:eastAsia="仿宋_GB2312" w:cs="仿宋_GB2312"/>
          <w:color w:val="auto"/>
          <w:sz w:val="32"/>
          <w:szCs w:val="32"/>
          <w:lang w:val="en-US" w:eastAsia="zh-CN"/>
        </w:rPr>
        <w:t>28.21</w:t>
      </w:r>
      <w:r>
        <w:rPr>
          <w:rFonts w:hint="eastAsia" w:eastAsia="仿宋_GB2312" w:cs="仿宋_GB2312"/>
          <w:color w:val="auto"/>
          <w:sz w:val="32"/>
          <w:szCs w:val="32"/>
        </w:rPr>
        <w:t>万元，完成预算100%。</w:t>
      </w:r>
    </w:p>
    <w:p w14:paraId="0CECA444">
      <w:pPr>
        <w:spacing w:line="600" w:lineRule="exact"/>
        <w:ind w:firstLine="640"/>
        <w:rPr>
          <w:rFonts w:hint="eastAsia" w:eastAsia="仿宋_GB2312" w:cs="仿宋_GB2312"/>
          <w:color w:val="auto"/>
          <w:sz w:val="32"/>
          <w:szCs w:val="32"/>
        </w:rPr>
      </w:pPr>
      <w:r>
        <w:rPr>
          <w:rFonts w:hint="eastAsia" w:eastAsia="仿宋_GB2312" w:cs="仿宋_GB2312"/>
          <w:color w:val="auto"/>
          <w:sz w:val="32"/>
          <w:szCs w:val="32"/>
        </w:rPr>
        <w:t>3.卫生健康支出（类）行政事业单位医疗（款）事业单位医疗（项）:支出决算为</w:t>
      </w:r>
      <w:r>
        <w:rPr>
          <w:rFonts w:hint="eastAsia" w:eastAsia="仿宋_GB2312" w:cs="仿宋_GB2312"/>
          <w:color w:val="auto"/>
          <w:sz w:val="32"/>
          <w:szCs w:val="32"/>
          <w:lang w:val="en-US" w:eastAsia="zh-CN"/>
        </w:rPr>
        <w:t>14.86</w:t>
      </w:r>
      <w:r>
        <w:rPr>
          <w:rFonts w:hint="eastAsia" w:eastAsia="仿宋_GB2312" w:cs="仿宋_GB2312"/>
          <w:color w:val="auto"/>
          <w:sz w:val="32"/>
          <w:szCs w:val="32"/>
        </w:rPr>
        <w:t>万元，完成预算100%。</w:t>
      </w:r>
    </w:p>
    <w:p w14:paraId="453995BA">
      <w:pPr>
        <w:spacing w:line="600" w:lineRule="exact"/>
        <w:ind w:firstLine="640"/>
        <w:rPr>
          <w:rFonts w:hint="eastAsia" w:eastAsia="仿宋_GB2312" w:cs="仿宋_GB2312"/>
          <w:color w:val="auto"/>
          <w:sz w:val="32"/>
          <w:szCs w:val="32"/>
        </w:rPr>
      </w:pPr>
      <w:r>
        <w:rPr>
          <w:rFonts w:hint="eastAsia" w:eastAsia="仿宋_GB2312" w:cs="仿宋_GB2312"/>
          <w:color w:val="auto"/>
          <w:sz w:val="32"/>
          <w:szCs w:val="32"/>
          <w:lang w:val="en-US" w:eastAsia="zh-CN"/>
        </w:rPr>
        <w:t>4</w:t>
      </w:r>
      <w:r>
        <w:rPr>
          <w:rFonts w:hint="eastAsia" w:eastAsia="仿宋_GB2312" w:cs="仿宋_GB2312"/>
          <w:color w:val="auto"/>
          <w:sz w:val="32"/>
          <w:szCs w:val="32"/>
        </w:rPr>
        <w:t>.卫生健康支出（类）行政事业单位医疗（款）公务员医疗补助（项）:支出决算为1.</w:t>
      </w:r>
      <w:r>
        <w:rPr>
          <w:rFonts w:hint="eastAsia" w:eastAsia="仿宋_GB2312" w:cs="仿宋_GB2312"/>
          <w:color w:val="auto"/>
          <w:sz w:val="32"/>
          <w:szCs w:val="32"/>
          <w:lang w:val="en-US" w:eastAsia="zh-CN"/>
        </w:rPr>
        <w:t>77</w:t>
      </w:r>
      <w:r>
        <w:rPr>
          <w:rFonts w:hint="eastAsia" w:eastAsia="仿宋_GB2312" w:cs="仿宋_GB2312"/>
          <w:color w:val="auto"/>
          <w:sz w:val="32"/>
          <w:szCs w:val="32"/>
        </w:rPr>
        <w:t>万元，完成预算100%。</w:t>
      </w:r>
    </w:p>
    <w:p w14:paraId="400CAB32">
      <w:pPr>
        <w:spacing w:line="600" w:lineRule="exact"/>
        <w:ind w:firstLine="640"/>
        <w:rPr>
          <w:rFonts w:hint="eastAsia" w:eastAsia="仿宋_GB2312" w:cs="仿宋_GB2312"/>
          <w:color w:val="auto"/>
          <w:sz w:val="32"/>
          <w:szCs w:val="32"/>
        </w:rPr>
      </w:pPr>
      <w:r>
        <w:rPr>
          <w:rFonts w:hint="eastAsia" w:eastAsia="仿宋_GB2312" w:cs="仿宋_GB2312"/>
          <w:color w:val="auto"/>
          <w:sz w:val="32"/>
          <w:szCs w:val="32"/>
          <w:lang w:val="en-US" w:eastAsia="zh-CN"/>
        </w:rPr>
        <w:t>5</w:t>
      </w:r>
      <w:r>
        <w:rPr>
          <w:rFonts w:hint="eastAsia" w:eastAsia="仿宋_GB2312" w:cs="仿宋_GB2312"/>
          <w:color w:val="auto"/>
          <w:sz w:val="32"/>
          <w:szCs w:val="32"/>
        </w:rPr>
        <w:t>.卫生健康支出（类）行政事业单位医疗（款）其他行政事业单位医疗支出（项）:支出决算为</w:t>
      </w:r>
      <w:r>
        <w:rPr>
          <w:rFonts w:hint="eastAsia" w:eastAsia="仿宋_GB2312" w:cs="仿宋_GB2312"/>
          <w:color w:val="auto"/>
          <w:sz w:val="32"/>
          <w:szCs w:val="32"/>
          <w:lang w:val="en-US" w:eastAsia="zh-CN"/>
        </w:rPr>
        <w:t>1.97</w:t>
      </w:r>
      <w:r>
        <w:rPr>
          <w:rFonts w:hint="eastAsia" w:eastAsia="仿宋_GB2312" w:cs="仿宋_GB2312"/>
          <w:color w:val="auto"/>
          <w:sz w:val="32"/>
          <w:szCs w:val="32"/>
        </w:rPr>
        <w:t xml:space="preserve">万元，完成预算100%。          </w:t>
      </w:r>
    </w:p>
    <w:p w14:paraId="200B7EDB">
      <w:pPr>
        <w:spacing w:line="600" w:lineRule="exact"/>
        <w:ind w:firstLine="640"/>
        <w:rPr>
          <w:rFonts w:hint="eastAsia" w:eastAsia="仿宋_GB2312" w:cs="仿宋_GB2312"/>
          <w:color w:val="auto"/>
          <w:sz w:val="32"/>
          <w:szCs w:val="32"/>
        </w:rPr>
      </w:pPr>
      <w:r>
        <w:rPr>
          <w:rFonts w:hint="eastAsia" w:eastAsia="仿宋_GB2312" w:cs="仿宋_GB2312"/>
          <w:color w:val="auto"/>
          <w:sz w:val="32"/>
          <w:szCs w:val="32"/>
          <w:lang w:val="en-US" w:eastAsia="zh-CN"/>
        </w:rPr>
        <w:t>6</w:t>
      </w:r>
      <w:r>
        <w:rPr>
          <w:rFonts w:hint="eastAsia" w:eastAsia="仿宋_GB2312" w:cs="仿宋_GB2312"/>
          <w:color w:val="auto"/>
          <w:sz w:val="32"/>
          <w:szCs w:val="32"/>
        </w:rPr>
        <w:t>.节能环保支出（类）环境保护管理事务（款）其他环境保护管理事务支出（项）:支出决算为</w:t>
      </w:r>
      <w:r>
        <w:rPr>
          <w:rFonts w:hint="eastAsia" w:eastAsia="仿宋_GB2312" w:cs="仿宋_GB2312"/>
          <w:color w:val="auto"/>
          <w:sz w:val="32"/>
          <w:szCs w:val="32"/>
          <w:lang w:val="en-US" w:eastAsia="zh-CN"/>
        </w:rPr>
        <w:t>163.44</w:t>
      </w:r>
      <w:r>
        <w:rPr>
          <w:rFonts w:hint="eastAsia" w:eastAsia="仿宋_GB2312" w:cs="仿宋_GB2312"/>
          <w:color w:val="auto"/>
          <w:sz w:val="32"/>
          <w:szCs w:val="32"/>
        </w:rPr>
        <w:t>万元，完成预算100%。</w:t>
      </w:r>
    </w:p>
    <w:p w14:paraId="377FEFF0">
      <w:pPr>
        <w:spacing w:line="600" w:lineRule="exact"/>
        <w:ind w:firstLine="640"/>
        <w:rPr>
          <w:rFonts w:hint="eastAsia" w:eastAsia="仿宋_GB2312" w:cs="仿宋_GB2312"/>
          <w:color w:val="auto"/>
          <w:sz w:val="32"/>
          <w:szCs w:val="32"/>
        </w:rPr>
      </w:pPr>
      <w:r>
        <w:rPr>
          <w:rFonts w:hint="eastAsia" w:eastAsia="仿宋_GB2312" w:cs="仿宋_GB2312"/>
          <w:color w:val="auto"/>
          <w:sz w:val="32"/>
          <w:szCs w:val="32"/>
          <w:lang w:val="en-US" w:eastAsia="zh-CN"/>
        </w:rPr>
        <w:t>7</w:t>
      </w:r>
      <w:r>
        <w:rPr>
          <w:rFonts w:hint="eastAsia" w:eastAsia="仿宋_GB2312" w:cs="仿宋_GB2312"/>
          <w:color w:val="auto"/>
          <w:sz w:val="32"/>
          <w:szCs w:val="32"/>
        </w:rPr>
        <w:t>.节能环保支出（类）污染防治（款）其他污染防治支出（项）:支出决算为</w:t>
      </w:r>
      <w:r>
        <w:rPr>
          <w:rFonts w:hint="eastAsia" w:eastAsia="仿宋_GB2312" w:cs="仿宋_GB2312"/>
          <w:color w:val="auto"/>
          <w:sz w:val="32"/>
          <w:szCs w:val="32"/>
          <w:lang w:val="en-US" w:eastAsia="zh-CN"/>
        </w:rPr>
        <w:t>10.99</w:t>
      </w:r>
      <w:r>
        <w:rPr>
          <w:rFonts w:hint="eastAsia" w:eastAsia="仿宋_GB2312" w:cs="仿宋_GB2312"/>
          <w:color w:val="auto"/>
          <w:sz w:val="32"/>
          <w:szCs w:val="32"/>
        </w:rPr>
        <w:t>万元，完成预算100%。</w:t>
      </w:r>
    </w:p>
    <w:p w14:paraId="53724B42">
      <w:pPr>
        <w:spacing w:line="600" w:lineRule="exact"/>
        <w:ind w:firstLine="640"/>
        <w:rPr>
          <w:rFonts w:eastAsia="仿宋_GB2312" w:cs="仿宋_GB2312"/>
          <w:color w:val="auto"/>
          <w:sz w:val="32"/>
          <w:szCs w:val="32"/>
        </w:rPr>
      </w:pPr>
      <w:r>
        <w:rPr>
          <w:rFonts w:hint="eastAsia" w:eastAsia="仿宋_GB2312" w:cs="仿宋_GB2312"/>
          <w:color w:val="auto"/>
          <w:sz w:val="32"/>
          <w:szCs w:val="32"/>
          <w:lang w:val="en-US" w:eastAsia="zh-CN"/>
        </w:rPr>
        <w:t>8.</w:t>
      </w:r>
      <w:r>
        <w:rPr>
          <w:rFonts w:hint="eastAsia" w:eastAsia="仿宋_GB2312" w:cs="仿宋_GB2312"/>
          <w:color w:val="auto"/>
          <w:sz w:val="32"/>
          <w:szCs w:val="32"/>
        </w:rPr>
        <w:t>住房保障支出（类）住房改革支出（款）住房公积金（项）:支出决算为</w:t>
      </w:r>
      <w:r>
        <w:rPr>
          <w:rFonts w:hint="eastAsia" w:eastAsia="仿宋_GB2312" w:cs="仿宋_GB2312"/>
          <w:color w:val="auto"/>
          <w:sz w:val="32"/>
          <w:szCs w:val="32"/>
          <w:lang w:val="en-US" w:eastAsia="zh-CN"/>
        </w:rPr>
        <w:t>23.18</w:t>
      </w:r>
      <w:r>
        <w:rPr>
          <w:rFonts w:hint="eastAsia" w:eastAsia="仿宋_GB2312" w:cs="仿宋_GB2312"/>
          <w:color w:val="auto"/>
          <w:sz w:val="32"/>
          <w:szCs w:val="32"/>
        </w:rPr>
        <w:t>万元，完成预算100%。</w:t>
      </w:r>
    </w:p>
    <w:p w14:paraId="6E29710E">
      <w:pPr>
        <w:tabs>
          <w:tab w:val="right" w:pos="8306"/>
        </w:tabs>
        <w:spacing w:line="600" w:lineRule="exact"/>
        <w:ind w:firstLine="640"/>
        <w:outlineLvl w:val="1"/>
        <w:rPr>
          <w:rStyle w:val="29"/>
          <w:rFonts w:ascii="Times New Roman" w:hAnsi="Times New Roman"/>
        </w:rPr>
      </w:pPr>
      <w:bookmarkStart w:id="36" w:name="_Toc15377214"/>
      <w:bookmarkStart w:id="37"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6"/>
      <w:bookmarkEnd w:id="37"/>
      <w:r>
        <w:rPr>
          <w:rStyle w:val="29"/>
          <w:rFonts w:ascii="Times New Roman" w:hAnsi="Times New Roman" w:eastAsia="黑体"/>
          <w:b w:val="0"/>
        </w:rPr>
        <w:tab/>
      </w:r>
    </w:p>
    <w:p w14:paraId="3BC9E0C9">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2025年度一般公共预算财政拨款基本支出241.42万元，其中：</w:t>
      </w:r>
    </w:p>
    <w:p w14:paraId="41DFE1B0">
      <w:pPr>
        <w:spacing w:line="600" w:lineRule="exact"/>
        <w:ind w:firstLine="640"/>
        <w:rPr>
          <w:rFonts w:eastAsia="仿宋_GB2312" w:cs="仿宋_GB2312"/>
          <w:sz w:val="32"/>
          <w:szCs w:val="32"/>
        </w:rPr>
      </w:pPr>
      <w:r>
        <w:rPr>
          <w:rFonts w:hint="eastAsia" w:eastAsia="仿宋_GB2312" w:cs="仿宋_GB2312"/>
          <w:sz w:val="32"/>
          <w:szCs w:val="32"/>
        </w:rPr>
        <w:t>人员经费233.42万元，主要包括：基本工资、津贴补贴、奖金、绩效工资、机关事业单位基本养老保险缴费、职业年金缴费、其他社会保障缴费、生活补助、医疗费补助、奖励金、住房公积金等。</w:t>
      </w:r>
      <w:r>
        <w:rPr>
          <w:rFonts w:hint="eastAsia" w:eastAsia="仿宋_GB2312" w:cs="仿宋_GB2312"/>
          <w:sz w:val="32"/>
          <w:szCs w:val="32"/>
        </w:rPr>
        <w:br w:type="textWrapping"/>
      </w:r>
      <w:r>
        <w:rPr>
          <w:rFonts w:hint="eastAsia" w:eastAsia="仿宋_GB2312" w:cs="仿宋_GB2312"/>
          <w:sz w:val="32"/>
          <w:szCs w:val="32"/>
        </w:rPr>
        <w:t>　　公用经费8万元，主要包括：办公费、水费、电费、邮电费、差旅费、维修（护）费、培训费、公务接待费、工会经费、福利费等。</w:t>
      </w:r>
    </w:p>
    <w:p w14:paraId="2EE7850B">
      <w:pPr>
        <w:spacing w:line="600" w:lineRule="exact"/>
        <w:ind w:firstLine="640"/>
        <w:outlineLvl w:val="1"/>
        <w:rPr>
          <w:rStyle w:val="29"/>
          <w:rFonts w:ascii="Times New Roman" w:hAnsi="Times New Roman" w:eastAsia="黑体"/>
          <w:b w:val="0"/>
        </w:rPr>
      </w:pPr>
      <w:bookmarkStart w:id="38" w:name="_Toc15377215"/>
      <w:bookmarkStart w:id="39" w:name="_Toc15396609"/>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8"/>
      <w:bookmarkEnd w:id="39"/>
    </w:p>
    <w:p w14:paraId="72AA4C01">
      <w:pPr>
        <w:spacing w:line="600" w:lineRule="exact"/>
        <w:ind w:firstLine="643" w:firstLineChars="200"/>
        <w:outlineLvl w:val="2"/>
        <w:rPr>
          <w:rFonts w:eastAsia="楷体_GB2312" w:cs="楷体_GB2312"/>
          <w:b/>
          <w:sz w:val="32"/>
          <w:szCs w:val="32"/>
        </w:rPr>
      </w:pPr>
      <w:bookmarkStart w:id="40" w:name="_Toc15377216"/>
      <w:r>
        <w:rPr>
          <w:rFonts w:hint="eastAsia" w:eastAsia="楷体_GB2312" w:cs="楷体_GB2312"/>
          <w:b/>
          <w:sz w:val="32"/>
          <w:szCs w:val="32"/>
        </w:rPr>
        <w:t>（一）财政拨款“三公”经费支出决算总体情况说明</w:t>
      </w:r>
      <w:bookmarkEnd w:id="40"/>
    </w:p>
    <w:p w14:paraId="32ADDA0E">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2025年度财政拨款“三公”经费支出决算为1.04万元，完成预算</w:t>
      </w:r>
      <w:r>
        <w:rPr>
          <w:rFonts w:hint="eastAsia" w:eastAsia="仿宋_GB2312" w:cs="仿宋_GB2312"/>
          <w:sz w:val="32"/>
          <w:szCs w:val="32"/>
          <w:lang w:val="en-US" w:eastAsia="zh-CN"/>
        </w:rPr>
        <w:t>100</w:t>
      </w:r>
      <w:r>
        <w:rPr>
          <w:rFonts w:hint="eastAsia" w:eastAsia="仿宋_GB2312" w:cs="仿宋_GB2312"/>
          <w:sz w:val="32"/>
          <w:szCs w:val="32"/>
        </w:rPr>
        <w:t>%，较上年度</w:t>
      </w:r>
      <w:r>
        <w:rPr>
          <w:rFonts w:hint="eastAsia" w:eastAsia="仿宋_GB2312" w:cs="仿宋_GB2312"/>
          <w:sz w:val="32"/>
          <w:szCs w:val="32"/>
          <w:lang w:eastAsia="zh-CN"/>
        </w:rPr>
        <w:t>增加</w:t>
      </w:r>
      <w:r>
        <w:rPr>
          <w:rFonts w:hint="eastAsia" w:eastAsia="仿宋_GB2312" w:cs="仿宋_GB2312"/>
          <w:sz w:val="32"/>
          <w:szCs w:val="32"/>
          <w:lang w:val="en-US" w:eastAsia="zh-CN"/>
        </w:rPr>
        <w:t>0.19</w:t>
      </w:r>
      <w:r>
        <w:rPr>
          <w:rFonts w:hint="eastAsia" w:eastAsia="仿宋_GB2312" w:cs="仿宋_GB2312"/>
          <w:sz w:val="32"/>
          <w:szCs w:val="32"/>
        </w:rPr>
        <w:t>万元，</w:t>
      </w:r>
      <w:r>
        <w:rPr>
          <w:rFonts w:hint="eastAsia" w:eastAsia="仿宋_GB2312" w:cs="仿宋_GB2312"/>
          <w:sz w:val="32"/>
          <w:szCs w:val="32"/>
          <w:lang w:eastAsia="zh-CN"/>
        </w:rPr>
        <w:t>增加</w:t>
      </w:r>
      <w:r>
        <w:rPr>
          <w:rFonts w:hint="eastAsia" w:eastAsia="仿宋_GB2312" w:cs="仿宋_GB2312"/>
          <w:sz w:val="32"/>
          <w:szCs w:val="32"/>
          <w:lang w:val="en-US" w:eastAsia="zh-CN"/>
        </w:rPr>
        <w:t>22.4</w:t>
      </w:r>
      <w:r>
        <w:rPr>
          <w:rFonts w:hint="eastAsia" w:eastAsia="仿宋_GB2312" w:cs="仿宋_GB2312"/>
          <w:sz w:val="32"/>
          <w:szCs w:val="32"/>
        </w:rPr>
        <w:t>%。决算数与预算数持平</w:t>
      </w:r>
      <w:r>
        <w:rPr>
          <w:rFonts w:hint="eastAsia" w:eastAsia="仿宋_GB2312" w:cs="仿宋_GB2312"/>
          <w:sz w:val="32"/>
          <w:szCs w:val="32"/>
          <w:lang w:eastAsia="zh-CN"/>
        </w:rPr>
        <w:t>。</w:t>
      </w:r>
    </w:p>
    <w:p w14:paraId="5F7DF088">
      <w:pPr>
        <w:spacing w:line="600" w:lineRule="exact"/>
        <w:ind w:firstLine="643" w:firstLineChars="200"/>
        <w:outlineLvl w:val="2"/>
        <w:rPr>
          <w:rFonts w:eastAsia="楷体_GB2312" w:cs="楷体_GB2312"/>
          <w:b/>
          <w:sz w:val="32"/>
          <w:szCs w:val="32"/>
        </w:rPr>
      </w:pPr>
      <w:bookmarkStart w:id="41" w:name="_Toc15377217"/>
      <w:r>
        <w:rPr>
          <w:rFonts w:hint="eastAsia" w:eastAsia="楷体_GB2312" w:cs="楷体_GB2312"/>
          <w:b/>
          <w:sz w:val="32"/>
          <w:szCs w:val="32"/>
        </w:rPr>
        <w:t>（二）财政拨款“三公”经费支出决算具体情况说明</w:t>
      </w:r>
      <w:bookmarkEnd w:id="41"/>
    </w:p>
    <w:p w14:paraId="67610033">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0.98</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%；公务接待费支出决算</w:t>
      </w:r>
      <w:r>
        <w:rPr>
          <w:rFonts w:hint="eastAsia" w:eastAsia="仿宋_GB2312" w:cs="仿宋_GB2312"/>
          <w:sz w:val="32"/>
          <w:szCs w:val="32"/>
          <w:lang w:val="en-US" w:eastAsia="zh-CN"/>
        </w:rPr>
        <w:t>0.06</w:t>
      </w:r>
      <w:r>
        <w:rPr>
          <w:rFonts w:hint="eastAsia" w:eastAsia="仿宋_GB2312" w:cs="仿宋_GB2312"/>
          <w:sz w:val="32"/>
          <w:szCs w:val="32"/>
        </w:rPr>
        <w:t>万元，占</w:t>
      </w:r>
      <w:r>
        <w:rPr>
          <w:rFonts w:hint="eastAsia" w:eastAsia="仿宋_GB2312" w:cs="仿宋_GB2312"/>
          <w:sz w:val="32"/>
          <w:szCs w:val="32"/>
          <w:lang w:val="en-US" w:eastAsia="zh-CN"/>
        </w:rPr>
        <w:t>100</w:t>
      </w:r>
      <w:r>
        <w:rPr>
          <w:rFonts w:hint="eastAsia" w:eastAsia="仿宋_GB2312" w:cs="仿宋_GB2312"/>
          <w:sz w:val="32"/>
          <w:szCs w:val="32"/>
        </w:rPr>
        <w:t>%。具体情况如下：</w:t>
      </w:r>
    </w:p>
    <w:p w14:paraId="7D841750">
      <w:pPr>
        <w:spacing w:line="600" w:lineRule="exact"/>
        <w:ind w:firstLine="640"/>
        <w:rPr>
          <w:rFonts w:hint="eastAsia" w:eastAsia="仿宋_GB2312" w:cs="仿宋_GB2312"/>
          <w:sz w:val="32"/>
          <w:szCs w:val="32"/>
          <w:lang w:eastAsia="zh-CN"/>
        </w:rPr>
      </w:pPr>
      <w:r>
        <w:drawing>
          <wp:anchor distT="0" distB="0" distL="114300" distR="114300" simplePos="0" relativeHeight="251665408" behindDoc="0" locked="0" layoutInCell="1" allowOverlap="1">
            <wp:simplePos x="0" y="0"/>
            <wp:positionH relativeFrom="column">
              <wp:posOffset>676910</wp:posOffset>
            </wp:positionH>
            <wp:positionV relativeFrom="paragraph">
              <wp:posOffset>271145</wp:posOffset>
            </wp:positionV>
            <wp:extent cx="3977640" cy="2276475"/>
            <wp:effectExtent l="4445" t="4445" r="12700" b="16510"/>
            <wp:wrapNone/>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4ECA871F">
      <w:pPr>
        <w:spacing w:line="600" w:lineRule="exact"/>
        <w:ind w:firstLine="640"/>
        <w:rPr>
          <w:rFonts w:hint="eastAsia" w:eastAsia="仿宋_GB2312" w:cs="仿宋_GB2312"/>
          <w:sz w:val="32"/>
          <w:szCs w:val="32"/>
          <w:lang w:eastAsia="zh-CN"/>
        </w:rPr>
      </w:pPr>
    </w:p>
    <w:p w14:paraId="5174C882">
      <w:pPr>
        <w:spacing w:line="600" w:lineRule="exact"/>
        <w:ind w:firstLine="640"/>
        <w:rPr>
          <w:rFonts w:hint="eastAsia" w:eastAsia="仿宋_GB2312" w:cs="仿宋_GB2312"/>
          <w:sz w:val="32"/>
          <w:szCs w:val="32"/>
          <w:lang w:eastAsia="zh-CN"/>
        </w:rPr>
      </w:pPr>
    </w:p>
    <w:p w14:paraId="3D7F1A7D">
      <w:pPr>
        <w:spacing w:line="600" w:lineRule="exact"/>
        <w:ind w:firstLine="640"/>
        <w:rPr>
          <w:rFonts w:hint="eastAsia" w:eastAsia="仿宋_GB2312" w:cs="仿宋_GB2312"/>
          <w:sz w:val="32"/>
          <w:szCs w:val="32"/>
          <w:lang w:eastAsia="zh-CN"/>
        </w:rPr>
      </w:pPr>
    </w:p>
    <w:p w14:paraId="3F666937">
      <w:pPr>
        <w:spacing w:line="600" w:lineRule="exact"/>
        <w:ind w:firstLine="640"/>
        <w:rPr>
          <w:rFonts w:hint="eastAsia" w:eastAsia="仿宋_GB2312" w:cs="仿宋_GB2312"/>
          <w:sz w:val="32"/>
          <w:szCs w:val="32"/>
          <w:lang w:eastAsia="zh-CN"/>
        </w:rPr>
      </w:pPr>
    </w:p>
    <w:p w14:paraId="7E4F0ABE">
      <w:pPr>
        <w:spacing w:line="600" w:lineRule="exact"/>
        <w:ind w:firstLine="640"/>
        <w:rPr>
          <w:rFonts w:hint="eastAsia" w:eastAsia="仿宋_GB2312" w:cs="仿宋_GB2312"/>
          <w:sz w:val="32"/>
          <w:szCs w:val="32"/>
          <w:lang w:eastAsia="zh-CN"/>
        </w:rPr>
      </w:pPr>
    </w:p>
    <w:p w14:paraId="5F0AC659">
      <w:pPr>
        <w:spacing w:line="600" w:lineRule="exact"/>
        <w:ind w:firstLine="640"/>
        <w:rPr>
          <w:rFonts w:hint="eastAsia" w:eastAsia="仿宋_GB2312" w:cs="仿宋_GB2312"/>
          <w:sz w:val="32"/>
          <w:szCs w:val="32"/>
          <w:lang w:eastAsia="zh-CN"/>
        </w:rPr>
      </w:pPr>
    </w:p>
    <w:p w14:paraId="3E94A32C">
      <w:pPr>
        <w:spacing w:line="600" w:lineRule="exact"/>
        <w:ind w:firstLine="640"/>
        <w:rPr>
          <w:rFonts w:eastAsia="仿宋_GB2312" w:cs="仿宋_GB2312"/>
          <w:sz w:val="32"/>
          <w:szCs w:val="32"/>
        </w:rPr>
      </w:pPr>
      <w:r>
        <w:rPr>
          <w:rFonts w:hint="eastAsia" w:eastAsia="仿宋_GB2312" w:cs="仿宋_GB2312"/>
          <w:sz w:val="32"/>
          <w:szCs w:val="32"/>
          <w:lang w:val="en-US" w:eastAsia="zh-CN"/>
        </w:rPr>
        <w:t xml:space="preserve"> </w:t>
      </w:r>
      <w:r>
        <w:rPr>
          <w:rFonts w:hint="eastAsia" w:eastAsia="仿宋_GB2312" w:cs="仿宋_GB2312"/>
          <w:sz w:val="32"/>
          <w:szCs w:val="32"/>
        </w:rPr>
        <w:t>图7：财政拨款“三公”经费支出结构</w:t>
      </w:r>
      <w:r>
        <w:rPr>
          <w:rFonts w:hint="eastAsia" w:eastAsia="仿宋_GB2312" w:cs="仿宋_GB2312"/>
          <w:sz w:val="32"/>
          <w:szCs w:val="32"/>
          <w:lang w:val="en-US" w:eastAsia="zh-CN"/>
        </w:rPr>
        <w:t xml:space="preserve"> </w:t>
      </w:r>
      <w:r>
        <w:rPr>
          <w:rFonts w:hint="eastAsia" w:eastAsia="仿宋_GB2312" w:cs="仿宋_GB2312"/>
          <w:sz w:val="32"/>
          <w:szCs w:val="32"/>
        </w:rPr>
        <w:t>（</w:t>
      </w:r>
      <w:r>
        <w:rPr>
          <w:rFonts w:hint="eastAsia" w:eastAsia="仿宋_GB2312" w:cs="仿宋_GB2312"/>
          <w:sz w:val="32"/>
          <w:szCs w:val="32"/>
          <w:lang w:eastAsia="zh-CN"/>
        </w:rPr>
        <w:t>单位：万元</w:t>
      </w:r>
      <w:r>
        <w:rPr>
          <w:rFonts w:hint="eastAsia" w:eastAsia="仿宋_GB2312" w:cs="仿宋_GB2312"/>
          <w:sz w:val="32"/>
          <w:szCs w:val="32"/>
        </w:rPr>
        <w:t>）</w:t>
      </w:r>
    </w:p>
    <w:p w14:paraId="7EEF80DA">
      <w:pPr>
        <w:spacing w:line="600" w:lineRule="exact"/>
        <w:ind w:firstLine="640"/>
        <w:rPr>
          <w:rFonts w:hint="eastAsia"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人。因公出国（境）支出决算与202</w:t>
      </w:r>
      <w:r>
        <w:rPr>
          <w:rFonts w:hint="eastAsia" w:eastAsia="仿宋_GB2312" w:cs="仿宋_GB2312"/>
          <w:sz w:val="32"/>
          <w:szCs w:val="32"/>
          <w:lang w:val="en-US" w:eastAsia="zh-CN"/>
        </w:rPr>
        <w:t>4</w:t>
      </w:r>
      <w:r>
        <w:rPr>
          <w:rFonts w:hint="eastAsia" w:eastAsia="仿宋_GB2312" w:cs="仿宋_GB2312"/>
          <w:sz w:val="32"/>
          <w:szCs w:val="32"/>
        </w:rPr>
        <w:t>年</w:t>
      </w:r>
      <w:r>
        <w:rPr>
          <w:rFonts w:hint="eastAsia" w:eastAsia="仿宋_GB2312" w:cs="仿宋_GB2312"/>
          <w:sz w:val="32"/>
          <w:szCs w:val="32"/>
          <w:lang w:eastAsia="zh-CN"/>
        </w:rPr>
        <w:t>度</w:t>
      </w:r>
      <w:r>
        <w:rPr>
          <w:rFonts w:hint="eastAsia" w:eastAsia="仿宋_GB2312" w:cs="仿宋_GB2312"/>
          <w:sz w:val="32"/>
          <w:szCs w:val="32"/>
        </w:rPr>
        <w:t>持平，主要原因是</w:t>
      </w:r>
      <w:r>
        <w:rPr>
          <w:rFonts w:hint="eastAsia" w:eastAsia="仿宋_GB2312" w:cs="仿宋_GB2312"/>
          <w:sz w:val="32"/>
          <w:szCs w:val="32"/>
          <w:lang w:eastAsia="zh-CN"/>
        </w:rPr>
        <w:t>未安排</w:t>
      </w:r>
      <w:r>
        <w:rPr>
          <w:rFonts w:hint="eastAsia" w:eastAsia="仿宋_GB2312" w:cs="仿宋_GB2312"/>
          <w:sz w:val="32"/>
          <w:szCs w:val="32"/>
        </w:rPr>
        <w:t>因公出国</w:t>
      </w:r>
      <w:r>
        <w:rPr>
          <w:rFonts w:hint="eastAsia" w:eastAsia="仿宋_GB2312" w:cs="仿宋_GB2312"/>
          <w:sz w:val="32"/>
          <w:szCs w:val="32"/>
          <w:lang w:eastAsia="zh-CN"/>
        </w:rPr>
        <w:t>（</w:t>
      </w:r>
      <w:r>
        <w:rPr>
          <w:rFonts w:hint="eastAsia" w:eastAsia="仿宋_GB2312" w:cs="仿宋_GB2312"/>
          <w:sz w:val="32"/>
          <w:szCs w:val="32"/>
        </w:rPr>
        <w:t>境</w:t>
      </w:r>
      <w:r>
        <w:rPr>
          <w:rFonts w:hint="eastAsia" w:eastAsia="仿宋_GB2312" w:cs="仿宋_GB2312"/>
          <w:sz w:val="32"/>
          <w:szCs w:val="32"/>
          <w:lang w:eastAsia="zh-CN"/>
        </w:rPr>
        <w:t>）费用</w:t>
      </w:r>
      <w:r>
        <w:rPr>
          <w:rFonts w:hint="eastAsia" w:eastAsia="仿宋_GB2312" w:cs="仿宋_GB2312"/>
          <w:sz w:val="32"/>
          <w:szCs w:val="32"/>
        </w:rPr>
        <w:t>。</w:t>
      </w:r>
    </w:p>
    <w:p w14:paraId="2F1331DD">
      <w:pPr>
        <w:spacing w:line="600" w:lineRule="exact"/>
        <w:ind w:firstLine="640"/>
        <w:rPr>
          <w:rFonts w:hint="eastAsia" w:ascii="Times New Roman" w:hAnsi="Times New Roman" w:eastAsia="仿宋_GB2312" w:cs="仿宋_GB2312"/>
          <w:sz w:val="32"/>
          <w:szCs w:val="32"/>
          <w:lang w:val="en-US" w:eastAsia="zh-CN"/>
        </w:rPr>
      </w:pPr>
      <w:bookmarkStart w:id="42" w:name="_Toc15377218"/>
      <w:bookmarkStart w:id="43" w:name="_Toc15396610"/>
      <w:r>
        <w:rPr>
          <w:rFonts w:hint="eastAsia" w:ascii="Times New Roman" w:hAnsi="Times New Roman" w:eastAsia="仿宋_GB2312" w:cs="仿宋_GB2312"/>
          <w:b/>
          <w:bCs/>
          <w:sz w:val="32"/>
          <w:szCs w:val="32"/>
          <w:lang w:val="en-US" w:eastAsia="zh-CN"/>
        </w:rPr>
        <w:t>2.公务用车购置及运行维护费支出0.98万元，完成预算100%。</w:t>
      </w:r>
      <w:r>
        <w:rPr>
          <w:rFonts w:hint="eastAsia" w:ascii="Times New Roman" w:hAnsi="Times New Roman" w:eastAsia="仿宋_GB2312" w:cs="仿宋_GB2312"/>
          <w:sz w:val="32"/>
          <w:szCs w:val="32"/>
          <w:lang w:val="en-US" w:eastAsia="zh-CN"/>
        </w:rPr>
        <w:t>公务用车购置及运行维护费支出决算比上年度增加0.17万元，增长</w:t>
      </w:r>
      <w:r>
        <w:rPr>
          <w:rFonts w:hint="eastAsia" w:eastAsia="仿宋_GB2312" w:cs="仿宋_GB2312"/>
          <w:sz w:val="32"/>
          <w:szCs w:val="32"/>
          <w:lang w:val="en-US" w:eastAsia="zh-CN"/>
        </w:rPr>
        <w:t>21</w:t>
      </w:r>
      <w:r>
        <w:rPr>
          <w:rFonts w:hint="eastAsia" w:ascii="Times New Roman" w:hAnsi="Times New Roman" w:eastAsia="仿宋_GB2312" w:cs="仿宋_GB2312"/>
          <w:sz w:val="32"/>
          <w:szCs w:val="32"/>
          <w:lang w:val="en-US" w:eastAsia="zh-CN"/>
        </w:rPr>
        <w:t>%。主要原因是公务用车运行维护费用</w:t>
      </w:r>
      <w:r>
        <w:rPr>
          <w:rFonts w:hint="eastAsia" w:eastAsia="仿宋_GB2312" w:cs="仿宋_GB2312"/>
          <w:sz w:val="32"/>
          <w:szCs w:val="32"/>
          <w:lang w:val="en-US" w:eastAsia="zh-CN"/>
        </w:rPr>
        <w:t>有所</w:t>
      </w:r>
      <w:r>
        <w:rPr>
          <w:rFonts w:hint="eastAsia" w:ascii="Times New Roman" w:hAnsi="Times New Roman" w:eastAsia="仿宋_GB2312" w:cs="仿宋_GB2312"/>
          <w:sz w:val="32"/>
          <w:szCs w:val="32"/>
          <w:lang w:val="en-US" w:eastAsia="zh-CN"/>
        </w:rPr>
        <w:t>增加。</w:t>
      </w:r>
    </w:p>
    <w:p w14:paraId="2D3330A4">
      <w:pPr>
        <w:spacing w:line="600" w:lineRule="exact"/>
        <w:ind w:firstLine="64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其中：公务用车购置支出0万元。全年按规定更新购置公务用车0辆，其中：轿车0辆、金额0万元，越野车0辆、金额0万元，载客汽车0辆、金额0万元。截至2025年12月31日，单位共有公务用车1辆，其中：轿车0辆、越野车1辆、载客汽车0辆。</w:t>
      </w:r>
    </w:p>
    <w:p w14:paraId="1EC4109F">
      <w:pPr>
        <w:spacing w:line="600" w:lineRule="exact"/>
        <w:ind w:firstLine="64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公务用车运行维护费支出0.98万元。主要用于生态环境监测业务所需的公务用车燃料费、维修费、过路过桥费、保险费等支出。</w:t>
      </w:r>
    </w:p>
    <w:p w14:paraId="0C4CD00B">
      <w:pPr>
        <w:spacing w:line="600" w:lineRule="exact"/>
        <w:ind w:firstLine="64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3.公务接待费支出0.06万元，完成预算100%。</w:t>
      </w:r>
      <w:r>
        <w:rPr>
          <w:rFonts w:hint="eastAsia" w:ascii="Times New Roman" w:hAnsi="Times New Roman" w:eastAsia="仿宋_GB2312" w:cs="仿宋_GB2312"/>
          <w:sz w:val="32"/>
          <w:szCs w:val="32"/>
          <w:lang w:val="en-US" w:eastAsia="zh-CN"/>
        </w:rPr>
        <w:t>公务接待费支出决算比上年度增加0.02万元，增长50%。主要原因是接待用餐标准有所提高。其中：</w:t>
      </w:r>
    </w:p>
    <w:p w14:paraId="3A3FCC67">
      <w:pPr>
        <w:spacing w:line="600" w:lineRule="exact"/>
        <w:ind w:firstLine="64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国内公务接待支出</w:t>
      </w:r>
      <w:r>
        <w:rPr>
          <w:rFonts w:hint="eastAsia" w:ascii="Times New Roman" w:hAnsi="Times New Roman" w:eastAsia="仿宋_GB2312" w:cs="仿宋_GB2312"/>
          <w:sz w:val="32"/>
          <w:szCs w:val="32"/>
        </w:rPr>
        <w:t>0.06</w:t>
      </w:r>
      <w:r>
        <w:rPr>
          <w:rFonts w:hint="eastAsia" w:ascii="Times New Roman" w:hAnsi="Times New Roman" w:eastAsia="仿宋_GB2312" w:cs="仿宋_GB2312"/>
          <w:sz w:val="32"/>
          <w:szCs w:val="32"/>
          <w:lang w:val="en-US" w:eastAsia="zh-CN"/>
        </w:rPr>
        <w:t>万元，</w:t>
      </w:r>
      <w:r>
        <w:rPr>
          <w:rFonts w:hint="eastAsia" w:eastAsia="仿宋_GB2312" w:cs="仿宋_GB2312"/>
          <w:sz w:val="32"/>
          <w:szCs w:val="32"/>
          <w:lang w:val="en-US" w:eastAsia="zh-CN"/>
        </w:rPr>
        <w:t>用</w:t>
      </w:r>
      <w:r>
        <w:rPr>
          <w:rFonts w:hint="eastAsia" w:ascii="Times New Roman" w:hAnsi="Times New Roman" w:eastAsia="仿宋_GB2312" w:cs="仿宋_GB2312"/>
          <w:sz w:val="32"/>
          <w:szCs w:val="32"/>
          <w:lang w:val="en-US" w:eastAsia="zh-CN"/>
        </w:rPr>
        <w:t>于执行公务、开展业务活动产生的用餐费。国内公务接待</w:t>
      </w: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批次，2人次（不包括陪同人员），共计支出0.06万元，具体内容为持证上岗考核接待</w:t>
      </w:r>
      <w:r>
        <w:rPr>
          <w:rFonts w:hint="eastAsia" w:eastAsia="仿宋_GB2312" w:cs="仿宋_GB2312"/>
          <w:sz w:val="32"/>
          <w:szCs w:val="32"/>
          <w:lang w:val="en-US" w:eastAsia="zh-CN"/>
        </w:rPr>
        <w:t>费</w:t>
      </w:r>
      <w:r>
        <w:rPr>
          <w:rFonts w:hint="eastAsia" w:ascii="Times New Roman" w:hAnsi="Times New Roman" w:eastAsia="仿宋_GB2312" w:cs="仿宋_GB2312"/>
          <w:sz w:val="32"/>
          <w:szCs w:val="32"/>
          <w:lang w:val="en-US" w:eastAsia="zh-CN"/>
        </w:rPr>
        <w:t>640元。</w:t>
      </w:r>
    </w:p>
    <w:p w14:paraId="2AB9BE33">
      <w:pPr>
        <w:spacing w:line="600" w:lineRule="exact"/>
        <w:ind w:firstLine="64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外事接待支出</w:t>
      </w:r>
      <w:r>
        <w:rPr>
          <w:rFonts w:hint="eastAsia" w:ascii="Times New Roman" w:hAnsi="Times New Roman" w:eastAsia="仿宋_GB2312" w:cs="仿宋_GB2312"/>
          <w:sz w:val="32"/>
          <w:szCs w:val="32"/>
        </w:rPr>
        <w:t>0</w:t>
      </w:r>
      <w:r>
        <w:rPr>
          <w:rFonts w:hint="eastAsia" w:ascii="Times New Roman" w:hAnsi="Times New Roman" w:eastAsia="仿宋_GB2312" w:cs="仿宋_GB2312"/>
          <w:sz w:val="32"/>
          <w:szCs w:val="32"/>
          <w:lang w:val="en-US" w:eastAsia="zh-CN"/>
        </w:rPr>
        <w:t>万元。外事接待</w:t>
      </w:r>
      <w:r>
        <w:rPr>
          <w:rFonts w:hint="eastAsia" w:ascii="Times New Roman" w:hAnsi="Times New Roman" w:eastAsia="仿宋_GB2312" w:cs="仿宋_GB2312"/>
          <w:sz w:val="32"/>
          <w:szCs w:val="32"/>
        </w:rPr>
        <w:t>0</w:t>
      </w:r>
      <w:r>
        <w:rPr>
          <w:rFonts w:hint="eastAsia" w:ascii="Times New Roman" w:hAnsi="Times New Roman" w:eastAsia="仿宋_GB2312" w:cs="仿宋_GB2312"/>
          <w:sz w:val="32"/>
          <w:szCs w:val="32"/>
          <w:lang w:val="en-US" w:eastAsia="zh-CN"/>
        </w:rPr>
        <w:t>批次，</w:t>
      </w:r>
      <w:r>
        <w:rPr>
          <w:rFonts w:hint="eastAsia" w:ascii="Times New Roman" w:hAnsi="Times New Roman" w:eastAsia="仿宋_GB2312" w:cs="仿宋_GB2312"/>
          <w:sz w:val="32"/>
          <w:szCs w:val="32"/>
        </w:rPr>
        <w:t>0</w:t>
      </w:r>
      <w:r>
        <w:rPr>
          <w:rFonts w:hint="eastAsia" w:ascii="Times New Roman" w:hAnsi="Times New Roman" w:eastAsia="仿宋_GB2312" w:cs="仿宋_GB2312"/>
          <w:sz w:val="32"/>
          <w:szCs w:val="32"/>
          <w:lang w:val="en-US" w:eastAsia="zh-CN"/>
        </w:rPr>
        <w:t>人次（不包括陪同人员），共计支出0万元。</w:t>
      </w:r>
    </w:p>
    <w:p w14:paraId="723C0F84">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2"/>
      <w:bookmarkEnd w:id="43"/>
    </w:p>
    <w:p w14:paraId="52E2B540">
      <w:pPr>
        <w:spacing w:line="600" w:lineRule="exact"/>
        <w:ind w:firstLine="640"/>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%。与上年度相比，政府性基金预算财政拨款支出</w:t>
      </w:r>
      <w:r>
        <w:rPr>
          <w:rFonts w:hint="eastAsia" w:eastAsia="仿宋_GB2312" w:cs="仿宋_GB2312"/>
          <w:sz w:val="32"/>
          <w:szCs w:val="32"/>
          <w:lang w:eastAsia="zh-CN"/>
        </w:rPr>
        <w:t>持平。</w:t>
      </w:r>
    </w:p>
    <w:p w14:paraId="3AC21CE2">
      <w:pPr>
        <w:spacing w:line="600" w:lineRule="exact"/>
        <w:ind w:left="630"/>
        <w:outlineLvl w:val="1"/>
        <w:rPr>
          <w:rStyle w:val="29"/>
          <w:rFonts w:ascii="Times New Roman" w:hAnsi="Times New Roman" w:eastAsia="黑体"/>
          <w:b w:val="0"/>
        </w:rPr>
      </w:pPr>
      <w:bookmarkStart w:id="44" w:name="_Toc15377219"/>
      <w:bookmarkStart w:id="45" w:name="_Toc15396611"/>
      <w:r>
        <w:rPr>
          <w:rStyle w:val="29"/>
          <w:rFonts w:hint="eastAsia" w:ascii="Times New Roman" w:hAnsi="Times New Roman" w:eastAsia="黑体"/>
          <w:b w:val="0"/>
        </w:rPr>
        <w:t>九、国有资本经营预算支出决算情况说明</w:t>
      </w:r>
      <w:bookmarkEnd w:id="44"/>
      <w:bookmarkEnd w:id="45"/>
    </w:p>
    <w:p w14:paraId="5E23AAA5">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%。与上年度相比，国有资本经营预算财政拨款支出</w:t>
      </w:r>
      <w:r>
        <w:rPr>
          <w:rFonts w:hint="eastAsia" w:eastAsia="仿宋_GB2312" w:cs="仿宋_GB2312"/>
          <w:sz w:val="32"/>
          <w:szCs w:val="32"/>
          <w:lang w:eastAsia="zh-CN"/>
        </w:rPr>
        <w:t>持平。</w:t>
      </w:r>
    </w:p>
    <w:p w14:paraId="3379AB90">
      <w:pPr>
        <w:spacing w:line="600" w:lineRule="exact"/>
        <w:ind w:left="630"/>
        <w:outlineLvl w:val="1"/>
        <w:rPr>
          <w:rStyle w:val="29"/>
          <w:rFonts w:ascii="Times New Roman" w:hAnsi="Times New Roman" w:eastAsia="黑体"/>
          <w:b w:val="0"/>
        </w:rPr>
      </w:pPr>
      <w:bookmarkStart w:id="46" w:name="_Toc15396612"/>
      <w:bookmarkStart w:id="47" w:name="_Toc15377221"/>
      <w:r>
        <w:rPr>
          <w:rStyle w:val="29"/>
          <w:rFonts w:hint="eastAsia" w:ascii="Times New Roman" w:hAnsi="Times New Roman" w:eastAsia="黑体"/>
          <w:b w:val="0"/>
        </w:rPr>
        <w:t>十、其他重要事项的情况说明</w:t>
      </w:r>
      <w:bookmarkEnd w:id="46"/>
      <w:bookmarkEnd w:id="47"/>
    </w:p>
    <w:p w14:paraId="6C48170A">
      <w:pPr>
        <w:spacing w:line="600" w:lineRule="exact"/>
        <w:ind w:firstLine="643" w:firstLineChars="200"/>
        <w:outlineLvl w:val="2"/>
        <w:rPr>
          <w:rFonts w:eastAsia="楷体_GB2312" w:cs="楷体_GB2312"/>
          <w:b/>
          <w:sz w:val="32"/>
          <w:szCs w:val="32"/>
        </w:rPr>
      </w:pPr>
      <w:bookmarkStart w:id="48" w:name="_Toc15377222"/>
      <w:r>
        <w:rPr>
          <w:rFonts w:hint="eastAsia" w:eastAsia="楷体_GB2312" w:cs="楷体_GB2312"/>
          <w:b/>
          <w:sz w:val="32"/>
          <w:szCs w:val="32"/>
        </w:rPr>
        <w:t>（一）机关运行经费支出情况</w:t>
      </w:r>
      <w:bookmarkEnd w:id="48"/>
    </w:p>
    <w:p w14:paraId="70B33E5C">
      <w:pPr>
        <w:spacing w:line="600" w:lineRule="exact"/>
        <w:ind w:firstLine="640"/>
        <w:rPr>
          <w:rFonts w:hint="eastAsia" w:ascii="Times New Roman" w:hAnsi="Times New Roman"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eastAsia="zh-CN"/>
        </w:rPr>
        <w:t>攀枝花市仁和生态环境监测站</w:t>
      </w:r>
      <w:r>
        <w:rPr>
          <w:rFonts w:hint="eastAsia" w:eastAsia="仿宋_GB2312" w:cs="仿宋_GB2312"/>
          <w:sz w:val="32"/>
          <w:szCs w:val="32"/>
        </w:rPr>
        <w:t>属公益一类事业单位，不产生机关运行经费。</w:t>
      </w:r>
    </w:p>
    <w:p w14:paraId="45D30EEC">
      <w:pPr>
        <w:spacing w:line="600" w:lineRule="exact"/>
        <w:ind w:firstLine="643" w:firstLineChars="200"/>
        <w:outlineLvl w:val="2"/>
        <w:rPr>
          <w:rFonts w:eastAsia="楷体_GB2312" w:cs="楷体_GB2312"/>
          <w:b/>
          <w:sz w:val="32"/>
          <w:szCs w:val="32"/>
        </w:rPr>
      </w:pPr>
      <w:bookmarkStart w:id="49" w:name="_Toc15377223"/>
      <w:r>
        <w:rPr>
          <w:rFonts w:hint="eastAsia" w:eastAsia="楷体_GB2312" w:cs="楷体_GB2312"/>
          <w:b/>
          <w:sz w:val="32"/>
          <w:szCs w:val="32"/>
        </w:rPr>
        <w:t>（二）政府采购支出情况</w:t>
      </w:r>
      <w:bookmarkEnd w:id="49"/>
    </w:p>
    <w:p w14:paraId="34E4F370">
      <w:pPr>
        <w:spacing w:line="600" w:lineRule="exact"/>
        <w:ind w:firstLine="640"/>
        <w:rPr>
          <w:rFonts w:hint="eastAsia"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eastAsia="zh-CN"/>
        </w:rPr>
        <w:t>攀枝花市仁和生态环境监测站</w:t>
      </w:r>
      <w:r>
        <w:rPr>
          <w:rFonts w:hint="eastAsia" w:eastAsia="仿宋_GB2312" w:cs="仿宋_GB2312"/>
          <w:sz w:val="32"/>
          <w:szCs w:val="32"/>
        </w:rPr>
        <w:t>政府采购支出总额0.91万元，其中：政府采购货物支出0万元、政府采购工程支出0万元、政府采购服务支出0.91万元。主要用于</w:t>
      </w:r>
      <w:r>
        <w:rPr>
          <w:rFonts w:hint="eastAsia" w:eastAsia="仿宋_GB2312" w:cs="仿宋_GB2312"/>
          <w:sz w:val="32"/>
          <w:szCs w:val="32"/>
          <w:lang w:eastAsia="zh-CN"/>
        </w:rPr>
        <w:t>公务用车保险、维修、油耗采购</w:t>
      </w:r>
      <w:r>
        <w:rPr>
          <w:rFonts w:hint="eastAsia" w:eastAsia="仿宋_GB2312" w:cs="仿宋_GB2312"/>
          <w:sz w:val="32"/>
          <w:szCs w:val="32"/>
        </w:rPr>
        <w:t>。授予中小企业合同金额0.5万元，占政府采购支出总额的54.6%，其中：授予小微企业合同金额0.1万元，占政府采购支出总额的10.</w:t>
      </w:r>
      <w:r>
        <w:rPr>
          <w:rFonts w:hint="eastAsia" w:eastAsia="仿宋_GB2312" w:cs="仿宋_GB2312"/>
          <w:sz w:val="32"/>
          <w:szCs w:val="32"/>
          <w:lang w:val="en-US" w:eastAsia="zh-CN"/>
        </w:rPr>
        <w:t>8</w:t>
      </w:r>
      <w:r>
        <w:rPr>
          <w:rFonts w:hint="eastAsia" w:eastAsia="仿宋_GB2312" w:cs="仿宋_GB2312"/>
          <w:sz w:val="32"/>
          <w:szCs w:val="32"/>
        </w:rPr>
        <w:t>%。</w:t>
      </w:r>
    </w:p>
    <w:p w14:paraId="10CFB888">
      <w:pPr>
        <w:spacing w:line="600" w:lineRule="exact"/>
        <w:ind w:firstLine="643" w:firstLineChars="200"/>
        <w:outlineLvl w:val="2"/>
        <w:rPr>
          <w:rFonts w:hint="eastAsia" w:eastAsia="楷体_GB2312" w:cs="楷体_GB2312"/>
          <w:b/>
          <w:sz w:val="32"/>
          <w:szCs w:val="32"/>
          <w:lang w:eastAsia="zh-CN"/>
        </w:rPr>
      </w:pPr>
      <w:bookmarkStart w:id="50" w:name="_Toc15377224"/>
      <w:r>
        <w:rPr>
          <w:rFonts w:hint="eastAsia" w:eastAsia="楷体_GB2312" w:cs="楷体_GB2312"/>
          <w:b/>
          <w:sz w:val="32"/>
          <w:szCs w:val="32"/>
        </w:rPr>
        <w:t>（三）国有资产占有使用情况</w:t>
      </w:r>
      <w:bookmarkEnd w:id="50"/>
      <w:r>
        <w:rPr>
          <w:rFonts w:hint="eastAsia" w:eastAsia="楷体_GB2312" w:cs="楷体_GB2312"/>
          <w:b/>
          <w:sz w:val="32"/>
          <w:szCs w:val="32"/>
          <w:lang w:eastAsia="zh-CN"/>
        </w:rPr>
        <w:t>。</w:t>
      </w:r>
    </w:p>
    <w:p w14:paraId="083E47AE">
      <w:pPr>
        <w:spacing w:line="600" w:lineRule="exact"/>
        <w:ind w:firstLine="640"/>
        <w:rPr>
          <w:rFonts w:eastAsia="仿宋_GB2312" w:cs="仿宋_GB2312"/>
          <w:sz w:val="32"/>
          <w:szCs w:val="32"/>
        </w:rPr>
      </w:pPr>
      <w:r>
        <w:rPr>
          <w:rFonts w:hint="eastAsia" w:eastAsia="仿宋_GB2312" w:cs="仿宋_GB2312"/>
          <w:sz w:val="32"/>
          <w:szCs w:val="32"/>
        </w:rPr>
        <w:t>截至2025年12月31日，攀枝花市仁和生态环境监测站共有车辆1辆，其中：副部（省）级及以上领导用车0辆、主要负责人用车0辆、机要通信用车0辆、应急保障用车0辆、执法执勤用车0辆、特种专业技术用车1辆、离退休干部服务用车0辆、其他用车0辆，其他用车主要是用于生态环境监测业务。单价100万元（含）以上设备（不含车辆）1台（套）。</w:t>
      </w:r>
    </w:p>
    <w:p w14:paraId="63C335CE">
      <w:pPr>
        <w:spacing w:line="600" w:lineRule="exact"/>
        <w:ind w:firstLine="643" w:firstLineChars="200"/>
        <w:outlineLvl w:val="2"/>
        <w:rPr>
          <w:rFonts w:hint="eastAsia" w:eastAsia="楷体_GB2312" w:cs="楷体_GB2312"/>
          <w:b/>
          <w:sz w:val="32"/>
          <w:szCs w:val="32"/>
          <w:lang w:eastAsia="zh-CN"/>
        </w:rPr>
      </w:pPr>
      <w:r>
        <w:rPr>
          <w:rFonts w:hint="eastAsia" w:eastAsia="楷体_GB2312" w:cs="楷体_GB2312"/>
          <w:b/>
          <w:sz w:val="32"/>
          <w:szCs w:val="32"/>
        </w:rPr>
        <w:t>（四）预算绩效管理情况</w:t>
      </w:r>
      <w:r>
        <w:rPr>
          <w:rFonts w:hint="eastAsia" w:eastAsia="楷体_GB2312" w:cs="楷体_GB2312"/>
          <w:b/>
          <w:sz w:val="32"/>
          <w:szCs w:val="32"/>
          <w:lang w:eastAsia="zh-CN"/>
        </w:rPr>
        <w:t>。</w:t>
      </w:r>
    </w:p>
    <w:p w14:paraId="2F86BDFC">
      <w:pPr>
        <w:spacing w:line="600" w:lineRule="exact"/>
        <w:ind w:firstLine="640"/>
        <w:rPr>
          <w:rFonts w:hint="eastAsia" w:eastAsia="仿宋_GB2312" w:cs="仿宋_GB2312"/>
          <w:sz w:val="32"/>
          <w:szCs w:val="32"/>
        </w:rPr>
      </w:pPr>
      <w:r>
        <w:rPr>
          <w:rFonts w:hint="eastAsia" w:eastAsia="仿宋_GB2312" w:cs="仿宋_GB2312"/>
          <w:sz w:val="32"/>
          <w:szCs w:val="32"/>
        </w:rPr>
        <w:t>根据预算绩效管理要求，攀枝花市仁和生态环境监测站在2025年度，组织对</w:t>
      </w:r>
      <w:r>
        <w:rPr>
          <w:rFonts w:hint="eastAsia" w:eastAsia="仿宋_GB2312" w:cs="仿宋_GB2312"/>
          <w:sz w:val="32"/>
          <w:szCs w:val="32"/>
          <w:lang w:val="en-US" w:eastAsia="zh-CN"/>
        </w:rPr>
        <w:t>0</w:t>
      </w:r>
      <w:r>
        <w:rPr>
          <w:rFonts w:hint="eastAsia" w:eastAsia="仿宋_GB2312" w:cs="仿宋_GB2312"/>
          <w:sz w:val="32"/>
          <w:szCs w:val="32"/>
        </w:rPr>
        <w:t>个项目涉及金额</w:t>
      </w:r>
      <w:r>
        <w:rPr>
          <w:rFonts w:hint="eastAsia" w:eastAsia="仿宋_GB2312" w:cs="仿宋_GB2312"/>
          <w:sz w:val="32"/>
          <w:szCs w:val="32"/>
          <w:lang w:val="en-US" w:eastAsia="zh-CN"/>
        </w:rPr>
        <w:t>0</w:t>
      </w:r>
      <w:r>
        <w:rPr>
          <w:rFonts w:hint="eastAsia" w:eastAsia="仿宋_GB2312" w:cs="仿宋_GB2312"/>
          <w:sz w:val="32"/>
          <w:szCs w:val="32"/>
        </w:rPr>
        <w:t>万元开展了事前绩效评估，对</w:t>
      </w:r>
      <w:r>
        <w:rPr>
          <w:rFonts w:hint="eastAsia" w:eastAsia="仿宋_GB2312" w:cs="仿宋_GB2312"/>
          <w:sz w:val="32"/>
          <w:szCs w:val="32"/>
          <w:lang w:val="en-US" w:eastAsia="zh-CN"/>
        </w:rPr>
        <w:t>2</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2</w:t>
      </w:r>
      <w:r>
        <w:rPr>
          <w:rFonts w:hint="eastAsia" w:eastAsia="仿宋_GB2312" w:cs="仿宋_GB2312"/>
          <w:sz w:val="32"/>
          <w:szCs w:val="32"/>
        </w:rPr>
        <w:t>个项目开展绩效监控。</w:t>
      </w:r>
    </w:p>
    <w:p w14:paraId="5FF2377D">
      <w:pPr>
        <w:spacing w:line="600" w:lineRule="exact"/>
        <w:jc w:val="center"/>
        <w:outlineLvl w:val="0"/>
        <w:rPr>
          <w:rFonts w:hint="eastAsia" w:eastAsia="黑体"/>
          <w:sz w:val="44"/>
          <w:szCs w:val="44"/>
        </w:rPr>
      </w:pPr>
      <w:bookmarkStart w:id="51" w:name="_Toc15377225"/>
      <w:bookmarkStart w:id="52" w:name="_Toc15396613"/>
    </w:p>
    <w:p w14:paraId="436564EA">
      <w:pPr>
        <w:spacing w:line="600" w:lineRule="exact"/>
        <w:jc w:val="center"/>
        <w:outlineLvl w:val="0"/>
        <w:rPr>
          <w:rFonts w:hint="eastAsia" w:eastAsia="黑体"/>
          <w:sz w:val="44"/>
          <w:szCs w:val="44"/>
        </w:rPr>
      </w:pPr>
    </w:p>
    <w:p w14:paraId="54507FEF">
      <w:pPr>
        <w:spacing w:line="600" w:lineRule="exact"/>
        <w:jc w:val="center"/>
        <w:outlineLvl w:val="0"/>
        <w:rPr>
          <w:rFonts w:hint="eastAsia" w:eastAsia="黑体"/>
          <w:sz w:val="44"/>
          <w:szCs w:val="44"/>
        </w:rPr>
      </w:pPr>
    </w:p>
    <w:p w14:paraId="6CA660F6">
      <w:pPr>
        <w:pStyle w:val="2"/>
        <w:rPr>
          <w:rFonts w:hint="eastAsia" w:eastAsia="黑体"/>
          <w:sz w:val="44"/>
          <w:szCs w:val="44"/>
        </w:rPr>
      </w:pPr>
    </w:p>
    <w:p w14:paraId="3327C826">
      <w:pPr>
        <w:pStyle w:val="3"/>
        <w:rPr>
          <w:rFonts w:hint="eastAsia" w:eastAsia="黑体"/>
          <w:sz w:val="44"/>
          <w:szCs w:val="44"/>
        </w:rPr>
      </w:pPr>
    </w:p>
    <w:p w14:paraId="409A705A">
      <w:pPr>
        <w:rPr>
          <w:rFonts w:hint="eastAsia" w:eastAsia="黑体"/>
          <w:sz w:val="44"/>
          <w:szCs w:val="44"/>
        </w:rPr>
      </w:pPr>
    </w:p>
    <w:p w14:paraId="307242B3">
      <w:pPr>
        <w:pStyle w:val="2"/>
        <w:rPr>
          <w:rFonts w:hint="eastAsia" w:eastAsia="黑体"/>
          <w:sz w:val="44"/>
          <w:szCs w:val="44"/>
        </w:rPr>
      </w:pPr>
    </w:p>
    <w:p w14:paraId="171A440A">
      <w:pPr>
        <w:pStyle w:val="3"/>
        <w:rPr>
          <w:rFonts w:hint="eastAsia" w:eastAsia="黑体"/>
          <w:sz w:val="44"/>
          <w:szCs w:val="44"/>
        </w:rPr>
      </w:pPr>
    </w:p>
    <w:p w14:paraId="30C2F66B">
      <w:pPr>
        <w:rPr>
          <w:rFonts w:hint="eastAsia" w:eastAsia="黑体"/>
          <w:sz w:val="44"/>
          <w:szCs w:val="44"/>
        </w:rPr>
      </w:pPr>
    </w:p>
    <w:p w14:paraId="489C471D">
      <w:pPr>
        <w:pStyle w:val="2"/>
        <w:rPr>
          <w:rFonts w:hint="eastAsia" w:eastAsia="黑体"/>
          <w:sz w:val="44"/>
          <w:szCs w:val="44"/>
        </w:rPr>
      </w:pPr>
    </w:p>
    <w:p w14:paraId="5863B607">
      <w:pPr>
        <w:pStyle w:val="3"/>
        <w:rPr>
          <w:rFonts w:hint="eastAsia" w:eastAsia="黑体"/>
          <w:sz w:val="44"/>
          <w:szCs w:val="44"/>
        </w:rPr>
      </w:pPr>
    </w:p>
    <w:p w14:paraId="49CB1A39">
      <w:pPr>
        <w:rPr>
          <w:rFonts w:hint="eastAsia" w:eastAsia="黑体"/>
          <w:sz w:val="44"/>
          <w:szCs w:val="44"/>
        </w:rPr>
      </w:pPr>
    </w:p>
    <w:p w14:paraId="58AB3ABF">
      <w:pPr>
        <w:pStyle w:val="2"/>
        <w:rPr>
          <w:rFonts w:hint="eastAsia" w:eastAsia="黑体"/>
          <w:sz w:val="44"/>
          <w:szCs w:val="44"/>
        </w:rPr>
      </w:pPr>
    </w:p>
    <w:p w14:paraId="6E59F655">
      <w:pPr>
        <w:pStyle w:val="3"/>
        <w:rPr>
          <w:rFonts w:hint="eastAsia"/>
        </w:rPr>
      </w:pPr>
    </w:p>
    <w:p w14:paraId="10428385">
      <w:pPr>
        <w:pStyle w:val="2"/>
        <w:rPr>
          <w:rFonts w:hint="eastAsia" w:eastAsia="黑体"/>
          <w:sz w:val="44"/>
          <w:szCs w:val="44"/>
        </w:rPr>
      </w:pPr>
    </w:p>
    <w:p w14:paraId="1269BA9B">
      <w:pPr>
        <w:pStyle w:val="3"/>
        <w:rPr>
          <w:rFonts w:hint="eastAsia" w:eastAsia="黑体"/>
          <w:sz w:val="44"/>
          <w:szCs w:val="44"/>
        </w:rPr>
      </w:pPr>
    </w:p>
    <w:p w14:paraId="0FB1E1C6">
      <w:pPr>
        <w:rPr>
          <w:rFonts w:hint="eastAsia" w:eastAsia="黑体"/>
          <w:sz w:val="44"/>
          <w:szCs w:val="44"/>
        </w:rPr>
      </w:pPr>
    </w:p>
    <w:p w14:paraId="437CEB1D">
      <w:pPr>
        <w:pStyle w:val="2"/>
        <w:rPr>
          <w:rFonts w:hint="eastAsia"/>
        </w:rPr>
      </w:pPr>
    </w:p>
    <w:p w14:paraId="2DC1FAD1">
      <w:pPr>
        <w:rPr>
          <w:rFonts w:hint="eastAsia"/>
        </w:rPr>
      </w:pPr>
    </w:p>
    <w:p w14:paraId="13997570">
      <w:pPr>
        <w:spacing w:line="600" w:lineRule="exact"/>
        <w:jc w:val="center"/>
        <w:outlineLvl w:val="0"/>
        <w:rPr>
          <w:rFonts w:eastAsia="黑体"/>
          <w:sz w:val="44"/>
          <w:szCs w:val="44"/>
        </w:rPr>
      </w:pPr>
      <w:r>
        <w:rPr>
          <w:rFonts w:hint="eastAsia" w:eastAsia="黑体"/>
          <w:sz w:val="44"/>
          <w:szCs w:val="44"/>
        </w:rPr>
        <w:t>第三部分  名词解释</w:t>
      </w:r>
      <w:bookmarkEnd w:id="51"/>
      <w:bookmarkEnd w:id="52"/>
    </w:p>
    <w:p w14:paraId="7CF8C315">
      <w:pPr>
        <w:spacing w:line="600" w:lineRule="exact"/>
        <w:jc w:val="left"/>
        <w:rPr>
          <w:b/>
          <w:sz w:val="44"/>
          <w:szCs w:val="44"/>
        </w:rPr>
      </w:pPr>
    </w:p>
    <w:p w14:paraId="00D3B7B6">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rPr>
      </w:pPr>
      <w:bookmarkStart w:id="53" w:name="_Toc15377226"/>
      <w:r>
        <w:rPr>
          <w:rFonts w:hint="default" w:ascii="Times New Roman" w:hAnsi="Times New Roman" w:eastAsia="仿宋_GB2312" w:cs="Times New Roman"/>
          <w:color w:val="auto"/>
          <w:sz w:val="32"/>
          <w:szCs w:val="32"/>
          <w:highlight w:val="none"/>
        </w:rPr>
        <w:t>1.财政拨款收入：指单位从同级财政部门取得的财政预算资金。</w:t>
      </w:r>
    </w:p>
    <w:p w14:paraId="1A1D7EF3">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highlight w:val="none"/>
        </w:rPr>
        <w:t>2.</w:t>
      </w:r>
      <w:r>
        <w:rPr>
          <w:rFonts w:hint="default" w:ascii="Times New Roman" w:hAnsi="Times New Roman" w:eastAsia="仿宋_GB2312" w:cs="Times New Roman"/>
          <w:color w:val="auto"/>
          <w:sz w:val="32"/>
          <w:szCs w:val="32"/>
        </w:rPr>
        <w:t>其他收入：指单位取得的除上述收入以外的各项收入。主要是</w:t>
      </w:r>
      <w:r>
        <w:rPr>
          <w:rFonts w:hint="default" w:ascii="Times New Roman" w:hAnsi="Times New Roman" w:eastAsia="仿宋_GB2312" w:cs="Times New Roman"/>
          <w:color w:val="auto"/>
          <w:sz w:val="32"/>
          <w:szCs w:val="32"/>
          <w:lang w:eastAsia="zh-CN"/>
        </w:rPr>
        <w:t>仁和区财政安排资金</w:t>
      </w:r>
      <w:r>
        <w:rPr>
          <w:rFonts w:hint="default" w:ascii="Times New Roman" w:hAnsi="Times New Roman" w:eastAsia="仿宋_GB2312" w:cs="Times New Roman"/>
          <w:color w:val="auto"/>
          <w:sz w:val="32"/>
          <w:szCs w:val="32"/>
        </w:rPr>
        <w:t xml:space="preserve">等。 </w:t>
      </w:r>
    </w:p>
    <w:p w14:paraId="7E6CD4A5">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 xml:space="preserve">.年初结转和结余：指以前年度尚未完成、结转到本年按有关规定继续使用的资金。 </w:t>
      </w:r>
    </w:p>
    <w:p w14:paraId="6E05A582">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.年末结转和结余：指单位按有关规定结转到下年或以后年度继续使用的资金。</w:t>
      </w:r>
    </w:p>
    <w:p w14:paraId="540DBD3E">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社会保障和就业（类）行政事业单位养老（款）事业单位离退休（项）：指事业开支的离退休经费。</w:t>
      </w:r>
    </w:p>
    <w:p w14:paraId="6F21FD33">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.社会保障和就业（类）行政事业单位养老（款）机关事业单位基本养老保险缴费支出（项）：指机关事业单位实施养老保险制度由单位缴纳的基本养老保险支出。</w:t>
      </w:r>
    </w:p>
    <w:p w14:paraId="6D24865C">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卫生健康（类）行政事业单位医疗（款）</w:t>
      </w:r>
      <w:r>
        <w:rPr>
          <w:rFonts w:hint="default" w:ascii="Times New Roman" w:hAnsi="Times New Roman" w:eastAsia="仿宋_GB2312" w:cs="Times New Roman"/>
          <w:color w:val="auto"/>
          <w:sz w:val="32"/>
          <w:szCs w:val="32"/>
          <w:lang w:eastAsia="zh-CN"/>
        </w:rPr>
        <w:t>事业单位医疗</w:t>
      </w:r>
      <w:r>
        <w:rPr>
          <w:rFonts w:hint="default" w:ascii="Times New Roman" w:hAnsi="Times New Roman" w:eastAsia="仿宋_GB2312" w:cs="Times New Roman"/>
          <w:color w:val="auto"/>
          <w:sz w:val="32"/>
          <w:szCs w:val="32"/>
        </w:rPr>
        <w:t>（项）：指财政部门安排</w:t>
      </w:r>
      <w:r>
        <w:rPr>
          <w:rFonts w:hint="default" w:ascii="Times New Roman" w:hAnsi="Times New Roman" w:eastAsia="仿宋_GB2312" w:cs="Times New Roman"/>
          <w:color w:val="auto"/>
          <w:sz w:val="32"/>
          <w:szCs w:val="32"/>
          <w:lang w:eastAsia="zh-CN"/>
        </w:rPr>
        <w:t>事业单位基本医疗保险缴费经费</w:t>
      </w:r>
      <w:r>
        <w:rPr>
          <w:rFonts w:hint="default" w:ascii="Times New Roman" w:hAnsi="Times New Roman" w:eastAsia="仿宋_GB2312" w:cs="Times New Roman"/>
          <w:color w:val="auto"/>
          <w:sz w:val="32"/>
          <w:szCs w:val="32"/>
        </w:rPr>
        <w:t>。</w:t>
      </w:r>
    </w:p>
    <w:p w14:paraId="09162103">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.卫生健康（类）行政事业单位医疗（款）公务员医疗补助（项）：指财政部门集中安排的公务员医疗补助经费。</w:t>
      </w:r>
    </w:p>
    <w:p w14:paraId="33B069FC">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.卫生健康（类）行政事业单位医疗（款）</w:t>
      </w:r>
      <w:r>
        <w:rPr>
          <w:rFonts w:hint="default" w:ascii="Times New Roman" w:hAnsi="Times New Roman" w:eastAsia="仿宋_GB2312" w:cs="Times New Roman"/>
          <w:color w:val="auto"/>
          <w:sz w:val="32"/>
          <w:szCs w:val="32"/>
          <w:lang w:eastAsia="zh-CN"/>
        </w:rPr>
        <w:t>其他行政事业单位医疗支出</w:t>
      </w:r>
      <w:r>
        <w:rPr>
          <w:rFonts w:hint="default" w:ascii="Times New Roman" w:hAnsi="Times New Roman" w:eastAsia="仿宋_GB2312" w:cs="Times New Roman"/>
          <w:color w:val="auto"/>
          <w:sz w:val="32"/>
          <w:szCs w:val="32"/>
        </w:rPr>
        <w:t>（项）：指财政部门安排</w:t>
      </w:r>
      <w:r>
        <w:rPr>
          <w:rFonts w:hint="default" w:ascii="Times New Roman" w:hAnsi="Times New Roman" w:eastAsia="仿宋_GB2312" w:cs="Times New Roman"/>
          <w:color w:val="auto"/>
          <w:sz w:val="32"/>
          <w:szCs w:val="32"/>
          <w:lang w:eastAsia="zh-CN"/>
        </w:rPr>
        <w:t>用于事业单位补充个人医疗补助支出。</w:t>
      </w:r>
    </w:p>
    <w:p w14:paraId="24344A3A">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节能环保（类）环境保护管理事务（款）其他环境保护管理事务支出（项）：指除行政运行、一般行政管理事务、环境保护宣传、环境保护法规规划及标准、环境国际合作及履约、环境保护行政许可以外其他用于环境保护管理事务方面的支出。</w:t>
      </w:r>
    </w:p>
    <w:p w14:paraId="6BD5193E">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.节能环保（类）污染防治（款）其他污染防治支出（项）：指除大气、水体、噪声、固体废弃物与化学品、放射源和放射性废物监管、辐射以外其他用于污染防治方面的支出。</w:t>
      </w:r>
    </w:p>
    <w:p w14:paraId="0FF01E29">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12.城乡社区支出</w:t>
      </w:r>
      <w:r>
        <w:rPr>
          <w:rFonts w:hint="default" w:ascii="Times New Roman" w:hAnsi="Times New Roman" w:eastAsia="仿宋_GB2312" w:cs="Times New Roman"/>
          <w:color w:val="auto"/>
          <w:sz w:val="32"/>
          <w:szCs w:val="32"/>
        </w:rPr>
        <w:t>（类）</w:t>
      </w:r>
      <w:r>
        <w:rPr>
          <w:rFonts w:hint="default" w:ascii="Times New Roman" w:hAnsi="Times New Roman" w:eastAsia="仿宋_GB2312" w:cs="Times New Roman"/>
          <w:color w:val="auto"/>
          <w:sz w:val="32"/>
          <w:szCs w:val="32"/>
          <w:lang w:eastAsia="zh-CN"/>
        </w:rPr>
        <w:t>国有土地使用权出让收入安排的支出</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eastAsia="zh-CN"/>
        </w:rPr>
        <w:t>土地开发支出</w:t>
      </w:r>
      <w:r>
        <w:rPr>
          <w:rFonts w:hint="default" w:ascii="Times New Roman" w:hAnsi="Times New Roman" w:eastAsia="仿宋_GB2312" w:cs="Times New Roman"/>
          <w:color w:val="auto"/>
          <w:sz w:val="32"/>
          <w:szCs w:val="32"/>
        </w:rPr>
        <w:t>（项）：指</w:t>
      </w:r>
      <w:r>
        <w:rPr>
          <w:rFonts w:hint="default" w:ascii="Times New Roman" w:hAnsi="Times New Roman" w:eastAsia="仿宋_GB2312" w:cs="Times New Roman"/>
          <w:color w:val="auto"/>
          <w:sz w:val="32"/>
          <w:szCs w:val="32"/>
          <w:lang w:eastAsia="zh-CN"/>
        </w:rPr>
        <w:t>地方政府用于前期土地开发性支出以及前期土地开发相关的费用支出</w:t>
      </w:r>
      <w:r>
        <w:rPr>
          <w:rFonts w:hint="default" w:ascii="Times New Roman" w:hAnsi="Times New Roman" w:eastAsia="仿宋_GB2312" w:cs="Times New Roman"/>
          <w:color w:val="auto"/>
          <w:sz w:val="32"/>
          <w:szCs w:val="32"/>
        </w:rPr>
        <w:t>。</w:t>
      </w:r>
    </w:p>
    <w:p w14:paraId="56AFB58C">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rPr>
        <w:t>.住房保障（类）住房改革（款）住房公积金（项）：指行政事业单位按人力资源和社会保障部、财政部规定的基本工资和津贴补贴以及规定比例为职工缴纳的住房公积金。</w:t>
      </w:r>
    </w:p>
    <w:p w14:paraId="45B9231A">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rPr>
        <w:t>.基本支出：指为保障机构正常运转、完成日常工作任务而发生的人员支出和公用支出。</w:t>
      </w:r>
    </w:p>
    <w:p w14:paraId="208B9599">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rPr>
        <w:t xml:space="preserve">.项目支出：指在基本支出之外为完成特定行政任务和事业发展目标所发生的支出。 </w:t>
      </w:r>
    </w:p>
    <w:p w14:paraId="0A793781">
      <w:pPr>
        <w:pStyle w:val="26"/>
        <w:keepNext w:val="0"/>
        <w:keepLines w:val="0"/>
        <w:pageBreakBefore w:val="0"/>
        <w:widowControl w:val="0"/>
        <w:kinsoku/>
        <w:wordWrap/>
        <w:overflowPunct/>
        <w:topLinePunct w:val="0"/>
        <w:autoSpaceDE w:val="0"/>
        <w:autoSpaceDN w:val="0"/>
        <w:bidi w:val="0"/>
        <w:adjustRightInd w:val="0"/>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BD77114">
      <w:pPr>
        <w:spacing w:line="600" w:lineRule="exact"/>
        <w:ind w:firstLine="640"/>
        <w:jc w:val="center"/>
        <w:rPr>
          <w:rStyle w:val="28"/>
          <w:rFonts w:eastAsia="黑体"/>
          <w:b w:val="0"/>
        </w:rPr>
      </w:pPr>
      <w:r>
        <w:rPr>
          <w:rFonts w:hint="eastAsia" w:ascii="Times New Roman" w:hAnsi="Times New Roman" w:eastAsia="仿宋_GB2312" w:cs="仿宋_GB2312"/>
          <w:sz w:val="32"/>
          <w:szCs w:val="32"/>
        </w:rPr>
        <w:br w:type="page"/>
      </w:r>
      <w:bookmarkStart w:id="54" w:name="_Toc15396614"/>
      <w:r>
        <w:rPr>
          <w:rFonts w:hint="eastAsia" w:eastAsia="黑体"/>
          <w:sz w:val="44"/>
          <w:szCs w:val="44"/>
        </w:rPr>
        <w:t>第四部分  附件</w:t>
      </w:r>
      <w:bookmarkEnd w:id="54"/>
    </w:p>
    <w:p w14:paraId="3137D12C">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outlineLvl w:val="0"/>
        <w:rPr>
          <w:rFonts w:eastAsia="黑体" w:cs="黑体"/>
          <w:color w:val="FF0000"/>
          <w:sz w:val="32"/>
          <w:szCs w:val="32"/>
        </w:rPr>
      </w:pPr>
      <w:r>
        <w:rPr>
          <w:rFonts w:hint="eastAsia" w:ascii="Times New Roman" w:eastAsia="仿宋_GB2312" w:cs="仿宋_GB2312"/>
          <w:kern w:val="2"/>
          <w:sz w:val="32"/>
          <w:szCs w:val="32"/>
          <w:lang w:val="en-US" w:eastAsia="zh-CN" w:bidi="ar-SA"/>
        </w:rPr>
        <w:t>部门预算项目支出绩效自评表（2025年度）见附件。</w:t>
      </w:r>
    </w:p>
    <w:p w14:paraId="3B2E1938">
      <w:pPr>
        <w:spacing w:line="578" w:lineRule="exact"/>
        <w:ind w:firstLine="640"/>
        <w:rPr>
          <w:rFonts w:eastAsia="仿宋_GB2312" w:cs="仿宋_GB2312"/>
          <w:kern w:val="0"/>
          <w:sz w:val="32"/>
          <w:szCs w:val="32"/>
        </w:rPr>
      </w:pPr>
    </w:p>
    <w:p w14:paraId="3087AFBF">
      <w:pPr>
        <w:spacing w:line="578" w:lineRule="exact"/>
        <w:ind w:firstLine="640"/>
        <w:rPr>
          <w:rFonts w:eastAsia="仿宋_GB2312" w:cs="仿宋_GB2312"/>
          <w:kern w:val="0"/>
          <w:sz w:val="32"/>
          <w:szCs w:val="32"/>
        </w:rPr>
      </w:pPr>
    </w:p>
    <w:p w14:paraId="351CF44E">
      <w:pPr>
        <w:spacing w:line="578" w:lineRule="exact"/>
        <w:ind w:firstLine="640"/>
        <w:rPr>
          <w:rFonts w:eastAsia="仿宋_GB2312" w:cs="仿宋_GB2312"/>
          <w:kern w:val="0"/>
          <w:sz w:val="32"/>
          <w:szCs w:val="32"/>
        </w:rPr>
      </w:pPr>
      <w:bookmarkStart w:id="55" w:name="_Toc15396618"/>
      <w:r>
        <w:rPr>
          <w:rFonts w:hint="eastAsia" w:eastAsia="仿宋_GB2312" w:cs="仿宋_GB2312"/>
          <w:kern w:val="0"/>
          <w:sz w:val="32"/>
          <w:szCs w:val="32"/>
        </w:rPr>
        <w:br w:type="page"/>
      </w:r>
    </w:p>
    <w:p w14:paraId="37B9D272">
      <w:pPr>
        <w:widowControl/>
        <w:jc w:val="center"/>
        <w:rPr>
          <w:rFonts w:eastAsia="仿宋"/>
        </w:rPr>
      </w:pPr>
      <w:r>
        <w:rPr>
          <w:rFonts w:hint="eastAsia" w:eastAsia="黑体"/>
          <w:sz w:val="44"/>
          <w:szCs w:val="44"/>
        </w:rPr>
        <w:t>第</w:t>
      </w:r>
      <w:r>
        <w:rPr>
          <w:rStyle w:val="28"/>
          <w:rFonts w:hint="eastAsia" w:eastAsia="黑体"/>
          <w:b w:val="0"/>
        </w:rPr>
        <w:t>五部分 附表</w:t>
      </w:r>
      <w:bookmarkEnd w:id="53"/>
      <w:bookmarkEnd w:id="55"/>
      <w:bookmarkStart w:id="56" w:name="_Toc15396619"/>
    </w:p>
    <w:p w14:paraId="0F98F7C3">
      <w:pPr>
        <w:pStyle w:val="14"/>
        <w:adjustRightInd w:val="0"/>
        <w:snapToGrid w:val="0"/>
        <w:spacing w:line="560" w:lineRule="exact"/>
        <w:jc w:val="left"/>
        <w:rPr>
          <w:rFonts w:eastAsia="仿宋_GB2312" w:cs="仿宋_GB2312"/>
          <w:sz w:val="32"/>
          <w:szCs w:val="32"/>
        </w:rPr>
      </w:pPr>
    </w:p>
    <w:p w14:paraId="7AA80F7E">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6"/>
    </w:p>
    <w:p w14:paraId="69CF8E50">
      <w:pPr>
        <w:pStyle w:val="14"/>
        <w:adjustRightInd w:val="0"/>
        <w:snapToGrid w:val="0"/>
        <w:spacing w:line="560" w:lineRule="exact"/>
        <w:jc w:val="left"/>
        <w:rPr>
          <w:rFonts w:eastAsia="仿宋_GB2312" w:cs="仿宋_GB2312"/>
          <w:sz w:val="32"/>
          <w:szCs w:val="32"/>
        </w:rPr>
      </w:pPr>
      <w:bookmarkStart w:id="57" w:name="_Toc15396620"/>
      <w:r>
        <w:rPr>
          <w:rFonts w:hint="eastAsia" w:eastAsia="仿宋_GB2312" w:cs="仿宋_GB2312"/>
          <w:sz w:val="32"/>
          <w:szCs w:val="32"/>
        </w:rPr>
        <w:t>二、收入决算表</w:t>
      </w:r>
      <w:bookmarkEnd w:id="57"/>
    </w:p>
    <w:p w14:paraId="19815EB4">
      <w:pPr>
        <w:pStyle w:val="14"/>
        <w:adjustRightInd w:val="0"/>
        <w:snapToGrid w:val="0"/>
        <w:spacing w:line="560" w:lineRule="exact"/>
        <w:jc w:val="left"/>
        <w:rPr>
          <w:rFonts w:eastAsia="仿宋_GB2312" w:cs="仿宋_GB2312"/>
          <w:sz w:val="32"/>
          <w:szCs w:val="32"/>
        </w:rPr>
      </w:pPr>
      <w:bookmarkStart w:id="58" w:name="_Toc15396621"/>
      <w:r>
        <w:rPr>
          <w:rFonts w:hint="eastAsia" w:eastAsia="仿宋_GB2312" w:cs="仿宋_GB2312"/>
          <w:sz w:val="32"/>
          <w:szCs w:val="32"/>
        </w:rPr>
        <w:t>三、支出决算表</w:t>
      </w:r>
      <w:bookmarkEnd w:id="58"/>
    </w:p>
    <w:p w14:paraId="15907379">
      <w:pPr>
        <w:pStyle w:val="14"/>
        <w:adjustRightInd w:val="0"/>
        <w:snapToGrid w:val="0"/>
        <w:spacing w:line="560" w:lineRule="exact"/>
        <w:jc w:val="left"/>
        <w:rPr>
          <w:rFonts w:eastAsia="仿宋_GB2312" w:cs="仿宋_GB2312"/>
          <w:sz w:val="32"/>
          <w:szCs w:val="32"/>
        </w:rPr>
      </w:pPr>
      <w:bookmarkStart w:id="59" w:name="_Toc15396622"/>
      <w:r>
        <w:rPr>
          <w:rFonts w:hint="eastAsia" w:eastAsia="仿宋_GB2312" w:cs="仿宋_GB2312"/>
          <w:sz w:val="32"/>
          <w:szCs w:val="32"/>
        </w:rPr>
        <w:t>四、财政拨款收入支出决算总表</w:t>
      </w:r>
      <w:bookmarkEnd w:id="59"/>
    </w:p>
    <w:p w14:paraId="7FF67A3F">
      <w:pPr>
        <w:pStyle w:val="14"/>
        <w:adjustRightInd w:val="0"/>
        <w:snapToGrid w:val="0"/>
        <w:spacing w:line="560" w:lineRule="exact"/>
        <w:jc w:val="left"/>
        <w:rPr>
          <w:rFonts w:eastAsia="仿宋_GB2312" w:cs="仿宋_GB2312"/>
          <w:sz w:val="32"/>
          <w:szCs w:val="32"/>
        </w:rPr>
      </w:pPr>
      <w:bookmarkStart w:id="60" w:name="_Toc15396623"/>
      <w:r>
        <w:rPr>
          <w:rFonts w:hint="eastAsia" w:eastAsia="仿宋_GB2312" w:cs="仿宋_GB2312"/>
          <w:sz w:val="32"/>
          <w:szCs w:val="32"/>
        </w:rPr>
        <w:t>五、财政拨款支出决算明细表</w:t>
      </w:r>
      <w:bookmarkEnd w:id="60"/>
      <w:bookmarkStart w:id="61" w:name="_Toc15396624"/>
    </w:p>
    <w:p w14:paraId="03DCF182">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1"/>
    </w:p>
    <w:p w14:paraId="6CC9DD4D">
      <w:pPr>
        <w:pStyle w:val="14"/>
        <w:adjustRightInd w:val="0"/>
        <w:snapToGrid w:val="0"/>
        <w:spacing w:line="560" w:lineRule="exact"/>
        <w:jc w:val="left"/>
        <w:rPr>
          <w:rFonts w:eastAsia="仿宋_GB2312" w:cs="仿宋_GB2312"/>
          <w:sz w:val="32"/>
          <w:szCs w:val="32"/>
        </w:rPr>
      </w:pPr>
      <w:bookmarkStart w:id="62" w:name="_Toc15396625"/>
      <w:r>
        <w:rPr>
          <w:rFonts w:hint="eastAsia" w:eastAsia="仿宋_GB2312" w:cs="仿宋_GB2312"/>
          <w:sz w:val="32"/>
          <w:szCs w:val="32"/>
        </w:rPr>
        <w:t>七、一般公共预算财政拨款支出决算明细表</w:t>
      </w:r>
      <w:bookmarkEnd w:id="62"/>
    </w:p>
    <w:p w14:paraId="6BAA28A1">
      <w:pPr>
        <w:pStyle w:val="14"/>
        <w:adjustRightInd w:val="0"/>
        <w:snapToGrid w:val="0"/>
        <w:spacing w:line="560" w:lineRule="exact"/>
        <w:jc w:val="left"/>
        <w:rPr>
          <w:rFonts w:eastAsia="仿宋_GB2312" w:cs="仿宋_GB2312"/>
          <w:sz w:val="32"/>
          <w:szCs w:val="32"/>
        </w:rPr>
      </w:pPr>
      <w:bookmarkStart w:id="63" w:name="_Toc15396626"/>
      <w:r>
        <w:rPr>
          <w:rFonts w:hint="eastAsia" w:eastAsia="仿宋_GB2312" w:cs="仿宋_GB2312"/>
          <w:sz w:val="32"/>
          <w:szCs w:val="32"/>
        </w:rPr>
        <w:t>八、一般公共预算财政拨款基本支出决算表</w:t>
      </w:r>
      <w:bookmarkEnd w:id="63"/>
    </w:p>
    <w:p w14:paraId="4D025034">
      <w:pPr>
        <w:pStyle w:val="14"/>
        <w:adjustRightInd w:val="0"/>
        <w:snapToGrid w:val="0"/>
        <w:spacing w:line="560" w:lineRule="exact"/>
        <w:jc w:val="left"/>
        <w:rPr>
          <w:rFonts w:eastAsia="仿宋_GB2312" w:cs="仿宋_GB2312"/>
          <w:sz w:val="32"/>
          <w:szCs w:val="32"/>
        </w:rPr>
      </w:pPr>
      <w:bookmarkStart w:id="64" w:name="_Toc15396627"/>
      <w:r>
        <w:rPr>
          <w:rFonts w:hint="eastAsia" w:eastAsia="仿宋_GB2312" w:cs="仿宋_GB2312"/>
          <w:sz w:val="32"/>
          <w:szCs w:val="32"/>
        </w:rPr>
        <w:t>九、一般公共预算财政拨款项目支出决算表</w:t>
      </w:r>
      <w:bookmarkEnd w:id="64"/>
    </w:p>
    <w:p w14:paraId="37C372EC">
      <w:pPr>
        <w:pStyle w:val="14"/>
        <w:adjustRightInd w:val="0"/>
        <w:snapToGrid w:val="0"/>
        <w:spacing w:line="560" w:lineRule="exact"/>
        <w:jc w:val="left"/>
        <w:rPr>
          <w:rFonts w:eastAsia="仿宋_GB2312" w:cs="仿宋_GB2312"/>
          <w:sz w:val="32"/>
          <w:szCs w:val="32"/>
        </w:rPr>
      </w:pPr>
      <w:bookmarkStart w:id="65" w:name="_Toc15396628"/>
      <w:r>
        <w:rPr>
          <w:rFonts w:hint="eastAsia" w:eastAsia="仿宋_GB2312" w:cs="仿宋_GB2312"/>
          <w:sz w:val="32"/>
          <w:szCs w:val="32"/>
        </w:rPr>
        <w:t>十、</w:t>
      </w:r>
      <w:bookmarkEnd w:id="65"/>
      <w:r>
        <w:rPr>
          <w:rFonts w:hint="eastAsia" w:eastAsia="仿宋_GB2312" w:cs="仿宋_GB2312"/>
          <w:sz w:val="32"/>
          <w:szCs w:val="32"/>
        </w:rPr>
        <w:t>政府性基金预算财政拨款收入支出决算表</w:t>
      </w:r>
    </w:p>
    <w:p w14:paraId="43648A5E">
      <w:pPr>
        <w:pStyle w:val="14"/>
        <w:adjustRightInd w:val="0"/>
        <w:snapToGrid w:val="0"/>
        <w:spacing w:line="560" w:lineRule="exact"/>
        <w:jc w:val="left"/>
        <w:rPr>
          <w:rFonts w:eastAsia="仿宋_GB2312" w:cs="仿宋_GB2312"/>
          <w:sz w:val="32"/>
          <w:szCs w:val="32"/>
        </w:rPr>
      </w:pPr>
      <w:bookmarkStart w:id="66" w:name="_Toc15396629"/>
      <w:r>
        <w:rPr>
          <w:rFonts w:hint="eastAsia" w:eastAsia="仿宋_GB2312" w:cs="仿宋_GB2312"/>
          <w:sz w:val="32"/>
          <w:szCs w:val="32"/>
        </w:rPr>
        <w:t>十一、</w:t>
      </w:r>
      <w:bookmarkEnd w:id="66"/>
      <w:r>
        <w:rPr>
          <w:rFonts w:hint="eastAsia" w:eastAsia="仿宋_GB2312" w:cs="仿宋_GB2312"/>
          <w:sz w:val="32"/>
          <w:szCs w:val="32"/>
        </w:rPr>
        <w:t>国有资本经营预算财政拨款收入支出决算表</w:t>
      </w:r>
    </w:p>
    <w:p w14:paraId="0B1007ED">
      <w:pPr>
        <w:pStyle w:val="14"/>
        <w:adjustRightInd w:val="0"/>
        <w:snapToGrid w:val="0"/>
        <w:spacing w:line="560" w:lineRule="exact"/>
        <w:jc w:val="left"/>
        <w:rPr>
          <w:rFonts w:eastAsia="仿宋_GB2312" w:cs="仿宋_GB2312"/>
          <w:sz w:val="32"/>
          <w:szCs w:val="32"/>
        </w:rPr>
      </w:pPr>
      <w:bookmarkStart w:id="67" w:name="_Toc15396630"/>
      <w:r>
        <w:rPr>
          <w:rFonts w:hint="eastAsia" w:eastAsia="仿宋_GB2312" w:cs="仿宋_GB2312"/>
          <w:sz w:val="32"/>
          <w:szCs w:val="32"/>
        </w:rPr>
        <w:t>十二、</w:t>
      </w:r>
      <w:bookmarkEnd w:id="67"/>
      <w:r>
        <w:rPr>
          <w:rFonts w:hint="eastAsia" w:eastAsia="仿宋_GB2312" w:cs="仿宋_GB2312"/>
          <w:sz w:val="32"/>
          <w:szCs w:val="32"/>
        </w:rPr>
        <w:t>国有资本经营预算财政拨款支出决算表</w:t>
      </w:r>
    </w:p>
    <w:p w14:paraId="1729216C">
      <w:pPr>
        <w:pStyle w:val="14"/>
        <w:adjustRightInd w:val="0"/>
        <w:snapToGrid w:val="0"/>
        <w:spacing w:line="560" w:lineRule="exact"/>
        <w:jc w:val="left"/>
        <w:rPr>
          <w:rFonts w:eastAsia="仿宋_GB2312" w:cs="仿宋_GB2312"/>
          <w:sz w:val="32"/>
          <w:szCs w:val="32"/>
        </w:rPr>
      </w:pPr>
      <w:bookmarkStart w:id="68" w:name="_Toc15396631"/>
      <w:r>
        <w:rPr>
          <w:rFonts w:hint="eastAsia" w:eastAsia="仿宋_GB2312" w:cs="仿宋_GB2312"/>
          <w:sz w:val="32"/>
          <w:szCs w:val="32"/>
        </w:rPr>
        <w:t>十三、</w:t>
      </w:r>
      <w:bookmarkEnd w:id="68"/>
      <w:r>
        <w:rPr>
          <w:rFonts w:hint="eastAsia" w:eastAsia="仿宋_GB2312" w:cs="仿宋_GB2312"/>
          <w:sz w:val="32"/>
          <w:szCs w:val="32"/>
        </w:rPr>
        <w:t>财政拨款“三公”经费支出决算表</w:t>
      </w:r>
    </w:p>
    <w:p w14:paraId="0620396C"/>
    <w:sectPr>
      <w:footerReference r:id="rId10"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4BB7C">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8EF9D0">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8EF9D0">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3A7B31D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44B99">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40444">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A440444">
                    <w:pPr>
                      <w:pStyle w:val="11"/>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F4E09">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E1D5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9E1D5A">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47BDF489">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1DAD2">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AA0DE">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1AA0DE">
                    <w:pPr>
                      <w:pStyle w:val="11"/>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C130C">
    <w:pPr>
      <w:pStyle w:val="11"/>
      <w:jc w:val="center"/>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2E41C">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6B2E41C">
                    <w:pPr>
                      <w:pStyle w:val="11"/>
                    </w:pPr>
                  </w:p>
                </w:txbxContent>
              </v:textbox>
            </v:shape>
          </w:pict>
        </mc:Fallback>
      </mc:AlternateContent>
    </w:r>
  </w:p>
  <w:p w14:paraId="5B693C2D">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667BA">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EC5B8">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18EC5B8">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43F92">
    <w:pPr>
      <w:pStyle w:val="11"/>
      <w:jc w:val="center"/>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BD2358">
                          <w:pPr>
                            <w:pStyle w:val="11"/>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8BD2358">
                    <w:pPr>
                      <w:pStyle w:val="11"/>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p w14:paraId="376FED3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B7325">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C6"/>
    <w:rsid w:val="0002549F"/>
    <w:rsid w:val="000409AE"/>
    <w:rsid w:val="000468DB"/>
    <w:rsid w:val="0006487A"/>
    <w:rsid w:val="00065F8F"/>
    <w:rsid w:val="00070A43"/>
    <w:rsid w:val="000768F2"/>
    <w:rsid w:val="000833F9"/>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02F1"/>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1F5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93B52"/>
    <w:rsid w:val="00DA634F"/>
    <w:rsid w:val="00DA65AC"/>
    <w:rsid w:val="00DB1913"/>
    <w:rsid w:val="00DC0CAC"/>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E5D7E"/>
    <w:rsid w:val="01431A4A"/>
    <w:rsid w:val="015975B8"/>
    <w:rsid w:val="02317B1B"/>
    <w:rsid w:val="028216F3"/>
    <w:rsid w:val="02A52F84"/>
    <w:rsid w:val="02FEBE30"/>
    <w:rsid w:val="03032BFE"/>
    <w:rsid w:val="031A59A9"/>
    <w:rsid w:val="0369751C"/>
    <w:rsid w:val="03701033"/>
    <w:rsid w:val="0390516E"/>
    <w:rsid w:val="039E680B"/>
    <w:rsid w:val="03C816C2"/>
    <w:rsid w:val="0459572E"/>
    <w:rsid w:val="04AC5254"/>
    <w:rsid w:val="04AD51B8"/>
    <w:rsid w:val="04DA06EF"/>
    <w:rsid w:val="05FC4982"/>
    <w:rsid w:val="061E35DE"/>
    <w:rsid w:val="065C34DF"/>
    <w:rsid w:val="066E0107"/>
    <w:rsid w:val="069B7C33"/>
    <w:rsid w:val="06D24892"/>
    <w:rsid w:val="078262B3"/>
    <w:rsid w:val="078A686A"/>
    <w:rsid w:val="07975B80"/>
    <w:rsid w:val="07996F6E"/>
    <w:rsid w:val="07DFD8BA"/>
    <w:rsid w:val="086E1AA3"/>
    <w:rsid w:val="0886328A"/>
    <w:rsid w:val="088D6498"/>
    <w:rsid w:val="08D42B7D"/>
    <w:rsid w:val="08DB07E4"/>
    <w:rsid w:val="094E5251"/>
    <w:rsid w:val="095C7B4D"/>
    <w:rsid w:val="09867E8F"/>
    <w:rsid w:val="098B72B4"/>
    <w:rsid w:val="099E218C"/>
    <w:rsid w:val="09B7601C"/>
    <w:rsid w:val="0A2032A3"/>
    <w:rsid w:val="0ACA1C0A"/>
    <w:rsid w:val="0BB30DED"/>
    <w:rsid w:val="0BF91683"/>
    <w:rsid w:val="0C173C78"/>
    <w:rsid w:val="0C30080D"/>
    <w:rsid w:val="0C640956"/>
    <w:rsid w:val="0C6C4794"/>
    <w:rsid w:val="0CA8290A"/>
    <w:rsid w:val="0D35B1ED"/>
    <w:rsid w:val="0D604782"/>
    <w:rsid w:val="0D647384"/>
    <w:rsid w:val="0D72399D"/>
    <w:rsid w:val="0DA306EE"/>
    <w:rsid w:val="0DBB5D95"/>
    <w:rsid w:val="0DE07E2B"/>
    <w:rsid w:val="0E195228"/>
    <w:rsid w:val="0E5F45F3"/>
    <w:rsid w:val="0EE77D0B"/>
    <w:rsid w:val="0F386586"/>
    <w:rsid w:val="0F98263C"/>
    <w:rsid w:val="0FD026AC"/>
    <w:rsid w:val="101510DA"/>
    <w:rsid w:val="101860EC"/>
    <w:rsid w:val="105E064F"/>
    <w:rsid w:val="10884FAF"/>
    <w:rsid w:val="10C055FF"/>
    <w:rsid w:val="10DA74FA"/>
    <w:rsid w:val="110732FE"/>
    <w:rsid w:val="113530C8"/>
    <w:rsid w:val="114C52EE"/>
    <w:rsid w:val="11772AA4"/>
    <w:rsid w:val="118107EC"/>
    <w:rsid w:val="119903FE"/>
    <w:rsid w:val="11C65FEE"/>
    <w:rsid w:val="12347DD9"/>
    <w:rsid w:val="1236016D"/>
    <w:rsid w:val="123D4DB3"/>
    <w:rsid w:val="126D4B79"/>
    <w:rsid w:val="12C754DE"/>
    <w:rsid w:val="13453400"/>
    <w:rsid w:val="136C3A6D"/>
    <w:rsid w:val="13C75F0B"/>
    <w:rsid w:val="13D478B8"/>
    <w:rsid w:val="13D50BC4"/>
    <w:rsid w:val="13E833B7"/>
    <w:rsid w:val="14022904"/>
    <w:rsid w:val="14116779"/>
    <w:rsid w:val="144C4E21"/>
    <w:rsid w:val="14915DCE"/>
    <w:rsid w:val="149E4CAA"/>
    <w:rsid w:val="152F2A07"/>
    <w:rsid w:val="153D4C0D"/>
    <w:rsid w:val="15767436"/>
    <w:rsid w:val="15F4486A"/>
    <w:rsid w:val="165E0673"/>
    <w:rsid w:val="16BB723D"/>
    <w:rsid w:val="1705386D"/>
    <w:rsid w:val="173A24A9"/>
    <w:rsid w:val="17880739"/>
    <w:rsid w:val="17EA04AD"/>
    <w:rsid w:val="181D2D08"/>
    <w:rsid w:val="184D3992"/>
    <w:rsid w:val="186504BB"/>
    <w:rsid w:val="189701E7"/>
    <w:rsid w:val="19106403"/>
    <w:rsid w:val="19130410"/>
    <w:rsid w:val="1938089F"/>
    <w:rsid w:val="19A445FC"/>
    <w:rsid w:val="1A85654B"/>
    <w:rsid w:val="1A8C55EC"/>
    <w:rsid w:val="1AF30833"/>
    <w:rsid w:val="1B14057B"/>
    <w:rsid w:val="1B5B1521"/>
    <w:rsid w:val="1B7D550C"/>
    <w:rsid w:val="1BA82FED"/>
    <w:rsid w:val="1BC140ED"/>
    <w:rsid w:val="1BE8440E"/>
    <w:rsid w:val="1C79313D"/>
    <w:rsid w:val="1D155CEE"/>
    <w:rsid w:val="1D4A647E"/>
    <w:rsid w:val="1D61352C"/>
    <w:rsid w:val="1D6E46D4"/>
    <w:rsid w:val="1D7B2297"/>
    <w:rsid w:val="1E34141D"/>
    <w:rsid w:val="1E4470D6"/>
    <w:rsid w:val="1E740ACF"/>
    <w:rsid w:val="1F0274EC"/>
    <w:rsid w:val="1F422010"/>
    <w:rsid w:val="1F5C21FD"/>
    <w:rsid w:val="1FF35744"/>
    <w:rsid w:val="1FF6BC77"/>
    <w:rsid w:val="216B0BDF"/>
    <w:rsid w:val="21962A9E"/>
    <w:rsid w:val="21AE7C77"/>
    <w:rsid w:val="21DF2155"/>
    <w:rsid w:val="21E754AC"/>
    <w:rsid w:val="2207344E"/>
    <w:rsid w:val="229A4B54"/>
    <w:rsid w:val="22BC3C41"/>
    <w:rsid w:val="22DA20BB"/>
    <w:rsid w:val="22E449E3"/>
    <w:rsid w:val="22FD1376"/>
    <w:rsid w:val="22FE4E63"/>
    <w:rsid w:val="23860B96"/>
    <w:rsid w:val="240371BF"/>
    <w:rsid w:val="24963695"/>
    <w:rsid w:val="24BC2725"/>
    <w:rsid w:val="24E25225"/>
    <w:rsid w:val="25BC3E78"/>
    <w:rsid w:val="25C66AF5"/>
    <w:rsid w:val="25E74273"/>
    <w:rsid w:val="25FF601B"/>
    <w:rsid w:val="260F557C"/>
    <w:rsid w:val="266563FC"/>
    <w:rsid w:val="26666435"/>
    <w:rsid w:val="266D329C"/>
    <w:rsid w:val="268166B9"/>
    <w:rsid w:val="26E36D60"/>
    <w:rsid w:val="27054714"/>
    <w:rsid w:val="27B800C2"/>
    <w:rsid w:val="27C84A43"/>
    <w:rsid w:val="281408E2"/>
    <w:rsid w:val="28D7460F"/>
    <w:rsid w:val="290B5D62"/>
    <w:rsid w:val="292359E4"/>
    <w:rsid w:val="29CB06AB"/>
    <w:rsid w:val="29E76B67"/>
    <w:rsid w:val="29FD04D3"/>
    <w:rsid w:val="2A667DAF"/>
    <w:rsid w:val="2AD16129"/>
    <w:rsid w:val="2B164EBE"/>
    <w:rsid w:val="2B5836FE"/>
    <w:rsid w:val="2B8C6870"/>
    <w:rsid w:val="2B8E1990"/>
    <w:rsid w:val="2B9042A4"/>
    <w:rsid w:val="2BFF7BC6"/>
    <w:rsid w:val="2C4A1A38"/>
    <w:rsid w:val="2C874CEF"/>
    <w:rsid w:val="2C8A61B5"/>
    <w:rsid w:val="2D03015C"/>
    <w:rsid w:val="2D2E01CF"/>
    <w:rsid w:val="2DF04E50"/>
    <w:rsid w:val="2E4B2482"/>
    <w:rsid w:val="2E9545B0"/>
    <w:rsid w:val="2EA03C86"/>
    <w:rsid w:val="2EFF61C5"/>
    <w:rsid w:val="2F040D46"/>
    <w:rsid w:val="2F673ED3"/>
    <w:rsid w:val="2FAE5751"/>
    <w:rsid w:val="2FB1A395"/>
    <w:rsid w:val="2FD9A7D8"/>
    <w:rsid w:val="30986AF1"/>
    <w:rsid w:val="30A957E4"/>
    <w:rsid w:val="30B148D6"/>
    <w:rsid w:val="311057A0"/>
    <w:rsid w:val="316B201F"/>
    <w:rsid w:val="317556FF"/>
    <w:rsid w:val="319F7F4E"/>
    <w:rsid w:val="31B51E0D"/>
    <w:rsid w:val="31DC4014"/>
    <w:rsid w:val="320A2BCE"/>
    <w:rsid w:val="321B2544"/>
    <w:rsid w:val="32EC28E3"/>
    <w:rsid w:val="3304709D"/>
    <w:rsid w:val="33240E2C"/>
    <w:rsid w:val="335A2B4F"/>
    <w:rsid w:val="337E0C62"/>
    <w:rsid w:val="34281836"/>
    <w:rsid w:val="349D6851"/>
    <w:rsid w:val="34C20FD6"/>
    <w:rsid w:val="34C45119"/>
    <w:rsid w:val="350466DA"/>
    <w:rsid w:val="350770AC"/>
    <w:rsid w:val="35531E44"/>
    <w:rsid w:val="35673B29"/>
    <w:rsid w:val="35BA6CAF"/>
    <w:rsid w:val="35CF6FF8"/>
    <w:rsid w:val="35DA2C9F"/>
    <w:rsid w:val="35FC78A0"/>
    <w:rsid w:val="364D14C1"/>
    <w:rsid w:val="367A26EC"/>
    <w:rsid w:val="36AA5135"/>
    <w:rsid w:val="36BE0DA7"/>
    <w:rsid w:val="376B6AA6"/>
    <w:rsid w:val="376D39B2"/>
    <w:rsid w:val="37E16F03"/>
    <w:rsid w:val="37F53A3B"/>
    <w:rsid w:val="37FD3869"/>
    <w:rsid w:val="382A376D"/>
    <w:rsid w:val="38604B0B"/>
    <w:rsid w:val="389B6C89"/>
    <w:rsid w:val="38D255D2"/>
    <w:rsid w:val="38D469F0"/>
    <w:rsid w:val="38E35C8E"/>
    <w:rsid w:val="392216AE"/>
    <w:rsid w:val="394C5BC6"/>
    <w:rsid w:val="39627CCD"/>
    <w:rsid w:val="397BAF1F"/>
    <w:rsid w:val="3985394A"/>
    <w:rsid w:val="3A834489"/>
    <w:rsid w:val="3AB79AF3"/>
    <w:rsid w:val="3AEA3BE2"/>
    <w:rsid w:val="3B5F79F7"/>
    <w:rsid w:val="3B7EF35A"/>
    <w:rsid w:val="3B883DCD"/>
    <w:rsid w:val="3B9FDB6C"/>
    <w:rsid w:val="3BDA7A57"/>
    <w:rsid w:val="3BF5BC2F"/>
    <w:rsid w:val="3C1415FB"/>
    <w:rsid w:val="3C16346D"/>
    <w:rsid w:val="3CDF116D"/>
    <w:rsid w:val="3CEBA265"/>
    <w:rsid w:val="3CFD291B"/>
    <w:rsid w:val="3D98207C"/>
    <w:rsid w:val="3D9B0D99"/>
    <w:rsid w:val="3DB748EB"/>
    <w:rsid w:val="3DE2791A"/>
    <w:rsid w:val="3DEE7CF3"/>
    <w:rsid w:val="3DF02244"/>
    <w:rsid w:val="3E1675C3"/>
    <w:rsid w:val="3E407AAF"/>
    <w:rsid w:val="3E78745D"/>
    <w:rsid w:val="3E9C6B44"/>
    <w:rsid w:val="3EE427BB"/>
    <w:rsid w:val="3F767B2C"/>
    <w:rsid w:val="3F873E13"/>
    <w:rsid w:val="3FDD2F6E"/>
    <w:rsid w:val="3FF3077A"/>
    <w:rsid w:val="3FF4CAE0"/>
    <w:rsid w:val="3FF7B227"/>
    <w:rsid w:val="40772F52"/>
    <w:rsid w:val="407F58F4"/>
    <w:rsid w:val="40E54C45"/>
    <w:rsid w:val="411A2C84"/>
    <w:rsid w:val="416405D4"/>
    <w:rsid w:val="41925434"/>
    <w:rsid w:val="42273733"/>
    <w:rsid w:val="4309548A"/>
    <w:rsid w:val="431023AD"/>
    <w:rsid w:val="43135D99"/>
    <w:rsid w:val="43532807"/>
    <w:rsid w:val="43A407DF"/>
    <w:rsid w:val="44056110"/>
    <w:rsid w:val="44225C76"/>
    <w:rsid w:val="44457410"/>
    <w:rsid w:val="44515BEA"/>
    <w:rsid w:val="44E268DA"/>
    <w:rsid w:val="453F7E5B"/>
    <w:rsid w:val="454A6CBD"/>
    <w:rsid w:val="458F06AB"/>
    <w:rsid w:val="46081DC4"/>
    <w:rsid w:val="46316D40"/>
    <w:rsid w:val="46330218"/>
    <w:rsid w:val="46347812"/>
    <w:rsid w:val="46773B8D"/>
    <w:rsid w:val="46B6057A"/>
    <w:rsid w:val="46B61793"/>
    <w:rsid w:val="46F4765C"/>
    <w:rsid w:val="46FB3E91"/>
    <w:rsid w:val="47033DFC"/>
    <w:rsid w:val="47272598"/>
    <w:rsid w:val="475424FD"/>
    <w:rsid w:val="478D5F73"/>
    <w:rsid w:val="47B2292F"/>
    <w:rsid w:val="486A6C7A"/>
    <w:rsid w:val="48C46256"/>
    <w:rsid w:val="48CD641C"/>
    <w:rsid w:val="490D7B75"/>
    <w:rsid w:val="49176D9B"/>
    <w:rsid w:val="492D05E3"/>
    <w:rsid w:val="4953791E"/>
    <w:rsid w:val="499C7ED1"/>
    <w:rsid w:val="49AE276B"/>
    <w:rsid w:val="49CB2F9F"/>
    <w:rsid w:val="49F2153F"/>
    <w:rsid w:val="4A124A89"/>
    <w:rsid w:val="4A627F82"/>
    <w:rsid w:val="4B0E749A"/>
    <w:rsid w:val="4B4F25DA"/>
    <w:rsid w:val="4B50081C"/>
    <w:rsid w:val="4BDA0CFB"/>
    <w:rsid w:val="4BE068DB"/>
    <w:rsid w:val="4C150FBA"/>
    <w:rsid w:val="4CBC7AF3"/>
    <w:rsid w:val="4CF40ECD"/>
    <w:rsid w:val="4CFE1F3B"/>
    <w:rsid w:val="4D3C0CCC"/>
    <w:rsid w:val="4D537E10"/>
    <w:rsid w:val="4D577224"/>
    <w:rsid w:val="4D802136"/>
    <w:rsid w:val="4DBF1CEB"/>
    <w:rsid w:val="4E04502D"/>
    <w:rsid w:val="4E341CC8"/>
    <w:rsid w:val="4EAB630A"/>
    <w:rsid w:val="4ECA0E53"/>
    <w:rsid w:val="4ECE2238"/>
    <w:rsid w:val="4ED65279"/>
    <w:rsid w:val="4F2C7325"/>
    <w:rsid w:val="4F390273"/>
    <w:rsid w:val="4F833267"/>
    <w:rsid w:val="4FDF2F1A"/>
    <w:rsid w:val="4FE9BD67"/>
    <w:rsid w:val="4FF053B2"/>
    <w:rsid w:val="4FFB052F"/>
    <w:rsid w:val="50044053"/>
    <w:rsid w:val="50B463F5"/>
    <w:rsid w:val="51162A3E"/>
    <w:rsid w:val="52000615"/>
    <w:rsid w:val="5254266D"/>
    <w:rsid w:val="5275209D"/>
    <w:rsid w:val="529945F3"/>
    <w:rsid w:val="529E4EFE"/>
    <w:rsid w:val="52D860FA"/>
    <w:rsid w:val="53083A92"/>
    <w:rsid w:val="532B0103"/>
    <w:rsid w:val="537E6D0A"/>
    <w:rsid w:val="53A17016"/>
    <w:rsid w:val="53AF27A2"/>
    <w:rsid w:val="53E831F9"/>
    <w:rsid w:val="53EB10A9"/>
    <w:rsid w:val="53F74C96"/>
    <w:rsid w:val="54042277"/>
    <w:rsid w:val="54175782"/>
    <w:rsid w:val="544C2923"/>
    <w:rsid w:val="54C120D0"/>
    <w:rsid w:val="55757180"/>
    <w:rsid w:val="56141D44"/>
    <w:rsid w:val="56160ACB"/>
    <w:rsid w:val="56A66BBF"/>
    <w:rsid w:val="56CF2477"/>
    <w:rsid w:val="56E47B74"/>
    <w:rsid w:val="56EE055B"/>
    <w:rsid w:val="57362589"/>
    <w:rsid w:val="57BD3DD4"/>
    <w:rsid w:val="58194E86"/>
    <w:rsid w:val="58776FB0"/>
    <w:rsid w:val="58DD36E9"/>
    <w:rsid w:val="59683C07"/>
    <w:rsid w:val="59B966C3"/>
    <w:rsid w:val="5A4C7220"/>
    <w:rsid w:val="5A600155"/>
    <w:rsid w:val="5AC8063F"/>
    <w:rsid w:val="5AF92295"/>
    <w:rsid w:val="5B563FB5"/>
    <w:rsid w:val="5B692B86"/>
    <w:rsid w:val="5BDD79E6"/>
    <w:rsid w:val="5BF561CA"/>
    <w:rsid w:val="5BFF5DFC"/>
    <w:rsid w:val="5C052CF9"/>
    <w:rsid w:val="5C9B11E4"/>
    <w:rsid w:val="5CD71FC4"/>
    <w:rsid w:val="5CFF31EA"/>
    <w:rsid w:val="5D1F11B5"/>
    <w:rsid w:val="5DA311AC"/>
    <w:rsid w:val="5DA554BE"/>
    <w:rsid w:val="5DAE1B18"/>
    <w:rsid w:val="5DE7D9E5"/>
    <w:rsid w:val="5DEA0758"/>
    <w:rsid w:val="5E0F68D8"/>
    <w:rsid w:val="5E153A69"/>
    <w:rsid w:val="5E355899"/>
    <w:rsid w:val="5ECEC941"/>
    <w:rsid w:val="5EF90C3C"/>
    <w:rsid w:val="5EFB4940"/>
    <w:rsid w:val="5F0720F8"/>
    <w:rsid w:val="5F2179D1"/>
    <w:rsid w:val="5F3631AD"/>
    <w:rsid w:val="5F493CB7"/>
    <w:rsid w:val="5FA81693"/>
    <w:rsid w:val="5FBF9FF3"/>
    <w:rsid w:val="5FCD4E2C"/>
    <w:rsid w:val="5FD15F49"/>
    <w:rsid w:val="5FDE017F"/>
    <w:rsid w:val="5FEF394A"/>
    <w:rsid w:val="5FF67715"/>
    <w:rsid w:val="602C4412"/>
    <w:rsid w:val="60EB218E"/>
    <w:rsid w:val="60F92651"/>
    <w:rsid w:val="6147526E"/>
    <w:rsid w:val="617F2350"/>
    <w:rsid w:val="61851351"/>
    <w:rsid w:val="62BF3928"/>
    <w:rsid w:val="632E00A7"/>
    <w:rsid w:val="641C68CD"/>
    <w:rsid w:val="647F5392"/>
    <w:rsid w:val="65287114"/>
    <w:rsid w:val="65490238"/>
    <w:rsid w:val="659837E8"/>
    <w:rsid w:val="65B37C68"/>
    <w:rsid w:val="65B6666E"/>
    <w:rsid w:val="65E60204"/>
    <w:rsid w:val="65ED6D44"/>
    <w:rsid w:val="664B1D71"/>
    <w:rsid w:val="66543172"/>
    <w:rsid w:val="6675632D"/>
    <w:rsid w:val="66C27F35"/>
    <w:rsid w:val="670F762C"/>
    <w:rsid w:val="67970F7D"/>
    <w:rsid w:val="679E46CA"/>
    <w:rsid w:val="67AA3209"/>
    <w:rsid w:val="67CD705D"/>
    <w:rsid w:val="680229AF"/>
    <w:rsid w:val="681C4F0D"/>
    <w:rsid w:val="68893CF7"/>
    <w:rsid w:val="6894480E"/>
    <w:rsid w:val="68AD66CB"/>
    <w:rsid w:val="68C45961"/>
    <w:rsid w:val="68D13910"/>
    <w:rsid w:val="68DC0114"/>
    <w:rsid w:val="69046D0F"/>
    <w:rsid w:val="6954574C"/>
    <w:rsid w:val="698D0931"/>
    <w:rsid w:val="69A3595F"/>
    <w:rsid w:val="69CC2657"/>
    <w:rsid w:val="6A0F3E3A"/>
    <w:rsid w:val="6A0F720C"/>
    <w:rsid w:val="6A492BFA"/>
    <w:rsid w:val="6A993CED"/>
    <w:rsid w:val="6ABF0B30"/>
    <w:rsid w:val="6B053271"/>
    <w:rsid w:val="6B0F0B9E"/>
    <w:rsid w:val="6B984B15"/>
    <w:rsid w:val="6BCE6674"/>
    <w:rsid w:val="6C442A2F"/>
    <w:rsid w:val="6C4A05C8"/>
    <w:rsid w:val="6C7A7686"/>
    <w:rsid w:val="6C8742B8"/>
    <w:rsid w:val="6C8A170F"/>
    <w:rsid w:val="6CA404CA"/>
    <w:rsid w:val="6CB54609"/>
    <w:rsid w:val="6D0B3840"/>
    <w:rsid w:val="6D154D66"/>
    <w:rsid w:val="6D9A3D0F"/>
    <w:rsid w:val="6DA84951"/>
    <w:rsid w:val="6DB36F55"/>
    <w:rsid w:val="6DB85E1E"/>
    <w:rsid w:val="6DBB3515"/>
    <w:rsid w:val="6DBD6A19"/>
    <w:rsid w:val="6DBF5E93"/>
    <w:rsid w:val="6DD4443F"/>
    <w:rsid w:val="6DF8732E"/>
    <w:rsid w:val="6DFF077E"/>
    <w:rsid w:val="6E62679B"/>
    <w:rsid w:val="6E7E3605"/>
    <w:rsid w:val="6E7FDCC7"/>
    <w:rsid w:val="6EC16B87"/>
    <w:rsid w:val="6EC923CE"/>
    <w:rsid w:val="6ED6A62E"/>
    <w:rsid w:val="6EDF4571"/>
    <w:rsid w:val="6EE00B15"/>
    <w:rsid w:val="6F544B20"/>
    <w:rsid w:val="6F6FB3EB"/>
    <w:rsid w:val="6F77126D"/>
    <w:rsid w:val="6F784160"/>
    <w:rsid w:val="6F8731EA"/>
    <w:rsid w:val="6FC3367F"/>
    <w:rsid w:val="6FCE6052"/>
    <w:rsid w:val="6FD57C00"/>
    <w:rsid w:val="6FEFFFD8"/>
    <w:rsid w:val="6FF5CC65"/>
    <w:rsid w:val="6FFB47EC"/>
    <w:rsid w:val="6FFF034A"/>
    <w:rsid w:val="700C20A9"/>
    <w:rsid w:val="701C2986"/>
    <w:rsid w:val="70496804"/>
    <w:rsid w:val="705B5186"/>
    <w:rsid w:val="70691E06"/>
    <w:rsid w:val="712A28F1"/>
    <w:rsid w:val="715C0E4B"/>
    <w:rsid w:val="71A3637F"/>
    <w:rsid w:val="71C823A7"/>
    <w:rsid w:val="72233669"/>
    <w:rsid w:val="72734D90"/>
    <w:rsid w:val="72985992"/>
    <w:rsid w:val="72B33FBD"/>
    <w:rsid w:val="7332FE48"/>
    <w:rsid w:val="733B468E"/>
    <w:rsid w:val="73551986"/>
    <w:rsid w:val="7359474B"/>
    <w:rsid w:val="735A6C75"/>
    <w:rsid w:val="739B1A66"/>
    <w:rsid w:val="73AB61DA"/>
    <w:rsid w:val="73AD73D5"/>
    <w:rsid w:val="73B6EB34"/>
    <w:rsid w:val="73FA497D"/>
    <w:rsid w:val="744731E5"/>
    <w:rsid w:val="74527205"/>
    <w:rsid w:val="74BBD01D"/>
    <w:rsid w:val="74C15E1E"/>
    <w:rsid w:val="74ED5379"/>
    <w:rsid w:val="74FC2395"/>
    <w:rsid w:val="75074DF7"/>
    <w:rsid w:val="75371F54"/>
    <w:rsid w:val="75DEEEC2"/>
    <w:rsid w:val="762C1A00"/>
    <w:rsid w:val="76412D52"/>
    <w:rsid w:val="76E3355F"/>
    <w:rsid w:val="76FF5125"/>
    <w:rsid w:val="770045CD"/>
    <w:rsid w:val="77112CED"/>
    <w:rsid w:val="776F6FFA"/>
    <w:rsid w:val="778769C8"/>
    <w:rsid w:val="77DC22F5"/>
    <w:rsid w:val="77F73AED"/>
    <w:rsid w:val="783842C9"/>
    <w:rsid w:val="783B1B25"/>
    <w:rsid w:val="78936F61"/>
    <w:rsid w:val="79086DAD"/>
    <w:rsid w:val="790B6B7F"/>
    <w:rsid w:val="79597C24"/>
    <w:rsid w:val="798B5E75"/>
    <w:rsid w:val="79974F09"/>
    <w:rsid w:val="79D7FD79"/>
    <w:rsid w:val="79EE5BA4"/>
    <w:rsid w:val="7A6F7B00"/>
    <w:rsid w:val="7A894339"/>
    <w:rsid w:val="7AED003A"/>
    <w:rsid w:val="7AFF7572"/>
    <w:rsid w:val="7B6C7DFB"/>
    <w:rsid w:val="7BBFBED0"/>
    <w:rsid w:val="7BC3E394"/>
    <w:rsid w:val="7BE7181B"/>
    <w:rsid w:val="7C09750D"/>
    <w:rsid w:val="7C1F3737"/>
    <w:rsid w:val="7C60616F"/>
    <w:rsid w:val="7C631EB1"/>
    <w:rsid w:val="7CBFC87B"/>
    <w:rsid w:val="7CC51E3F"/>
    <w:rsid w:val="7CFE0F48"/>
    <w:rsid w:val="7D7EC23E"/>
    <w:rsid w:val="7D916348"/>
    <w:rsid w:val="7D925D0F"/>
    <w:rsid w:val="7D9B7E3C"/>
    <w:rsid w:val="7E8ADEBF"/>
    <w:rsid w:val="7EEF11D3"/>
    <w:rsid w:val="7F0971A6"/>
    <w:rsid w:val="7F155E8B"/>
    <w:rsid w:val="7F3F679B"/>
    <w:rsid w:val="7F4FC4EF"/>
    <w:rsid w:val="7F5E4D54"/>
    <w:rsid w:val="7F6BCDC5"/>
    <w:rsid w:val="7F6E0135"/>
    <w:rsid w:val="7FA30C79"/>
    <w:rsid w:val="7FAF8ABF"/>
    <w:rsid w:val="7FB51265"/>
    <w:rsid w:val="7FB7269E"/>
    <w:rsid w:val="7FC96657"/>
    <w:rsid w:val="7FDA9588"/>
    <w:rsid w:val="7FDF220F"/>
    <w:rsid w:val="7FEDC5F7"/>
    <w:rsid w:val="7FEDD9DE"/>
    <w:rsid w:val="7FF5890D"/>
    <w:rsid w:val="7FF93490"/>
    <w:rsid w:val="99FF2014"/>
    <w:rsid w:val="9DBEFF86"/>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CF7014"/>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25&#24180;&#20915;&#31639;&#20844;&#24320;\&#36164;&#26009;\&#22270;&#34920;&#65288;&#26412;&#32423;&#652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25&#24180;&#20915;&#31639;&#20844;&#24320;\&#36164;&#26009;\&#22270;&#34920;&#65288;&#26412;&#32423;&#652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025&#24180;&#20915;&#31639;&#20844;&#24320;\&#36164;&#26009;\&#22270;&#34920;&#65288;&#26412;&#32423;&#652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25&#24180;&#20915;&#31639;&#20844;&#24320;\&#36164;&#26009;\&#22270;&#34920;&#65288;&#26412;&#32423;&#652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5&#24180;&#20915;&#31639;&#20844;&#24320;\&#36164;&#26009;\&#22270;&#34920;&#65288;&#26412;&#32423;&#652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025&#24180;&#20915;&#31639;&#20844;&#24320;\&#36164;&#26009;\&#22270;&#34920;&#65288;&#26412;&#32423;&#65289;.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025&#24180;&#20915;&#31639;&#20844;&#24320;\&#36164;&#26009;\&#22270;&#34920;&#65288;&#26412;&#32423;&#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400766283525"/>
          <c:y val="0.0618128512093819"/>
          <c:w val="0.820285057471264"/>
          <c:h val="0.762365013437576"/>
        </c:manualLayout>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cap="none" spc="0" normalizeH="0" baseline="0">
                    <a:solidFill>
                      <a:srgbClr val="000000">
                        <a:alpha val="100000"/>
                      </a:srgbClr>
                    </a:solidFill>
                    <a:uFill>
                      <a:solidFill>
                        <a:srgbClr val="000000">
                          <a:alpha val="100000"/>
                        </a:srgbClr>
                      </a:solidFill>
                    </a:u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'[图表（本级）.xls]站'!$C$1:$D$1</c:f>
              <c:strCache>
                <c:ptCount val="2"/>
                <c:pt idx="0">
                  <c:v>2024年度</c:v>
                </c:pt>
                <c:pt idx="1">
                  <c:v>2025年度</c:v>
                </c:pt>
              </c:strCache>
            </c:strRef>
          </c:cat>
          <c:val>
            <c:numRef>
              <c:f>'[图表（本级）.xls]站'!$C$2:$D$2</c:f>
              <c:numCache>
                <c:formatCode>General</c:formatCode>
                <c:ptCount val="2"/>
                <c:pt idx="0">
                  <c:v>558.54</c:v>
                </c:pt>
                <c:pt idx="1">
                  <c:v>343.8</c:v>
                </c:pt>
              </c:numCache>
            </c:numRef>
          </c:val>
        </c:ser>
        <c:ser>
          <c:idx val="1"/>
          <c:order val="1"/>
          <c:spPr>
            <a:solidFill>
              <a:srgbClr val="993366"/>
            </a:solidFill>
            <a:ln w="12700">
              <a:solidFill>
                <a:srgbClr val="000000">
                  <a:alpha val="100000"/>
                </a:srgbClr>
              </a:solidFill>
              <a:prstDash val="solid"/>
            </a:ln>
            <a:effectLst/>
          </c:spPr>
          <c:invertIfNegative val="0"/>
          <c:dLbls>
            <c:delete val="1"/>
          </c:dLbls>
          <c:cat>
            <c:strRef>
              <c:f>'[图表（本级）.xls]站'!$C$1:$D$1</c:f>
              <c:strCache>
                <c:ptCount val="2"/>
                <c:pt idx="0">
                  <c:v>2024年度</c:v>
                </c:pt>
                <c:pt idx="1">
                  <c:v>2025年度</c:v>
                </c:pt>
              </c:strCache>
            </c:strRef>
          </c:cat>
          <c:val>
            <c:numRef>
              <c:f>'[图表（本级）.xls]站'!$C$3:$D$3</c:f>
              <c:numCache>
                <c:formatCode>General</c:formatCode>
                <c:ptCount val="2"/>
              </c:numCache>
            </c:numRef>
          </c:val>
        </c:ser>
        <c:dLbls>
          <c:showLegendKey val="0"/>
          <c:showVal val="0"/>
          <c:showCatName val="0"/>
          <c:showSerName val="0"/>
          <c:showPercent val="0"/>
          <c:showBubbleSize val="0"/>
        </c:dLbls>
        <c:gapWidth val="150"/>
        <c:overlap val="0"/>
        <c:axId val="949497218"/>
        <c:axId val="794933518"/>
      </c:barChart>
      <c:catAx>
        <c:axId val="949497218"/>
        <c:scaling>
          <c:orientation val="minMax"/>
        </c:scaling>
        <c:delete val="0"/>
        <c:axPos val="b"/>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000" b="0" i="0" u="none" strike="noStrike" kern="1200" cap="none" spc="0" normalizeH="0" baseline="0">
                <a:solidFill>
                  <a:srgbClr val="000000">
                    <a:alpha val="100000"/>
                  </a:srgbClr>
                </a:solidFill>
                <a:uFill>
                  <a:solidFill>
                    <a:srgbClr val="000000">
                      <a:alpha val="100000"/>
                    </a:srgbClr>
                  </a:solidFill>
                </a:uFill>
                <a:latin typeface="宋体" panose="02010600030101010101" charset="-122"/>
                <a:ea typeface="宋体" panose="02010600030101010101" charset="-122"/>
                <a:cs typeface="宋体" panose="02010600030101010101" charset="-122"/>
              </a:defRPr>
            </a:pPr>
          </a:p>
        </c:txPr>
        <c:crossAx val="794933518"/>
        <c:crosses val="autoZero"/>
        <c:auto val="1"/>
        <c:lblAlgn val="ctr"/>
        <c:lblOffset val="100"/>
        <c:noMultiLvlLbl val="0"/>
      </c:catAx>
      <c:valAx>
        <c:axId val="794933518"/>
        <c:scaling>
          <c:orientation val="minMax"/>
          <c:min val="0"/>
        </c:scaling>
        <c:delete val="0"/>
        <c:axPos val="l"/>
        <c:majorGridlines>
          <c:spPr>
            <a:ln w="3175" cap="flat" cmpd="sng" algn="ctr">
              <a:solidFill>
                <a:srgbClr val="000000">
                  <a:alpha val="100000"/>
                </a:srgbClr>
              </a:solidFill>
              <a:prstDash val="solid"/>
              <a:round/>
            </a:ln>
            <a:effectLst/>
          </c:spPr>
        </c:majorGridlines>
        <c:numFmt formatCode="General" sourceLinked="1"/>
        <c:majorTickMark val="in"/>
        <c:minorTickMark val="none"/>
        <c:tickLblPos val="nextTo"/>
        <c:spPr>
          <a:noFill/>
          <a:ln w="3175" cap="flat" cmpd="sng" algn="ctr">
            <a:solidFill>
              <a:srgbClr val="000000">
                <a:alpha val="100000"/>
              </a:srgbClr>
            </a:solidFill>
            <a:prstDash val="solid"/>
            <a:round/>
          </a:ln>
          <a:effectLst/>
        </c:spPr>
        <c:txPr>
          <a:bodyPr rot="0" spcFirstLastPara="0" vertOverflow="ellipsis" vert="horz" wrap="square" anchor="ctr" anchorCtr="1"/>
          <a:lstStyle/>
          <a:p>
            <a:pPr>
              <a:defRPr lang="zh-CN" sz="1000" b="0" i="0" u="none" strike="noStrike" kern="1200" cap="none" spc="0" normalizeH="0" baseline="0">
                <a:solidFill>
                  <a:srgbClr val="000000">
                    <a:alpha val="100000"/>
                  </a:srgbClr>
                </a:solidFill>
                <a:uFill>
                  <a:solidFill>
                    <a:srgbClr val="000000">
                      <a:alpha val="100000"/>
                    </a:srgbClr>
                  </a:solidFill>
                </a:uFill>
                <a:latin typeface="宋体" panose="02010600030101010101" charset="-122"/>
                <a:ea typeface="宋体" panose="02010600030101010101" charset="-122"/>
                <a:cs typeface="宋体" panose="02010600030101010101" charset="-122"/>
              </a:defRPr>
            </a:pPr>
          </a:p>
        </c:txPr>
        <c:crossAx val="949497218"/>
        <c:crosses val="autoZero"/>
        <c:crossBetween val="between"/>
        <c:minorUnit val="200"/>
      </c:valAx>
    </c:plotArea>
    <c:plotVisOnly val="1"/>
    <c:dispBlanksAs val="gap"/>
    <c:showDLblsOverMax val="0"/>
    <c:extLst>
      <c:ext uri="{0b15fc19-7d7d-44ad-8c2d-2c3a37ce22c3}">
        <chartProps xmlns="https://web.wps.cn/et/2018/main" chartId="{f2b66f77-1c7e-4f2e-9e00-90f32a2baac6}"/>
      </c:ext>
    </c:extLst>
  </c:chart>
  <c:spPr>
    <a:solidFill>
      <a:srgbClr val="FFFFFF"/>
    </a:solidFill>
    <a:ln w="3175" cap="flat" cmpd="sng" algn="ctr">
      <a:solidFill>
        <a:srgbClr val="000000">
          <a:alpha val="100000"/>
        </a:srgbClr>
      </a:solidFill>
      <a:prstDash val="solid"/>
      <a:round/>
    </a:ln>
    <a:effectLst/>
  </c:spPr>
  <c:txPr>
    <a:bodyPr rot="0" wrap="square" anchor="ctr" anchorCtr="1"/>
    <a:lstStyle/>
    <a:p>
      <a:pPr>
        <a:defRPr lang="zh-CN" sz="1000" b="0" i="0" u="none" strike="noStrike" kern="1200" cap="none" spc="0" normalizeH="0" baseline="0">
          <a:solidFill>
            <a:srgbClr val="000000">
              <a:alpha val="100000"/>
            </a:srgbClr>
          </a:solidFill>
          <a:uFill>
            <a:solidFill>
              <a:srgbClr val="000000">
                <a:alpha val="100000"/>
              </a:srgbClr>
            </a:solidFill>
          </a:u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explosion val="0"/>
            <c:spPr>
              <a:solidFill>
                <a:schemeClr val="accent1"/>
              </a:solidFill>
            </c:spPr>
          </c:dPt>
          <c:dPt>
            <c:idx val="1"/>
            <c:bubble3D val="0"/>
            <c:explosion val="0"/>
            <c:spPr>
              <a:solidFill>
                <a:schemeClr val="accent2">
                  <a:lumMod val="60000"/>
                  <a:lumOff val="40000"/>
                </a:schemeClr>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'[图表（本级）.xls]站'!$C$20:$C$21</c:f>
              <c:strCache>
                <c:ptCount val="2"/>
                <c:pt idx="0">
                  <c:v>一般公共预算财政拨款</c:v>
                </c:pt>
                <c:pt idx="1">
                  <c:v>其他收入</c:v>
                </c:pt>
              </c:strCache>
            </c:strRef>
          </c:cat>
          <c:val>
            <c:numRef>
              <c:f>'[图表（本级）.xls]站'!$D$20:$D$21</c:f>
              <c:numCache>
                <c:formatCode>General</c:formatCode>
                <c:ptCount val="2"/>
                <c:pt idx="0">
                  <c:v>252.42</c:v>
                </c:pt>
                <c:pt idx="1">
                  <c:v>91.38</c:v>
                </c:pt>
              </c:numCache>
            </c:numRef>
          </c:val>
        </c:ser>
        <c:ser>
          <c:idx val="1"/>
          <c:order val="1"/>
          <c:explosion val="0"/>
          <c:dPt>
            <c:idx val="0"/>
            <c:bubble3D val="0"/>
            <c:explosion val="0"/>
          </c:dPt>
          <c:dLbls>
            <c:delete val="1"/>
          </c:dLbls>
          <c:cat>
            <c:strRef>
              <c:f>'[图表（本级）.xls]站'!$C$20:$C$21</c:f>
              <c:strCache>
                <c:ptCount val="2"/>
                <c:pt idx="0">
                  <c:v>一般公共预算财政拨款</c:v>
                </c:pt>
                <c:pt idx="1">
                  <c:v>其他收入</c:v>
                </c:pt>
              </c:strCache>
            </c:strRef>
          </c:cat>
          <c:val>
            <c:numRef>
              <c:f>#REF!</c:f>
              <c:numCache>
                <c:formatCode>General</c:formatCode>
                <c:ptCount val="1"/>
              </c:numCache>
            </c:numRef>
          </c:val>
        </c:ser>
        <c:ser>
          <c:idx val="2"/>
          <c:order val="2"/>
          <c:explosion val="0"/>
          <c:dPt>
            <c:idx val="0"/>
            <c:bubble3D val="0"/>
            <c:explosion val="0"/>
          </c:dPt>
          <c:dPt>
            <c:idx val="1"/>
            <c:bubble3D val="0"/>
            <c:explosion val="0"/>
          </c:dPt>
          <c:dLbls>
            <c:delete val="1"/>
          </c:dLbls>
          <c:cat>
            <c:strRef>
              <c:f>'[图表（本级）.xls]站'!$C$20:$C$21</c:f>
              <c:strCache>
                <c:ptCount val="2"/>
                <c:pt idx="0">
                  <c:v>一般公共预算财政拨款</c:v>
                </c:pt>
                <c:pt idx="1">
                  <c:v>其他收入</c:v>
                </c:pt>
              </c:strCache>
            </c:strRef>
          </c:cat>
          <c:val>
            <c:numRef>
              <c:f>'[图表（本级）.xls]站'!$C$21:$D$21</c:f>
              <c:numCache>
                <c:formatCode>General</c:formatCode>
                <c:ptCount val="2"/>
                <c:pt idx="0">
                  <c:v>0</c:v>
                </c:pt>
                <c:pt idx="1">
                  <c:v>91.38</c:v>
                </c:pt>
              </c:numCache>
            </c:numRef>
          </c:val>
        </c:ser>
        <c:ser>
          <c:idx val="3"/>
          <c:order val="3"/>
          <c:tx>
            <c:strRef>
              <c:f>'[图表（本级）.xls]站'!$D$20:$D$21</c:f>
              <c:strCache>
                <c:ptCount val="1"/>
                <c:pt idx="0">
                  <c:v>252.42 91.38</c:v>
                </c:pt>
              </c:strCache>
            </c:strRef>
          </c:tx>
          <c:explosion val="0"/>
          <c:dPt>
            <c:idx val="0"/>
            <c:bubble3D val="0"/>
            <c:explosion val="0"/>
          </c:dPt>
          <c:dLbls>
            <c:delete val="1"/>
          </c:dLbls>
          <c:cat>
            <c:strRef>
              <c:f>'[图表（本级）.xls]站'!$C$20:$C$21</c:f>
              <c:strCache>
                <c:ptCount val="2"/>
                <c:pt idx="0">
                  <c:v>一般公共预算财政拨款</c:v>
                </c:pt>
                <c:pt idx="1">
                  <c:v>其他收入</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47"/>
          <c:y val="0.5035"/>
          <c:w val="0.23875"/>
          <c:h val="0.44425"/>
        </c:manualLayout>
      </c:layout>
      <c:overlay val="0"/>
      <c:spPr>
        <a:ln>
          <a:solidFill>
            <a:schemeClr val="accent1"/>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4c446b99-9144-4914-b280-060a572d9a14}"/>
      </c:ext>
    </c:extLst>
  </c:chart>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explosion val="0"/>
          <c:dPt>
            <c:idx val="0"/>
            <c:bubble3D val="0"/>
            <c:explosion val="0"/>
            <c:spPr>
              <a:solidFill>
                <a:schemeClr val="accent1"/>
              </a:solidFill>
            </c:spPr>
          </c:dPt>
          <c:dPt>
            <c:idx val="1"/>
            <c:bubble3D val="0"/>
            <c:explosion val="0"/>
            <c:spPr>
              <a:solidFill>
                <a:schemeClr val="accent2">
                  <a:lumMod val="60000"/>
                  <a:lumOff val="40000"/>
                </a:schemeClr>
              </a:solidFill>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'[图表（本级）.xls]站'!$C$40:$C$41</c:f>
              <c:strCache>
                <c:ptCount val="2"/>
                <c:pt idx="0">
                  <c:v>基本支出</c:v>
                </c:pt>
                <c:pt idx="1">
                  <c:v>项目支出</c:v>
                </c:pt>
              </c:strCache>
            </c:strRef>
          </c:cat>
          <c:val>
            <c:numRef>
              <c:f>'[图表（本级）.xls]站'!$D$40:$D$41</c:f>
              <c:numCache>
                <c:formatCode>General</c:formatCode>
                <c:ptCount val="2"/>
                <c:pt idx="0">
                  <c:v>310.37</c:v>
                </c:pt>
                <c:pt idx="1">
                  <c:v>33.43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815"/>
          <c:y val="0.486"/>
          <c:w val="0.167"/>
          <c:h val="0.208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fc7a2aa5-159d-492c-9a15-e9245ac6ea08}"/>
      </c:ext>
    </c:extLst>
  </c:chart>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'[图表（本级）.xls]站'!$C$57:$D$57</c:f>
              <c:strCache>
                <c:ptCount val="2"/>
                <c:pt idx="0">
                  <c:v>2024年度</c:v>
                </c:pt>
                <c:pt idx="1">
                  <c:v>2025年度</c:v>
                </c:pt>
              </c:strCache>
            </c:strRef>
          </c:cat>
          <c:val>
            <c:numRef>
              <c:f>'[图表（本级）.xls]站'!$C$58:$D$58</c:f>
              <c:numCache>
                <c:formatCode>General</c:formatCode>
                <c:ptCount val="2"/>
                <c:pt idx="0">
                  <c:v>346.91</c:v>
                </c:pt>
                <c:pt idx="1">
                  <c:v>252.42</c:v>
                </c:pt>
              </c:numCache>
            </c:numRef>
          </c:val>
        </c:ser>
        <c:dLbls>
          <c:showLegendKey val="0"/>
          <c:showVal val="0"/>
          <c:showCatName val="0"/>
          <c:showSerName val="0"/>
          <c:showPercent val="0"/>
          <c:showBubbleSize val="0"/>
        </c:dLbls>
        <c:gapWidth val="150"/>
        <c:overlap val="0"/>
        <c:axId val="203598105"/>
        <c:axId val="947588423"/>
      </c:barChart>
      <c:catAx>
        <c:axId val="203598105"/>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47588423"/>
        <c:crosses val="autoZero"/>
        <c:auto val="1"/>
        <c:lblAlgn val="ctr"/>
        <c:lblOffset val="100"/>
        <c:noMultiLvlLbl val="0"/>
      </c:catAx>
      <c:valAx>
        <c:axId val="947588423"/>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03598105"/>
        <c:crosses val="autoZero"/>
        <c:crossBetween val="between"/>
      </c:valAx>
    </c:plotArea>
    <c:plotVisOnly val="1"/>
    <c:dispBlanksAs val="gap"/>
    <c:showDLblsOverMax val="0"/>
    <c:extLst>
      <c:ext uri="{0b15fc19-7d7d-44ad-8c2d-2c3a37ce22c3}">
        <chartProps xmlns="https://web.wps.cn/et/2018/main" chartId="{5f06270a-f544-4644-b1db-8fdece471882}"/>
      </c:ext>
    </c:extLst>
  </c:chart>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'[图表（本级）.xls]站'!$C$75:$D$75</c:f>
              <c:strCache>
                <c:ptCount val="2"/>
                <c:pt idx="0">
                  <c:v>2024年度</c:v>
                </c:pt>
                <c:pt idx="1">
                  <c:v>2025年度</c:v>
                </c:pt>
              </c:strCache>
            </c:strRef>
          </c:cat>
          <c:val>
            <c:numRef>
              <c:f>'[图表（本级）.xls]站'!$C$76:$D$76</c:f>
              <c:numCache>
                <c:formatCode>General</c:formatCode>
                <c:ptCount val="2"/>
                <c:pt idx="0">
                  <c:v>271.31</c:v>
                </c:pt>
                <c:pt idx="1">
                  <c:v>252.42</c:v>
                </c:pt>
              </c:numCache>
            </c:numRef>
          </c:val>
        </c:ser>
        <c:dLbls>
          <c:showLegendKey val="0"/>
          <c:showVal val="0"/>
          <c:showCatName val="0"/>
          <c:showSerName val="0"/>
          <c:showPercent val="0"/>
          <c:showBubbleSize val="0"/>
        </c:dLbls>
        <c:gapWidth val="150"/>
        <c:overlap val="0"/>
        <c:axId val="725960698"/>
        <c:axId val="965344678"/>
      </c:barChart>
      <c:catAx>
        <c:axId val="72596069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65344678"/>
        <c:crosses val="autoZero"/>
        <c:auto val="1"/>
        <c:lblAlgn val="ctr"/>
        <c:lblOffset val="100"/>
        <c:noMultiLvlLbl val="0"/>
      </c:catAx>
      <c:valAx>
        <c:axId val="965344678"/>
        <c:scaling>
          <c:orientation val="minMax"/>
          <c:min val="0"/>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25960698"/>
        <c:crosses val="autoZero"/>
        <c:crossBetween val="between"/>
      </c:valAx>
    </c:plotArea>
    <c:plotVisOnly val="1"/>
    <c:dispBlanksAs val="gap"/>
    <c:showDLblsOverMax val="0"/>
    <c:extLst>
      <c:ext uri="{0b15fc19-7d7d-44ad-8c2d-2c3a37ce22c3}">
        <chartProps xmlns="https://web.wps.cn/et/2018/main" chartId="{94f212ce-fa81-4b26-96f7-a89a318339d3}"/>
      </c:ext>
    </c:extLst>
  </c:chart>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explosion val="0"/>
          <c:dPt>
            <c:idx val="0"/>
            <c:bubble3D val="0"/>
            <c:explosion val="0"/>
          </c:dPt>
          <c:dPt>
            <c:idx val="1"/>
            <c:bubble3D val="0"/>
            <c:explosion val="0"/>
          </c:dPt>
          <c:dPt>
            <c:idx val="2"/>
            <c:bubble3D val="0"/>
            <c:explosion val="0"/>
            <c:spPr>
              <a:solidFill>
                <a:schemeClr val="accent1">
                  <a:lumMod val="60000"/>
                  <a:lumOff val="40000"/>
                </a:schemeClr>
              </a:solidFill>
            </c:spPr>
          </c:dPt>
          <c:dPt>
            <c:idx val="3"/>
            <c:bubble3D val="0"/>
            <c:explosion val="0"/>
          </c:dPt>
          <c:dLbls>
            <c:dLbl>
              <c:idx val="0"/>
              <c:layout>
                <c:manualLayout>
                  <c:x val="0.00284292821606254"/>
                  <c:y val="-0.04687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68585643212509"/>
                  <c:y val="0.02604166666666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96019900497512"/>
                  <c:y val="0.0312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'[图表（本级）.xls]站'!$B$96:$B$99</c:f>
              <c:strCache>
                <c:ptCount val="4"/>
                <c:pt idx="0">
                  <c:v>社会保障和就业支出</c:v>
                </c:pt>
                <c:pt idx="1">
                  <c:v>卫生健康支出</c:v>
                </c:pt>
                <c:pt idx="2">
                  <c:v>节能环保支出</c:v>
                </c:pt>
                <c:pt idx="3">
                  <c:v>住房保障支出</c:v>
                </c:pt>
              </c:strCache>
            </c:strRef>
          </c:cat>
          <c:val>
            <c:numRef>
              <c:f>'[图表（本级）.xls]站'!$C$96:$C$99</c:f>
              <c:numCache>
                <c:formatCode>General</c:formatCode>
                <c:ptCount val="4"/>
                <c:pt idx="0">
                  <c:v>36.21</c:v>
                </c:pt>
                <c:pt idx="1">
                  <c:v>18.6</c:v>
                </c:pt>
                <c:pt idx="2">
                  <c:v>174.43</c:v>
                </c:pt>
                <c:pt idx="3">
                  <c:v>23.18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435"/>
          <c:y val="0.353"/>
          <c:w val="0.233"/>
          <c:h val="0.65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213e768d-b186-424a-9fd3-32cd314e8bf6}"/>
      </c:ext>
    </c:extLst>
  </c:chart>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spPr>
            <a:solidFill>
              <a:schemeClr val="accent1"/>
            </a:solidFill>
          </c:spPr>
          <c:explosion val="0"/>
          <c:dPt>
            <c:idx val="0"/>
            <c:bubble3D val="0"/>
            <c:explosion val="0"/>
            <c:spPr>
              <a:solidFill>
                <a:schemeClr val="accent2"/>
              </a:solidFill>
            </c:spPr>
          </c:dPt>
          <c:dPt>
            <c:idx val="1"/>
            <c:bubble3D val="0"/>
            <c:explosion val="0"/>
            <c:spPr>
              <a:solidFill>
                <a:schemeClr val="accent1">
                  <a:lumMod val="40000"/>
                  <a:lumOff val="60000"/>
                </a:schemeClr>
              </a:solidFill>
            </c:spPr>
          </c:dPt>
          <c:dPt>
            <c:idx val="2"/>
            <c:bubble3D val="0"/>
            <c:explosion val="0"/>
            <c:spPr>
              <a:solidFill>
                <a:schemeClr val="accent1">
                  <a:lumMod val="75000"/>
                </a:schemeClr>
              </a:solidFill>
            </c:spPr>
          </c:dPt>
          <c:dLbls>
            <c:dLbl>
              <c:idx val="0"/>
              <c:layout>
                <c:manualLayout>
                  <c:x val="0.0878716225018891"/>
                  <c:y val="0.027612768049714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7323015190599"/>
                  <c:y val="-0.046506300114547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642609016999261"/>
                  <c:y val="-0.063297081835079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'[图表（本级）.xls]站'!$B$112:$B$114</c:f>
              <c:strCache>
                <c:ptCount val="3"/>
                <c:pt idx="0">
                  <c:v>因公出国（境）费</c:v>
                </c:pt>
                <c:pt idx="1">
                  <c:v>公务用车购置及运行维护费</c:v>
                </c:pt>
                <c:pt idx="2">
                  <c:v>公务接待费</c:v>
                </c:pt>
              </c:strCache>
            </c:strRef>
          </c:cat>
          <c:val>
            <c:numRef>
              <c:f>'[图表（本级）.xls]站'!$C$112:$C$114</c:f>
              <c:numCache>
                <c:formatCode>General</c:formatCode>
                <c:ptCount val="3"/>
                <c:pt idx="0">
                  <c:v>0</c:v>
                </c:pt>
                <c:pt idx="1">
                  <c:v>0.98</c:v>
                </c:pt>
                <c:pt idx="2">
                  <c:v>0.06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4625"/>
          <c:y val="0.542"/>
          <c:w val="0.3245"/>
          <c:h val="0.449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1815b12-8215-4973-9d06-43d608c1b878}"/>
      </c:ext>
    </c:extLst>
  </c:chart>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4585</Words>
  <Characters>5000</Characters>
  <Lines>1</Lines>
  <Paragraphs>1</Paragraphs>
  <TotalTime>39</TotalTime>
  <ScaleCrop>false</ScaleCrop>
  <LinksUpToDate>false</LinksUpToDate>
  <CharactersWithSpaces>5072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2026-09-01T08:11:00Z</cp:lastPrinted>
  <dcterms:modified xsi:type="dcterms:W3CDTF">2026-09-11T09:33:30Z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3BF536824C220DA3E40E8B68BA118B1C_42</vt:lpwstr>
  </property>
  <property fmtid="{D5CDD505-2E9C-101B-9397-08002B2CF9AE}" pid="4" name="KSOTemplateDocerSaveRecord">
    <vt:lpwstr>eyJoZGlkIjoiM2ZjYTg4ZWFlMmVlOTdiY2ViYTU2NjQ1ZTAxNjIyM2IiLCJ1c2VySWQiOiIxNjQ5OTI4MDcwIn0=</vt:lpwstr>
  </property>
</Properties>
</file>