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3EF0E">
      <w:pPr>
        <w:pStyle w:val="5"/>
        <w:spacing w:before="93"/>
        <w:rPr>
          <w:rFonts w:ascii="Times New Roman" w:eastAsia="方正小标宋简体"/>
          <w:kern w:val="2"/>
          <w:sz w:val="72"/>
          <w:szCs w:val="72"/>
        </w:rPr>
      </w:pPr>
      <w:bookmarkStart w:id="0" w:name="_Toc15377425"/>
      <w:bookmarkStart w:id="1" w:name="_Toc15377193"/>
      <w:bookmarkStart w:id="2" w:name="_Toc15396475"/>
      <w:bookmarkStart w:id="3" w:name="_Toc15396597"/>
      <w:bookmarkStart w:id="4" w:name="_Toc15378441"/>
      <w:bookmarkStart w:id="5" w:name="_Toc15306267"/>
    </w:p>
    <w:p w14:paraId="50649F88">
      <w:pPr>
        <w:pStyle w:val="5"/>
        <w:spacing w:before="93"/>
        <w:rPr>
          <w:rFonts w:ascii="Times New Roman" w:eastAsia="方正小标宋简体"/>
          <w:kern w:val="2"/>
          <w:sz w:val="72"/>
          <w:szCs w:val="72"/>
        </w:rPr>
      </w:pPr>
    </w:p>
    <w:p w14:paraId="1B27507D">
      <w:pPr>
        <w:pStyle w:val="5"/>
        <w:spacing w:before="93"/>
        <w:rPr>
          <w:rFonts w:hint="eastAsia" w:ascii="Times New Roman" w:eastAsia="方正小标宋简体"/>
          <w:kern w:val="2"/>
          <w:sz w:val="72"/>
          <w:szCs w:val="72"/>
        </w:rPr>
      </w:pPr>
    </w:p>
    <w:p w14:paraId="436E3992">
      <w:pPr>
        <w:pStyle w:val="5"/>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2025年度攀枝花市仁和生态环境局</w:t>
      </w:r>
    </w:p>
    <w:p w14:paraId="4C287DE0">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7D128E32">
      <w:pPr>
        <w:spacing w:line="600" w:lineRule="exact"/>
        <w:jc w:val="center"/>
        <w:outlineLvl w:val="0"/>
        <w:rPr>
          <w:rFonts w:eastAsia="方正小标宋简体"/>
          <w:sz w:val="72"/>
          <w:szCs w:val="72"/>
        </w:rPr>
      </w:pPr>
    </w:p>
    <w:p w14:paraId="70864BF9">
      <w:pPr>
        <w:pStyle w:val="19"/>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71482282"/>
    <w:p w14:paraId="366D3308">
      <w:pPr>
        <w:pStyle w:val="5"/>
        <w:spacing w:before="93"/>
        <w:jc w:val="center"/>
        <w:rPr>
          <w:rFonts w:ascii="Times New Roman" w:eastAsia="方正小标宋简体"/>
          <w:kern w:val="2"/>
          <w:sz w:val="44"/>
          <w:szCs w:val="44"/>
        </w:rPr>
      </w:pPr>
    </w:p>
    <w:p w14:paraId="570D7DFC">
      <w:pPr>
        <w:pStyle w:val="5"/>
        <w:spacing w:before="93"/>
        <w:jc w:val="center"/>
        <w:rPr>
          <w:rFonts w:ascii="Times New Roman" w:eastAsia="方正小标宋简体"/>
          <w:kern w:val="2"/>
          <w:sz w:val="44"/>
          <w:szCs w:val="44"/>
        </w:rPr>
      </w:pPr>
    </w:p>
    <w:p w14:paraId="071A5A9E">
      <w:pPr>
        <w:pStyle w:val="5"/>
        <w:spacing w:before="93"/>
        <w:jc w:val="center"/>
        <w:rPr>
          <w:rFonts w:ascii="Times New Roman" w:eastAsia="方正小标宋简体"/>
          <w:kern w:val="2"/>
          <w:sz w:val="44"/>
          <w:szCs w:val="44"/>
        </w:rPr>
      </w:pPr>
    </w:p>
    <w:p w14:paraId="59572635">
      <w:pPr>
        <w:pStyle w:val="5"/>
        <w:spacing w:before="93"/>
        <w:jc w:val="center"/>
        <w:rPr>
          <w:rFonts w:ascii="Times New Roman" w:eastAsia="方正小标宋简体"/>
          <w:kern w:val="2"/>
          <w:sz w:val="44"/>
          <w:szCs w:val="44"/>
        </w:rPr>
      </w:pPr>
    </w:p>
    <w:bookmarkEnd w:id="0"/>
    <w:bookmarkEnd w:id="1"/>
    <w:bookmarkEnd w:id="2"/>
    <w:bookmarkEnd w:id="3"/>
    <w:bookmarkEnd w:id="4"/>
    <w:p w14:paraId="4E2E3D42">
      <w:pPr>
        <w:pStyle w:val="5"/>
        <w:spacing w:before="93"/>
        <w:jc w:val="center"/>
        <w:rPr>
          <w:rFonts w:hint="eastAsia" w:ascii="Times New Roman" w:eastAsia="方正小标宋简体"/>
          <w:kern w:val="2"/>
          <w:sz w:val="44"/>
          <w:szCs w:val="44"/>
          <w:lang w:eastAsia="zh-CN"/>
        </w:rPr>
      </w:pPr>
      <w:bookmarkStart w:id="6" w:name="_Toc15396476"/>
      <w:bookmarkStart w:id="7" w:name="_Toc15378442"/>
      <w:bookmarkStart w:id="8" w:name="_Toc15377194"/>
      <w:bookmarkStart w:id="9" w:name="_Toc15396598"/>
      <w:bookmarkStart w:id="10" w:name="_Toc15377426"/>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lang w:eastAsia="zh-CN"/>
        </w:rPr>
        <w:t>仁和生态环境局</w:t>
      </w:r>
    </w:p>
    <w:p w14:paraId="69561937">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部门决算</w:t>
      </w:r>
      <w:bookmarkEnd w:id="6"/>
      <w:bookmarkEnd w:id="7"/>
      <w:bookmarkEnd w:id="8"/>
      <w:bookmarkEnd w:id="9"/>
      <w:bookmarkEnd w:id="10"/>
      <w:bookmarkEnd w:id="11"/>
    </w:p>
    <w:p w14:paraId="00F24AD5">
      <w:pPr>
        <w:pStyle w:val="14"/>
        <w:adjustRightInd w:val="0"/>
        <w:snapToGrid w:val="0"/>
        <w:spacing w:line="560" w:lineRule="exact"/>
        <w:jc w:val="left"/>
        <w:rPr>
          <w:rFonts w:eastAsia="仿宋_GB2312" w:cs="仿宋_GB2312"/>
          <w:sz w:val="32"/>
          <w:szCs w:val="32"/>
        </w:rPr>
      </w:pPr>
    </w:p>
    <w:p w14:paraId="4E0FA952">
      <w:pPr>
        <w:widowControl/>
        <w:jc w:val="center"/>
        <w:rPr>
          <w:rFonts w:eastAsia="黑体"/>
          <w:sz w:val="48"/>
          <w:szCs w:val="48"/>
        </w:rPr>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pPr>
    </w:p>
    <w:p w14:paraId="2697C03B">
      <w:pPr>
        <w:widowControl/>
        <w:jc w:val="center"/>
        <w:rPr>
          <w:rFonts w:eastAsia="黑体"/>
          <w:sz w:val="48"/>
          <w:szCs w:val="48"/>
        </w:rPr>
      </w:pPr>
      <w:r>
        <w:rPr>
          <w:rFonts w:hint="eastAsia" w:eastAsia="黑体"/>
          <w:sz w:val="48"/>
          <w:szCs w:val="48"/>
        </w:rPr>
        <w:t>目录</w:t>
      </w:r>
    </w:p>
    <w:p w14:paraId="7C7C85E2">
      <w:pPr>
        <w:widowControl/>
        <w:jc w:val="center"/>
        <w:rPr>
          <w:rFonts w:eastAsia="黑体" w:cstheme="minorBidi"/>
          <w:sz w:val="28"/>
          <w:szCs w:val="28"/>
        </w:rPr>
      </w:pPr>
    </w:p>
    <w:p w14:paraId="2ABD55E2">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11</w:t>
      </w:r>
      <w:bookmarkStart w:id="69" w:name="_GoBack"/>
      <w:bookmarkEnd w:id="69"/>
      <w:r>
        <w:rPr>
          <w:rFonts w:hint="eastAsia" w:ascii="Times New Roman" w:hAnsi="Times New Roman" w:eastAsia="仿宋_GB2312" w:cs="仿宋_GB2312"/>
          <w:sz w:val="32"/>
          <w:szCs w:val="32"/>
        </w:rPr>
        <w:t>日</w:t>
      </w:r>
    </w:p>
    <w:p w14:paraId="0EE4E677"/>
    <w:p w14:paraId="6CB7FD08">
      <w:pPr>
        <w:pStyle w:val="12"/>
        <w:adjustRightInd w:val="0"/>
        <w:snapToGrid w:val="0"/>
        <w:spacing w:before="0" w:beforeLines="0" w:afterLines="0" w:line="560" w:lineRule="exact"/>
        <w:jc w:val="left"/>
        <w:rPr>
          <w:rFonts w:hint="default" w:ascii="Times New Roman" w:hAnsi="Times New Roman" w:eastAsia="黑体"/>
          <w:color w:val="auto"/>
          <w:sz w:val="32"/>
          <w:szCs w:val="32"/>
        </w:rPr>
      </w:pPr>
      <w:bookmarkStart w:id="12" w:name="_Toc15396599"/>
      <w:bookmarkStart w:id="13" w:name="_Toc15377196"/>
      <w:r>
        <w:rPr>
          <w:rFonts w:hint="eastAsia" w:ascii="Times New Roman" w:hAnsi="Times New Roman" w:eastAsia="黑体"/>
          <w:color w:val="auto"/>
          <w:sz w:val="32"/>
          <w:szCs w:val="32"/>
        </w:rPr>
        <w:t>第一部分 单位概况</w:t>
      </w:r>
      <w:r>
        <w:rPr>
          <w:rFonts w:hint="default" w:ascii="Times New Roman" w:hAnsi="Times New Roman" w:eastAsia="黑体"/>
          <w:color w:val="auto"/>
          <w:sz w:val="32"/>
          <w:szCs w:val="32"/>
        </w:rPr>
        <w:tab/>
      </w:r>
      <w:r>
        <w:rPr>
          <w:rFonts w:hint="default" w:ascii="Times New Roman" w:hAnsi="Times New Roman" w:eastAsia="黑体"/>
          <w:color w:val="auto"/>
          <w:sz w:val="32"/>
          <w:szCs w:val="32"/>
        </w:rPr>
        <w:t>1</w:t>
      </w:r>
    </w:p>
    <w:p w14:paraId="30566FEF">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rPr>
      </w:pPr>
      <w:r>
        <w:rPr>
          <w:rFonts w:hint="eastAsia" w:eastAsia="仿宋_GB2312"/>
          <w:color w:val="auto"/>
          <w:sz w:val="32"/>
          <w:szCs w:val="32"/>
        </w:rPr>
        <w:t>一、单位职责</w:t>
      </w:r>
      <w:r>
        <w:rPr>
          <w:rFonts w:hint="default" w:eastAsia="仿宋_GB2312"/>
          <w:color w:val="auto"/>
          <w:sz w:val="32"/>
          <w:szCs w:val="32"/>
        </w:rPr>
        <w:tab/>
      </w:r>
      <w:r>
        <w:rPr>
          <w:rFonts w:hint="default" w:eastAsia="仿宋_GB2312"/>
          <w:color w:val="auto"/>
          <w:sz w:val="32"/>
          <w:szCs w:val="32"/>
        </w:rPr>
        <w:t>1</w:t>
      </w:r>
    </w:p>
    <w:p w14:paraId="48249F67">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二、机构设置</w:t>
      </w:r>
      <w:r>
        <w:rPr>
          <w:rFonts w:hint="default" w:eastAsia="仿宋_GB2312"/>
          <w:color w:val="auto"/>
          <w:sz w:val="32"/>
          <w:szCs w:val="32"/>
        </w:rPr>
        <w:tab/>
      </w:r>
      <w:r>
        <w:rPr>
          <w:rFonts w:hint="eastAsia" w:eastAsia="仿宋_GB2312"/>
          <w:color w:val="auto"/>
          <w:sz w:val="32"/>
          <w:szCs w:val="32"/>
          <w:lang w:val="en-US" w:eastAsia="zh-CN"/>
        </w:rPr>
        <w:t>4</w:t>
      </w:r>
    </w:p>
    <w:p w14:paraId="704B33D0">
      <w:pPr>
        <w:pStyle w:val="12"/>
        <w:adjustRightInd w:val="0"/>
        <w:snapToGrid w:val="0"/>
        <w:spacing w:before="0" w:beforeLines="0" w:afterLines="0" w:line="560" w:lineRule="exact"/>
        <w:jc w:val="left"/>
        <w:rPr>
          <w:rFonts w:hint="default" w:ascii="Times New Roman" w:hAnsi="Times New Roman" w:eastAsia="黑体"/>
          <w:color w:val="auto"/>
          <w:sz w:val="32"/>
          <w:szCs w:val="32"/>
        </w:rPr>
      </w:pPr>
      <w:r>
        <w:rPr>
          <w:rFonts w:hint="eastAsia" w:ascii="Times New Roman" w:hAnsi="Times New Roman" w:eastAsia="黑体"/>
          <w:color w:val="auto"/>
          <w:sz w:val="32"/>
          <w:szCs w:val="32"/>
        </w:rPr>
        <w:t>第二部分</w:t>
      </w:r>
      <w:r>
        <w:rPr>
          <w:rFonts w:hint="default" w:ascii="Times New Roman" w:hAnsi="Times New Roman" w:eastAsia="黑体"/>
          <w:color w:val="auto"/>
          <w:sz w:val="32"/>
          <w:szCs w:val="32"/>
        </w:rPr>
        <w:t xml:space="preserve"> 202</w:t>
      </w:r>
      <w:r>
        <w:rPr>
          <w:rFonts w:hint="eastAsia" w:ascii="Times New Roman" w:hAnsi="Times New Roman" w:eastAsia="黑体"/>
          <w:color w:val="auto"/>
          <w:sz w:val="32"/>
          <w:szCs w:val="32"/>
          <w:lang w:val="en-US" w:eastAsia="zh-CN"/>
        </w:rPr>
        <w:t>5</w:t>
      </w:r>
      <w:r>
        <w:rPr>
          <w:rFonts w:hint="eastAsia" w:ascii="Times New Roman" w:hAnsi="Times New Roman" w:eastAsia="黑体"/>
          <w:color w:val="auto"/>
          <w:sz w:val="32"/>
          <w:szCs w:val="32"/>
        </w:rPr>
        <w:t>年度单位决算情况说明</w:t>
      </w:r>
      <w:r>
        <w:rPr>
          <w:rFonts w:hint="default" w:ascii="Times New Roman" w:hAnsi="Times New Roman" w:eastAsia="黑体"/>
          <w:color w:val="auto"/>
          <w:sz w:val="32"/>
          <w:szCs w:val="32"/>
        </w:rPr>
        <w:tab/>
      </w:r>
      <w:r>
        <w:rPr>
          <w:rFonts w:hint="default" w:ascii="Times New Roman" w:hAnsi="Times New Roman" w:eastAsia="黑体"/>
          <w:color w:val="auto"/>
          <w:sz w:val="32"/>
          <w:szCs w:val="32"/>
        </w:rPr>
        <w:t>6</w:t>
      </w:r>
    </w:p>
    <w:p w14:paraId="1BE9509A">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rPr>
      </w:pPr>
      <w:r>
        <w:rPr>
          <w:rFonts w:hint="eastAsia" w:eastAsia="仿宋_GB2312"/>
          <w:color w:val="auto"/>
          <w:sz w:val="32"/>
          <w:szCs w:val="32"/>
        </w:rPr>
        <w:t>一、收入支出决算总体情况说明</w:t>
      </w:r>
      <w:r>
        <w:rPr>
          <w:rFonts w:hint="default" w:eastAsia="仿宋_GB2312"/>
          <w:color w:val="auto"/>
          <w:sz w:val="32"/>
          <w:szCs w:val="32"/>
        </w:rPr>
        <w:tab/>
      </w:r>
      <w:r>
        <w:rPr>
          <w:rFonts w:hint="default" w:eastAsia="仿宋_GB2312"/>
          <w:color w:val="auto"/>
          <w:sz w:val="32"/>
          <w:szCs w:val="32"/>
        </w:rPr>
        <w:t>6</w:t>
      </w:r>
    </w:p>
    <w:p w14:paraId="374F98A9">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rPr>
      </w:pPr>
      <w:r>
        <w:rPr>
          <w:rFonts w:hint="eastAsia" w:eastAsia="仿宋_GB2312"/>
          <w:color w:val="auto"/>
          <w:sz w:val="32"/>
          <w:szCs w:val="32"/>
        </w:rPr>
        <w:t>二、收入决算情况说明</w:t>
      </w:r>
      <w:r>
        <w:rPr>
          <w:rFonts w:hint="default" w:eastAsia="仿宋_GB2312"/>
          <w:color w:val="auto"/>
          <w:sz w:val="32"/>
          <w:szCs w:val="32"/>
        </w:rPr>
        <w:tab/>
      </w:r>
      <w:r>
        <w:rPr>
          <w:rFonts w:hint="default" w:eastAsia="仿宋_GB2312"/>
          <w:color w:val="auto"/>
          <w:sz w:val="32"/>
          <w:szCs w:val="32"/>
        </w:rPr>
        <w:t>6</w:t>
      </w:r>
    </w:p>
    <w:p w14:paraId="330E7534">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rPr>
      </w:pPr>
      <w:r>
        <w:rPr>
          <w:rFonts w:hint="eastAsia" w:eastAsia="仿宋_GB2312"/>
          <w:color w:val="auto"/>
          <w:sz w:val="32"/>
          <w:szCs w:val="32"/>
        </w:rPr>
        <w:t>三、支出决算情况说明</w:t>
      </w:r>
      <w:r>
        <w:rPr>
          <w:rFonts w:hint="default" w:eastAsia="仿宋_GB2312"/>
          <w:color w:val="auto"/>
          <w:sz w:val="32"/>
          <w:szCs w:val="32"/>
        </w:rPr>
        <w:tab/>
      </w:r>
      <w:r>
        <w:rPr>
          <w:rFonts w:hint="default" w:eastAsia="仿宋_GB2312"/>
          <w:color w:val="auto"/>
          <w:sz w:val="32"/>
          <w:szCs w:val="32"/>
        </w:rPr>
        <w:t>7</w:t>
      </w:r>
    </w:p>
    <w:p w14:paraId="7429CE02">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四、财政拨款收入支出决算总体情况说明</w:t>
      </w:r>
      <w:r>
        <w:rPr>
          <w:rFonts w:hint="default" w:eastAsia="仿宋_GB2312"/>
          <w:color w:val="auto"/>
          <w:sz w:val="32"/>
          <w:szCs w:val="32"/>
        </w:rPr>
        <w:tab/>
      </w:r>
      <w:r>
        <w:rPr>
          <w:rFonts w:hint="eastAsia" w:eastAsia="仿宋_GB2312"/>
          <w:color w:val="auto"/>
          <w:sz w:val="32"/>
          <w:szCs w:val="32"/>
          <w:lang w:val="en-US" w:eastAsia="zh-CN"/>
        </w:rPr>
        <w:t>7</w:t>
      </w:r>
    </w:p>
    <w:p w14:paraId="0F4ECB25">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五、一般公共预算财政拨款支出决算情况说明</w:t>
      </w:r>
      <w:r>
        <w:rPr>
          <w:rFonts w:hint="default" w:eastAsia="仿宋_GB2312"/>
          <w:color w:val="auto"/>
          <w:sz w:val="32"/>
          <w:szCs w:val="32"/>
        </w:rPr>
        <w:tab/>
      </w:r>
      <w:r>
        <w:rPr>
          <w:rFonts w:hint="eastAsia" w:eastAsia="仿宋_GB2312"/>
          <w:color w:val="auto"/>
          <w:sz w:val="32"/>
          <w:szCs w:val="32"/>
          <w:lang w:val="en-US" w:eastAsia="zh-CN"/>
        </w:rPr>
        <w:t>7</w:t>
      </w:r>
    </w:p>
    <w:p w14:paraId="7EA15AD6">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六、一般公共预算财政拨款基本支出决算情况说明</w:t>
      </w:r>
      <w:r>
        <w:rPr>
          <w:rFonts w:hint="default" w:eastAsia="仿宋_GB2312"/>
          <w:color w:val="auto"/>
          <w:sz w:val="32"/>
          <w:szCs w:val="32"/>
        </w:rPr>
        <w:tab/>
      </w:r>
      <w:r>
        <w:rPr>
          <w:rFonts w:hint="eastAsia" w:eastAsia="仿宋_GB2312"/>
          <w:color w:val="auto"/>
          <w:sz w:val="32"/>
          <w:szCs w:val="32"/>
          <w:lang w:val="en-US" w:eastAsia="zh-CN"/>
        </w:rPr>
        <w:t>9</w:t>
      </w:r>
    </w:p>
    <w:p w14:paraId="232B3C6B">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七、财政拨款</w:t>
      </w:r>
      <w:r>
        <w:rPr>
          <w:rFonts w:hint="default" w:eastAsia="仿宋_GB2312"/>
          <w:color w:val="auto"/>
          <w:sz w:val="32"/>
          <w:szCs w:val="32"/>
        </w:rPr>
        <w:t>“</w:t>
      </w:r>
      <w:r>
        <w:rPr>
          <w:rFonts w:hint="eastAsia" w:eastAsia="仿宋_GB2312"/>
          <w:color w:val="auto"/>
          <w:sz w:val="32"/>
          <w:szCs w:val="32"/>
        </w:rPr>
        <w:t>三公”经费支出决算情况说明</w:t>
      </w:r>
      <w:r>
        <w:rPr>
          <w:rFonts w:hint="default" w:eastAsia="仿宋_GB2312"/>
          <w:color w:val="auto"/>
          <w:sz w:val="32"/>
          <w:szCs w:val="32"/>
        </w:rPr>
        <w:tab/>
      </w:r>
      <w:r>
        <w:rPr>
          <w:rFonts w:hint="default" w:eastAsia="仿宋_GB2312"/>
          <w:color w:val="auto"/>
          <w:sz w:val="32"/>
          <w:szCs w:val="32"/>
        </w:rPr>
        <w:t>1</w:t>
      </w:r>
      <w:r>
        <w:rPr>
          <w:rFonts w:hint="eastAsia" w:eastAsia="仿宋_GB2312"/>
          <w:color w:val="auto"/>
          <w:sz w:val="32"/>
          <w:szCs w:val="32"/>
          <w:lang w:val="en-US" w:eastAsia="zh-CN"/>
        </w:rPr>
        <w:t>0</w:t>
      </w:r>
    </w:p>
    <w:p w14:paraId="017E4EC5">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八、政府性基金预算支出决算情况说明</w:t>
      </w:r>
      <w:r>
        <w:rPr>
          <w:rFonts w:hint="default" w:eastAsia="仿宋_GB2312"/>
          <w:color w:val="auto"/>
          <w:sz w:val="32"/>
          <w:szCs w:val="32"/>
        </w:rPr>
        <w:tab/>
      </w:r>
      <w:r>
        <w:rPr>
          <w:rFonts w:hint="default" w:eastAsia="仿宋_GB2312"/>
          <w:color w:val="auto"/>
          <w:sz w:val="32"/>
          <w:szCs w:val="32"/>
        </w:rPr>
        <w:t>1</w:t>
      </w:r>
      <w:r>
        <w:rPr>
          <w:rFonts w:hint="eastAsia" w:eastAsia="仿宋_GB2312"/>
          <w:color w:val="auto"/>
          <w:sz w:val="32"/>
          <w:szCs w:val="32"/>
          <w:lang w:val="en-US" w:eastAsia="zh-CN"/>
        </w:rPr>
        <w:t>2</w:t>
      </w:r>
    </w:p>
    <w:p w14:paraId="53BB0AE4">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九、国有资本经营预算支出决算情况说明</w:t>
      </w:r>
      <w:r>
        <w:rPr>
          <w:rFonts w:hint="default" w:eastAsia="仿宋_GB2312"/>
          <w:color w:val="auto"/>
          <w:sz w:val="32"/>
          <w:szCs w:val="32"/>
        </w:rPr>
        <w:tab/>
      </w:r>
      <w:r>
        <w:rPr>
          <w:rFonts w:hint="default" w:eastAsia="仿宋_GB2312"/>
          <w:color w:val="auto"/>
          <w:sz w:val="32"/>
          <w:szCs w:val="32"/>
        </w:rPr>
        <w:t>1</w:t>
      </w:r>
      <w:r>
        <w:rPr>
          <w:rFonts w:hint="eastAsia" w:eastAsia="仿宋_GB2312"/>
          <w:color w:val="auto"/>
          <w:sz w:val="32"/>
          <w:szCs w:val="32"/>
          <w:lang w:val="en-US" w:eastAsia="zh-CN"/>
        </w:rPr>
        <w:t>2</w:t>
      </w:r>
    </w:p>
    <w:p w14:paraId="3C3F134A">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十、其他重要事项的情况说明</w:t>
      </w:r>
      <w:r>
        <w:rPr>
          <w:rFonts w:hint="default" w:eastAsia="仿宋_GB2312"/>
          <w:color w:val="auto"/>
          <w:sz w:val="32"/>
          <w:szCs w:val="32"/>
        </w:rPr>
        <w:tab/>
      </w:r>
      <w:r>
        <w:rPr>
          <w:rFonts w:hint="default" w:eastAsia="仿宋_GB2312"/>
          <w:color w:val="auto"/>
          <w:sz w:val="32"/>
          <w:szCs w:val="32"/>
        </w:rPr>
        <w:t>1</w:t>
      </w:r>
      <w:r>
        <w:rPr>
          <w:rFonts w:hint="eastAsia" w:eastAsia="仿宋_GB2312"/>
          <w:color w:val="auto"/>
          <w:sz w:val="32"/>
          <w:szCs w:val="32"/>
          <w:lang w:val="en-US" w:eastAsia="zh-CN"/>
        </w:rPr>
        <w:t>2</w:t>
      </w:r>
    </w:p>
    <w:p w14:paraId="40A8D92D">
      <w:pPr>
        <w:pStyle w:val="12"/>
        <w:adjustRightInd w:val="0"/>
        <w:snapToGrid w:val="0"/>
        <w:spacing w:before="0" w:beforeLines="0" w:afterLines="0" w:line="560" w:lineRule="exact"/>
        <w:jc w:val="left"/>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rPr>
        <w:t>第三部分 名词解释</w:t>
      </w:r>
      <w:r>
        <w:rPr>
          <w:rFonts w:hint="default" w:ascii="Times New Roman" w:hAnsi="Times New Roman" w:eastAsia="黑体"/>
          <w:color w:val="auto"/>
          <w:sz w:val="32"/>
          <w:szCs w:val="32"/>
        </w:rPr>
        <w:tab/>
      </w:r>
      <w:r>
        <w:rPr>
          <w:rFonts w:hint="default" w:ascii="Times New Roman" w:hAnsi="Times New Roman" w:eastAsia="黑体"/>
          <w:color w:val="auto"/>
          <w:sz w:val="32"/>
          <w:szCs w:val="32"/>
        </w:rPr>
        <w:t>1</w:t>
      </w:r>
      <w:r>
        <w:rPr>
          <w:rFonts w:hint="eastAsia" w:ascii="Times New Roman" w:hAnsi="Times New Roman" w:eastAsia="黑体"/>
          <w:color w:val="auto"/>
          <w:sz w:val="32"/>
          <w:szCs w:val="32"/>
          <w:lang w:val="en-US" w:eastAsia="zh-CN"/>
        </w:rPr>
        <w:t>4</w:t>
      </w:r>
    </w:p>
    <w:p w14:paraId="01104877">
      <w:pPr>
        <w:pStyle w:val="12"/>
        <w:adjustRightInd w:val="0"/>
        <w:snapToGrid w:val="0"/>
        <w:spacing w:before="0" w:beforeLines="0" w:afterLines="0" w:line="560" w:lineRule="exact"/>
        <w:jc w:val="left"/>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rPr>
        <w:t>第四部分 附件</w:t>
      </w:r>
      <w:r>
        <w:rPr>
          <w:rFonts w:hint="default" w:ascii="Times New Roman" w:hAnsi="Times New Roman" w:eastAsia="黑体"/>
          <w:color w:val="auto"/>
          <w:sz w:val="32"/>
          <w:szCs w:val="32"/>
        </w:rPr>
        <w:tab/>
      </w:r>
      <w:r>
        <w:rPr>
          <w:rFonts w:hint="default" w:ascii="Times New Roman" w:hAnsi="Times New Roman" w:eastAsia="黑体"/>
          <w:color w:val="auto"/>
          <w:sz w:val="32"/>
          <w:szCs w:val="32"/>
        </w:rPr>
        <w:t>1</w:t>
      </w:r>
      <w:r>
        <w:rPr>
          <w:rFonts w:hint="eastAsia" w:ascii="Times New Roman" w:hAnsi="Times New Roman" w:eastAsia="黑体"/>
          <w:color w:val="auto"/>
          <w:sz w:val="32"/>
          <w:szCs w:val="32"/>
          <w:lang w:val="en-US" w:eastAsia="zh-CN"/>
        </w:rPr>
        <w:t>7</w:t>
      </w:r>
    </w:p>
    <w:p w14:paraId="79B3CE65">
      <w:pPr>
        <w:pStyle w:val="12"/>
        <w:adjustRightInd w:val="0"/>
        <w:snapToGrid w:val="0"/>
        <w:spacing w:before="0" w:beforeLines="0" w:afterLines="0" w:line="560" w:lineRule="exact"/>
        <w:jc w:val="left"/>
        <w:rPr>
          <w:rFonts w:hint="default" w:ascii="Times New Roman" w:hAnsi="Times New Roman" w:eastAsia="黑体"/>
          <w:color w:val="auto"/>
          <w:sz w:val="32"/>
          <w:szCs w:val="32"/>
          <w:lang w:val="en-US" w:eastAsia="zh-CN"/>
        </w:rPr>
      </w:pPr>
      <w:r>
        <w:rPr>
          <w:rFonts w:hint="eastAsia" w:ascii="Times New Roman" w:hAnsi="Times New Roman" w:eastAsia="黑体"/>
          <w:color w:val="auto"/>
          <w:sz w:val="32"/>
          <w:szCs w:val="32"/>
        </w:rPr>
        <w:t>第五部分 附表</w:t>
      </w:r>
      <w:r>
        <w:rPr>
          <w:rFonts w:hint="default" w:ascii="Times New Roman" w:hAnsi="Times New Roman" w:eastAsia="黑体"/>
          <w:color w:val="auto"/>
          <w:sz w:val="32"/>
          <w:szCs w:val="32"/>
        </w:rPr>
        <w:tab/>
      </w:r>
      <w:r>
        <w:rPr>
          <w:rFonts w:hint="eastAsia" w:ascii="Times New Roman" w:hAnsi="Times New Roman" w:eastAsia="黑体"/>
          <w:color w:val="auto"/>
          <w:sz w:val="32"/>
          <w:szCs w:val="32"/>
          <w:lang w:val="en-US" w:eastAsia="zh-CN"/>
        </w:rPr>
        <w:t>18</w:t>
      </w:r>
    </w:p>
    <w:p w14:paraId="1ADCAB2C">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一、收入支出决算总表</w:t>
      </w:r>
      <w:r>
        <w:rPr>
          <w:rFonts w:hint="default" w:eastAsia="仿宋_GB2312"/>
          <w:color w:val="auto"/>
          <w:sz w:val="32"/>
          <w:szCs w:val="32"/>
        </w:rPr>
        <w:tab/>
      </w:r>
      <w:r>
        <w:rPr>
          <w:rFonts w:hint="eastAsia" w:eastAsia="仿宋_GB2312"/>
          <w:color w:val="auto"/>
          <w:sz w:val="32"/>
          <w:szCs w:val="32"/>
          <w:lang w:val="en-US" w:eastAsia="zh-CN"/>
        </w:rPr>
        <w:t>18</w:t>
      </w:r>
    </w:p>
    <w:p w14:paraId="055BD135">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二、收入决算表</w:t>
      </w:r>
      <w:r>
        <w:rPr>
          <w:rFonts w:hint="default" w:eastAsia="仿宋_GB2312"/>
          <w:color w:val="auto"/>
          <w:sz w:val="32"/>
          <w:szCs w:val="32"/>
        </w:rPr>
        <w:tab/>
      </w:r>
      <w:r>
        <w:rPr>
          <w:rFonts w:hint="eastAsia" w:eastAsia="仿宋_GB2312"/>
          <w:color w:val="auto"/>
          <w:sz w:val="32"/>
          <w:szCs w:val="32"/>
          <w:lang w:val="en-US" w:eastAsia="zh-CN"/>
        </w:rPr>
        <w:t>18</w:t>
      </w:r>
    </w:p>
    <w:p w14:paraId="4D2279BD">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三、支出决算表</w:t>
      </w:r>
      <w:r>
        <w:rPr>
          <w:rFonts w:hint="default" w:eastAsia="仿宋_GB2312"/>
          <w:color w:val="auto"/>
          <w:sz w:val="32"/>
          <w:szCs w:val="32"/>
        </w:rPr>
        <w:tab/>
      </w:r>
      <w:r>
        <w:rPr>
          <w:rFonts w:hint="eastAsia" w:eastAsia="仿宋_GB2312"/>
          <w:color w:val="auto"/>
          <w:sz w:val="32"/>
          <w:szCs w:val="32"/>
          <w:lang w:val="en-US" w:eastAsia="zh-CN"/>
        </w:rPr>
        <w:t>18</w:t>
      </w:r>
    </w:p>
    <w:p w14:paraId="49457430">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四、财政拨款收入支出决算总表</w:t>
      </w:r>
      <w:r>
        <w:rPr>
          <w:rFonts w:hint="default" w:eastAsia="仿宋_GB2312"/>
          <w:color w:val="auto"/>
          <w:sz w:val="32"/>
          <w:szCs w:val="32"/>
        </w:rPr>
        <w:tab/>
      </w:r>
      <w:r>
        <w:rPr>
          <w:rFonts w:hint="eastAsia" w:eastAsia="仿宋_GB2312"/>
          <w:color w:val="auto"/>
          <w:sz w:val="32"/>
          <w:szCs w:val="32"/>
          <w:lang w:val="en-US" w:eastAsia="zh-CN"/>
        </w:rPr>
        <w:t>18</w:t>
      </w:r>
    </w:p>
    <w:p w14:paraId="4ADA4721">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五、财政拨款支出决算明细表</w:t>
      </w:r>
      <w:r>
        <w:rPr>
          <w:rFonts w:hint="default" w:eastAsia="仿宋_GB2312"/>
          <w:color w:val="auto"/>
          <w:sz w:val="32"/>
          <w:szCs w:val="32"/>
        </w:rPr>
        <w:tab/>
      </w:r>
      <w:r>
        <w:rPr>
          <w:rFonts w:hint="eastAsia" w:eastAsia="仿宋_GB2312"/>
          <w:color w:val="auto"/>
          <w:sz w:val="32"/>
          <w:szCs w:val="32"/>
          <w:lang w:val="en-US" w:eastAsia="zh-CN"/>
        </w:rPr>
        <w:t>18</w:t>
      </w:r>
    </w:p>
    <w:p w14:paraId="2F948015">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六、一般公共预算财政拨款支出决算表</w:t>
      </w:r>
      <w:r>
        <w:rPr>
          <w:rFonts w:hint="default" w:eastAsia="仿宋_GB2312"/>
          <w:color w:val="auto"/>
          <w:sz w:val="32"/>
          <w:szCs w:val="32"/>
        </w:rPr>
        <w:tab/>
      </w:r>
      <w:r>
        <w:rPr>
          <w:rFonts w:hint="eastAsia" w:eastAsia="仿宋_GB2312"/>
          <w:color w:val="auto"/>
          <w:sz w:val="32"/>
          <w:szCs w:val="32"/>
          <w:lang w:val="en-US" w:eastAsia="zh-CN"/>
        </w:rPr>
        <w:t>18</w:t>
      </w:r>
    </w:p>
    <w:p w14:paraId="71D3B81A">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七、一般公共预算财政拨款支出决算明细表</w:t>
      </w:r>
      <w:r>
        <w:rPr>
          <w:rFonts w:hint="default" w:eastAsia="仿宋_GB2312"/>
          <w:color w:val="auto"/>
          <w:sz w:val="32"/>
          <w:szCs w:val="32"/>
        </w:rPr>
        <w:tab/>
      </w:r>
      <w:r>
        <w:rPr>
          <w:rFonts w:hint="eastAsia" w:eastAsia="仿宋_GB2312"/>
          <w:color w:val="auto"/>
          <w:sz w:val="32"/>
          <w:szCs w:val="32"/>
          <w:lang w:val="en-US" w:eastAsia="zh-CN"/>
        </w:rPr>
        <w:t>18</w:t>
      </w:r>
    </w:p>
    <w:p w14:paraId="1B125A74">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八、一般公共预算财政拨款基本支出决算明细表</w:t>
      </w:r>
      <w:r>
        <w:rPr>
          <w:rFonts w:hint="default" w:eastAsia="仿宋_GB2312"/>
          <w:color w:val="auto"/>
          <w:sz w:val="32"/>
          <w:szCs w:val="32"/>
        </w:rPr>
        <w:tab/>
      </w:r>
      <w:r>
        <w:rPr>
          <w:rFonts w:hint="eastAsia" w:eastAsia="仿宋_GB2312"/>
          <w:color w:val="auto"/>
          <w:sz w:val="32"/>
          <w:szCs w:val="32"/>
          <w:lang w:val="en-US" w:eastAsia="zh-CN"/>
        </w:rPr>
        <w:t>18</w:t>
      </w:r>
    </w:p>
    <w:p w14:paraId="5C0F4C1D">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九、一般公共预算财政拨款项目支出决算表</w:t>
      </w:r>
      <w:r>
        <w:rPr>
          <w:rFonts w:hint="default" w:eastAsia="仿宋_GB2312"/>
          <w:color w:val="auto"/>
          <w:sz w:val="32"/>
          <w:szCs w:val="32"/>
        </w:rPr>
        <w:tab/>
      </w:r>
      <w:r>
        <w:rPr>
          <w:rFonts w:hint="eastAsia" w:eastAsia="仿宋_GB2312"/>
          <w:color w:val="auto"/>
          <w:sz w:val="32"/>
          <w:szCs w:val="32"/>
          <w:lang w:val="en-US" w:eastAsia="zh-CN"/>
        </w:rPr>
        <w:t>18</w:t>
      </w:r>
    </w:p>
    <w:p w14:paraId="288A4221">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十、政府性基金预算财政拨款收入支出决算表</w:t>
      </w:r>
      <w:r>
        <w:rPr>
          <w:rFonts w:hint="default" w:eastAsia="仿宋_GB2312"/>
          <w:color w:val="auto"/>
          <w:sz w:val="32"/>
          <w:szCs w:val="32"/>
        </w:rPr>
        <w:tab/>
      </w:r>
      <w:r>
        <w:rPr>
          <w:rFonts w:hint="eastAsia" w:eastAsia="仿宋_GB2312"/>
          <w:color w:val="auto"/>
          <w:sz w:val="32"/>
          <w:szCs w:val="32"/>
          <w:lang w:val="en-US" w:eastAsia="zh-CN"/>
        </w:rPr>
        <w:t>18</w:t>
      </w:r>
    </w:p>
    <w:p w14:paraId="6551D0A3">
      <w:pPr>
        <w:pStyle w:val="14"/>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olor w:val="auto"/>
          <w:sz w:val="32"/>
          <w:szCs w:val="32"/>
          <w:lang w:val="en-US" w:eastAsia="zh-CN"/>
        </w:rPr>
      </w:pPr>
      <w:r>
        <w:rPr>
          <w:rFonts w:hint="eastAsia" w:eastAsia="仿宋_GB2312"/>
          <w:color w:val="auto"/>
          <w:sz w:val="32"/>
          <w:szCs w:val="32"/>
        </w:rPr>
        <w:t>十一、国有资本经营预算财政拨款收入支出决算表</w:t>
      </w:r>
      <w:r>
        <w:rPr>
          <w:rFonts w:hint="default" w:eastAsia="仿宋_GB2312"/>
          <w:color w:val="auto"/>
          <w:sz w:val="32"/>
          <w:szCs w:val="32"/>
        </w:rPr>
        <w:tab/>
      </w:r>
      <w:r>
        <w:rPr>
          <w:rFonts w:hint="eastAsia" w:eastAsia="仿宋_GB2312"/>
          <w:color w:val="auto"/>
          <w:sz w:val="32"/>
          <w:szCs w:val="32"/>
          <w:lang w:val="en-US" w:eastAsia="zh-CN"/>
        </w:rPr>
        <w:t>18</w:t>
      </w:r>
    </w:p>
    <w:p w14:paraId="02CE95EF">
      <w:pPr>
        <w:pStyle w:val="14"/>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olor w:val="auto"/>
          <w:sz w:val="32"/>
          <w:szCs w:val="32"/>
          <w:lang w:val="en-US" w:eastAsia="zh-CN"/>
        </w:rPr>
      </w:pPr>
      <w:r>
        <w:rPr>
          <w:rFonts w:hint="eastAsia" w:eastAsia="仿宋_GB2312"/>
          <w:color w:val="auto"/>
          <w:sz w:val="32"/>
          <w:szCs w:val="32"/>
        </w:rPr>
        <w:t>十二、国有资本经营预算财政拨款支出决算表</w:t>
      </w:r>
      <w:r>
        <w:rPr>
          <w:rFonts w:hint="default" w:eastAsia="仿宋_GB2312"/>
          <w:color w:val="auto"/>
          <w:sz w:val="32"/>
          <w:szCs w:val="32"/>
        </w:rPr>
        <w:tab/>
      </w:r>
      <w:r>
        <w:rPr>
          <w:rFonts w:hint="eastAsia" w:eastAsia="仿宋_GB2312"/>
          <w:color w:val="auto"/>
          <w:sz w:val="32"/>
          <w:szCs w:val="32"/>
          <w:lang w:val="en-US" w:eastAsia="zh-CN"/>
        </w:rPr>
        <w:t>18</w:t>
      </w:r>
    </w:p>
    <w:p w14:paraId="209E917B">
      <w:pPr>
        <w:pStyle w:val="2"/>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eastAsia="仿宋_GB2312" w:cs="Times New Roman"/>
          <w:b w:val="0"/>
          <w:bCs w:val="0"/>
          <w:color w:val="auto"/>
          <w:kern w:val="2"/>
          <w:sz w:val="32"/>
          <w:szCs w:val="32"/>
          <w:lang w:val="en-US" w:eastAsia="zh-CN" w:bidi="ar-SA"/>
        </w:rPr>
        <w:sectPr>
          <w:footerReference r:id="rId9" w:type="first"/>
          <w:footerReference r:id="rId8" w:type="default"/>
          <w:pgSz w:w="11906" w:h="16838"/>
          <w:pgMar w:top="1440" w:right="1800" w:bottom="1440" w:left="1800" w:header="851" w:footer="992" w:gutter="0"/>
          <w:pgNumType w:fmt="numberInDash" w:start="1"/>
          <w:cols w:space="425" w:num="1"/>
          <w:docGrid w:type="lines" w:linePitch="312" w:charSpace="0"/>
        </w:sectPr>
      </w:pPr>
      <w:r>
        <w:rPr>
          <w:rFonts w:hint="eastAsia" w:ascii="Times New Roman" w:hAnsi="Times New Roman" w:eastAsia="仿宋_GB2312" w:cs="Times New Roman"/>
          <w:b w:val="0"/>
          <w:bCs w:val="0"/>
          <w:color w:val="auto"/>
          <w:kern w:val="2"/>
          <w:sz w:val="32"/>
          <w:szCs w:val="32"/>
          <w:lang w:val="en-US" w:eastAsia="zh-CN" w:bidi="ar-SA"/>
        </w:rPr>
        <w:t xml:space="preserve">    十三、财政拨款“三公”经费支出决算表……………</w:t>
      </w:r>
      <w:r>
        <w:rPr>
          <w:rFonts w:hint="eastAsia" w:eastAsia="仿宋_GB2312" w:cs="Times New Roman"/>
          <w:b w:val="0"/>
          <w:bCs w:val="0"/>
          <w:color w:val="auto"/>
          <w:kern w:val="2"/>
          <w:sz w:val="32"/>
          <w:szCs w:val="32"/>
          <w:lang w:val="en-US" w:eastAsia="zh-CN" w:bidi="ar-SA"/>
        </w:rPr>
        <w:t>18</w:t>
      </w:r>
    </w:p>
    <w:p w14:paraId="4C2F02D7">
      <w:pPr>
        <w:pStyle w:val="2"/>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lang w:eastAsia="zh-CN"/>
        </w:rPr>
        <w:t>单位</w:t>
      </w:r>
      <w:r>
        <w:rPr>
          <w:rStyle w:val="28"/>
          <w:rFonts w:hint="eastAsia" w:eastAsia="方正小标宋简体" w:cs="方正小标宋简体"/>
          <w:b w:val="0"/>
          <w:bCs w:val="0"/>
        </w:rPr>
        <w:t>概况</w:t>
      </w:r>
      <w:bookmarkEnd w:id="12"/>
      <w:bookmarkEnd w:id="13"/>
    </w:p>
    <w:p w14:paraId="38BC5326">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Times New Roman" w:hAnsi="Times New Roman" w:eastAsia="黑体"/>
          <w:b w:val="0"/>
        </w:rPr>
      </w:pPr>
      <w:bookmarkStart w:id="14" w:name="_Toc15377197"/>
      <w:bookmarkStart w:id="15" w:name="_Toc15396600"/>
      <w:r>
        <w:rPr>
          <w:rFonts w:hint="eastAsia" w:ascii="Times New Roman" w:hAnsi="Times New Roman" w:eastAsia="黑体"/>
          <w:b w:val="0"/>
        </w:rPr>
        <w:t>一、</w:t>
      </w:r>
      <w:bookmarkEnd w:id="14"/>
      <w:bookmarkEnd w:id="15"/>
      <w:r>
        <w:rPr>
          <w:rFonts w:hint="eastAsia" w:ascii="Times New Roman" w:hAnsi="Times New Roman" w:eastAsia="黑体"/>
          <w:b w:val="0"/>
          <w:lang w:eastAsia="zh-CN"/>
        </w:rPr>
        <w:t>单位</w:t>
      </w:r>
      <w:r>
        <w:rPr>
          <w:rFonts w:hint="eastAsia" w:ascii="Times New Roman" w:hAnsi="Times New Roman" w:eastAsia="黑体"/>
          <w:b w:val="0"/>
        </w:rPr>
        <w:t>职责</w:t>
      </w:r>
    </w:p>
    <w:p w14:paraId="5C95D1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一）负责建立健全并执行各项生态环境基本制度。贯彻执行国家、省、市有关法律、法规、规章和政策，会同有关部门拟订并组织实施区域内生态环境政策、规划。组织编制环境功能区划，会同有关部门编制并监督实施重点区域、流域、饮用水水源地生态环境规划和水功能区划，参与制定与区域内生态环境相关的经济、技术、资源配置和产业政策。参与拟订并贯彻执行区域内主体功能区划。 </w:t>
      </w:r>
    </w:p>
    <w:p w14:paraId="5EE8AD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二）负责区域内较大及以下生态环境问题的统筹协调和监督管理。牵头协调区域内较大及以下突发生态环境事件和生态破坏事件的调查处理，指导协调区域内生态环境事件的应急、预警工作，参与实施生态环境损害赔偿制度，协调解决有关跨区域环境污染纠纷。统筹协调区域内生态环境保护工作。 </w:t>
      </w:r>
    </w:p>
    <w:p w14:paraId="7348D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三）负责监督管理区域内减排目标的落实。组织实施区域内各类污染物排放总量控制和排污许可证制度，提出实施总量控制的污染物控制指标，督查、督办、核查污染物减排任务完成情况。实施生态环境目标责任制。 </w:t>
      </w:r>
    </w:p>
    <w:p w14:paraId="4AB3A6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（四）负责提出区域内生态环境领域财政专项资金安排的建议。参与指导推动区域内循环经济和生态环保产业发展。 </w:t>
      </w:r>
    </w:p>
    <w:p w14:paraId="65ABCD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五）负责区域内生态环境污染防治的监督管理。组织制定并监督实施区域内大气、水、土壤、噪声、光、恶臭、固体废物、化学品、机动车等的污染防治管理制度。参与排污口设置管理工作，负责流域水环境保护工作，组织指导流域水环境治理。会同有关部门监督管理饮用水水源地生态环境保护工作，组织指导城乡生态环境综合整治工作，组织指导农业面源污染治理工作。监督指导区域大气环境保护工作，牵头建立区域大气污染联防联控协作机制并监督实施。按职责分工组织开展区域内强制性清洁生产审核工作。 </w:t>
      </w:r>
    </w:p>
    <w:p w14:paraId="5B6D89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六）指导协调和监督区域内生态保护修复工作。监督实施区域内生态保护规划，监督对生态环境有影响的自然资源开发利用活动、重要生态环境建设和生态破坏恢复工作。组织、指导绿色生态示范创建工作。监督实施区域内各类自然保护地生态环境监督制度，承担自然保护地、生态保护红线相关监管工作。监督野生动植物保护、湿地生态环境保护、荒漠化防治等工作。指导协调和监督农村生态环境保护，监督生物技术环境安全，牵头生物物种（含遗传资源）工作，组织协调生物多样性保护工作，参与生态保护补偿工作。 </w:t>
      </w:r>
    </w:p>
    <w:p w14:paraId="4DCB4D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七）负责区域内核与辐射安全的监督管理。贯彻执行国家、省核与辐射安全法律、法规、规章、政策、规划和技术标准。负责辐射环境事故应急处理工作，参与核事故应急处理。监督管理放射源与射线装置安全，监督管理区域内核技术应用、电磁辐射、伴有放射性矿产资源开发利用中的污染防治。负责核与辐射建设项目“三同时”（同时设计、同时施工、同时投产使用）管理工作，参与对核材料的管制和民用核安全设备的设计、制造、安装和无损检验活动的监督管理。负责核与辐射环境监测和执法工作。参与反生化、核与辐射恐怖事件的防范和处理。 </w:t>
      </w:r>
    </w:p>
    <w:p w14:paraId="009694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（八）负责区域内生态环境准入的监督管理。根据授权对建设项目环境影响评价文件进行审批，按规定审查开发建设区域、规划、项目环境影响评价文件。组织实施区域内生态环境准入清单。 </w:t>
      </w:r>
    </w:p>
    <w:p w14:paraId="727A8C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九）负责区域内生态环境监测、统计和信息发布工作。监督执行国家、省颁布的各类环境标准，组织实施环境监测制度和规范相关工作。会同有关部门统一规划区域内生态环境质量监测站点设置，组织实施污染源监督性监测、执法监测、温室气体减排监测和应急监测，按要求做好生态环境质量监测相关工作。对区域生态环境质量状况进行调查评价、预警预测，参与建设和管理生态环境监测网和生态环境信息网。负责区域内生态环境质量考核和生态环境统计工作。实行生态环境质量公告制度，统一发布区域内生态环境综合性报告和重大环境信息。 </w:t>
      </w:r>
    </w:p>
    <w:p w14:paraId="044BAA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（十）负责应对气候变化工作。组织实施国家、省应对气候变化及温室气体减排重大战略、规划和政策，组织实施区域内应对气候变化的规划和政策措施。 </w:t>
      </w:r>
    </w:p>
    <w:p w14:paraId="5EFB40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（十一）组织开展中央、省环保督察反馈问题的整改。贯彻执行中央、省生态环境保护督察制度。督促协调产业园区、乡镇（街道）和区域内有关部门整改突出环境问题。 </w:t>
      </w:r>
    </w:p>
    <w:p w14:paraId="143149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（十二）负责区域内生态环境监督执法。组织开展区域内生态环境保护执法检查，根据授权查处生态环境违法问题。监督实施建设项目生态环境保护设施“三同时”制度。 </w:t>
      </w:r>
    </w:p>
    <w:p w14:paraId="27DC8F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十三）组织指导和协调区域内生态环境宣传教育工作。制定并组织实施区域内生态环境保护宣传教育有关规划和计划。推动社会组织和公众参与生态环境保护。会同有关部门依法对区域内保护和改善生态环境有显著成绩的单位和个人给予表扬和奖励。</w:t>
      </w:r>
    </w:p>
    <w:p w14:paraId="790534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（十四）开展生态环境科技工作。管理区域内生态环境保护科技成果并推广应用。组织开展生态环境重大科学研究和技术工程示范，推动生态环境技术管理体系建设。 </w:t>
      </w:r>
    </w:p>
    <w:p w14:paraId="49ABD4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auto"/>
          <w:sz w:val="32"/>
          <w:szCs w:val="32"/>
        </w:rPr>
      </w:pPr>
      <w:r>
        <w:rPr>
          <w:rFonts w:hint="eastAsia" w:eastAsia="仿宋_GB2312"/>
          <w:color w:val="auto"/>
          <w:sz w:val="32"/>
          <w:szCs w:val="32"/>
        </w:rPr>
        <w:t xml:space="preserve">（十五）负责职责范围内安全生产和职业健康等工作。 </w:t>
      </w:r>
    </w:p>
    <w:p w14:paraId="082CB6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rPr>
      </w:pPr>
      <w:r>
        <w:rPr>
          <w:rFonts w:hint="eastAsia" w:eastAsia="仿宋_GB2312"/>
          <w:color w:val="auto"/>
          <w:sz w:val="32"/>
          <w:szCs w:val="32"/>
        </w:rPr>
        <w:t>（十六）职能转变。统一行使区域内生态和城乡各类污染排放监管职责，按照国家、省确定的综合行政执法改革要求承担与此对应的行政执法职责，负责区域内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bookmarkStart w:id="16" w:name="_Toc15396601"/>
      <w:bookmarkStart w:id="17" w:name="_Toc15377200"/>
    </w:p>
    <w:p w14:paraId="39745FD7">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Times New Roman" w:hAnsi="Times New Roman" w:eastAsia="黑体"/>
          <w:b w:val="0"/>
          <w:lang w:val="en-US" w:eastAsia="zh-CN"/>
        </w:rPr>
      </w:pPr>
      <w:r>
        <w:rPr>
          <w:rFonts w:hint="eastAsia" w:ascii="Times New Roman" w:hAnsi="Times New Roman" w:eastAsia="黑体"/>
          <w:b w:val="0"/>
          <w:lang w:val="en-US" w:eastAsia="zh-CN"/>
        </w:rPr>
        <w:t>二、机构设置</w:t>
      </w:r>
      <w:bookmarkEnd w:id="16"/>
      <w:bookmarkEnd w:id="17"/>
    </w:p>
    <w:p w14:paraId="2604C4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rPr>
      </w:pPr>
      <w:r>
        <w:rPr>
          <w:rFonts w:hint="eastAsia" w:eastAsia="仿宋_GB2312"/>
          <w:color w:val="auto"/>
          <w:sz w:val="32"/>
          <w:szCs w:val="32"/>
        </w:rPr>
        <w:t>仁和生态环境局属二级预算单位，内设机构为办公室、综合业务股、污染防治股。共核定行政编制7名，科级领导职数4名。</w:t>
      </w:r>
    </w:p>
    <w:p w14:paraId="68CBE9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
          <w:kern w:val="0"/>
          <w:sz w:val="32"/>
          <w:szCs w:val="32"/>
        </w:rPr>
      </w:pPr>
      <w:r>
        <w:rPr>
          <w:rFonts w:hint="eastAsia" w:eastAsia="仿宋_GB2312"/>
          <w:color w:val="auto"/>
          <w:sz w:val="32"/>
          <w:szCs w:val="32"/>
        </w:rPr>
        <w:t>纳入仁和生态环境局202</w:t>
      </w:r>
      <w:r>
        <w:rPr>
          <w:rFonts w:hint="eastAsia" w:eastAsia="仿宋_GB2312"/>
          <w:color w:val="auto"/>
          <w:sz w:val="32"/>
          <w:szCs w:val="32"/>
          <w:lang w:val="en-US" w:eastAsia="zh-CN"/>
        </w:rPr>
        <w:t>5</w:t>
      </w:r>
      <w:r>
        <w:rPr>
          <w:rFonts w:hint="eastAsia" w:eastAsia="仿宋_GB2312"/>
          <w:color w:val="auto"/>
          <w:sz w:val="32"/>
          <w:szCs w:val="32"/>
        </w:rPr>
        <w:t>年度部门决算编制范围的独立编制机构包括：1</w:t>
      </w:r>
      <w:r>
        <w:rPr>
          <w:rFonts w:hint="eastAsia" w:eastAsia="仿宋_GB2312"/>
          <w:color w:val="auto"/>
          <w:sz w:val="32"/>
          <w:szCs w:val="32"/>
          <w:lang w:val="en-US" w:eastAsia="zh-CN"/>
        </w:rPr>
        <w:t>.</w:t>
      </w:r>
      <w:r>
        <w:rPr>
          <w:rFonts w:hint="eastAsia" w:eastAsia="仿宋_GB2312"/>
          <w:color w:val="auto"/>
          <w:sz w:val="32"/>
          <w:szCs w:val="32"/>
        </w:rPr>
        <w:t>攀枝花市仁和生态环境局；2</w:t>
      </w:r>
      <w:r>
        <w:rPr>
          <w:rFonts w:hint="eastAsia" w:eastAsia="仿宋_GB2312"/>
          <w:color w:val="auto"/>
          <w:sz w:val="32"/>
          <w:szCs w:val="32"/>
          <w:lang w:val="en-US" w:eastAsia="zh-CN"/>
        </w:rPr>
        <w:t>.</w:t>
      </w:r>
      <w:r>
        <w:rPr>
          <w:rFonts w:hint="eastAsia" w:eastAsia="仿宋_GB2312"/>
          <w:color w:val="auto"/>
          <w:sz w:val="32"/>
          <w:szCs w:val="32"/>
        </w:rPr>
        <w:t>攀枝花市生态环境保护综合行政执法支队仁和大队。</w:t>
      </w:r>
      <w:r>
        <w:rPr>
          <w:rFonts w:eastAsia="仿宋"/>
          <w:sz w:val="32"/>
          <w:szCs w:val="32"/>
        </w:rPr>
        <w:br w:type="page"/>
      </w:r>
    </w:p>
    <w:p w14:paraId="1845FDDF">
      <w:pPr>
        <w:pStyle w:val="2"/>
        <w:jc w:val="center"/>
        <w:rPr>
          <w:rFonts w:eastAsia="方正小标宋简体" w:cs="方正小标宋简体"/>
          <w:b w:val="0"/>
        </w:rPr>
      </w:pPr>
      <w:bookmarkStart w:id="18" w:name="_Toc15377204"/>
      <w:bookmarkStart w:id="19" w:name="_Toc15396602"/>
      <w:r>
        <w:rPr>
          <w:rFonts w:hint="eastAsia" w:eastAsia="方正小标宋简体" w:cs="方正小标宋简体"/>
          <w:b w:val="0"/>
        </w:rPr>
        <w:t>第二部分  2025年度部门决算情况说明</w:t>
      </w:r>
      <w:bookmarkEnd w:id="18"/>
      <w:bookmarkEnd w:id="19"/>
    </w:p>
    <w:p w14:paraId="5C8C0C66">
      <w:pPr>
        <w:pStyle w:val="27"/>
        <w:spacing w:line="600" w:lineRule="exact"/>
        <w:ind w:firstLine="640"/>
        <w:outlineLvl w:val="1"/>
        <w:rPr>
          <w:rStyle w:val="29"/>
          <w:rFonts w:ascii="Times New Roman" w:hAnsi="Times New Roman" w:eastAsia="黑体"/>
          <w:b w:val="0"/>
        </w:rPr>
      </w:pPr>
      <w:bookmarkStart w:id="20" w:name="_Toc15396603"/>
      <w:bookmarkStart w:id="21"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20"/>
      <w:bookmarkEnd w:id="21"/>
    </w:p>
    <w:p w14:paraId="13418027">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eastAsia="仿宋_GB2312" w:cs="仿宋_GB2312"/>
          <w:sz w:val="32"/>
          <w:szCs w:val="32"/>
          <w:lang w:eastAsia="zh-CN"/>
        </w:rPr>
      </w:pPr>
      <w:r>
        <w:rPr>
          <w:rFonts w:hint="eastAsia" w:eastAsia="仿宋_GB2312" w:cs="仿宋_GB2312"/>
          <w:sz w:val="32"/>
          <w:szCs w:val="32"/>
        </w:rPr>
        <w:t>2025年度收入、支出总计均为2113.61万元。与上年度相比，收入、支出总计各增加</w:t>
      </w:r>
      <w:r>
        <w:rPr>
          <w:rFonts w:hint="eastAsia" w:eastAsia="仿宋_GB2312" w:cs="仿宋_GB2312"/>
          <w:sz w:val="32"/>
          <w:szCs w:val="32"/>
          <w:lang w:val="en-US" w:eastAsia="zh-CN"/>
        </w:rPr>
        <w:t>1060.32</w:t>
      </w:r>
      <w:r>
        <w:rPr>
          <w:rFonts w:hint="eastAsia" w:eastAsia="仿宋_GB2312" w:cs="仿宋_GB2312"/>
          <w:sz w:val="32"/>
          <w:szCs w:val="32"/>
        </w:rPr>
        <w:t>万元，增长</w:t>
      </w:r>
      <w:r>
        <w:rPr>
          <w:rFonts w:hint="eastAsia" w:eastAsia="仿宋_GB2312" w:cs="仿宋_GB2312"/>
          <w:sz w:val="32"/>
          <w:szCs w:val="32"/>
          <w:lang w:val="en-US" w:eastAsia="zh-CN"/>
        </w:rPr>
        <w:t>100.7</w:t>
      </w:r>
      <w:r>
        <w:rPr>
          <w:rFonts w:hint="eastAsia" w:eastAsia="仿宋_GB2312" w:cs="仿宋_GB2312"/>
          <w:sz w:val="32"/>
          <w:szCs w:val="32"/>
        </w:rPr>
        <w:t>%。主要变动原因是</w:t>
      </w:r>
      <w:r>
        <w:rPr>
          <w:rFonts w:hint="default" w:ascii="Times New Roman" w:hAnsi="Times New Roman" w:eastAsia="仿宋_GB2312" w:cs="仿宋_GB2312"/>
          <w:sz w:val="32"/>
          <w:szCs w:val="32"/>
          <w:lang w:eastAsia="zh-CN"/>
        </w:rPr>
        <w:t>区财政安排专项资金增加。</w:t>
      </w:r>
    </w:p>
    <w:p w14:paraId="21C23E9C">
      <w:pPr>
        <w:pStyle w:val="27"/>
        <w:spacing w:line="600" w:lineRule="exact"/>
        <w:ind w:firstLine="640"/>
        <w:outlineLvl w:val="1"/>
        <w:rPr>
          <w:rFonts w:hint="eastAsia" w:eastAsia="仿宋_GB2312" w:cs="仿宋_GB2312"/>
          <w:sz w:val="32"/>
          <w:szCs w:val="32"/>
        </w:rPr>
      </w:pPr>
      <w:r>
        <w:drawing>
          <wp:anchor distT="0" distB="0" distL="114300" distR="114300" simplePos="0" relativeHeight="251663360" behindDoc="0" locked="0" layoutInCell="1" allowOverlap="1">
            <wp:simplePos x="0" y="0"/>
            <wp:positionH relativeFrom="column">
              <wp:posOffset>437515</wp:posOffset>
            </wp:positionH>
            <wp:positionV relativeFrom="paragraph">
              <wp:posOffset>130175</wp:posOffset>
            </wp:positionV>
            <wp:extent cx="4639310" cy="2101215"/>
            <wp:effectExtent l="4445" t="5080" r="19685" b="19685"/>
            <wp:wrapNone/>
            <wp:docPr id="83699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ABD6032">
      <w:pPr>
        <w:pStyle w:val="27"/>
        <w:spacing w:line="600" w:lineRule="exact"/>
        <w:ind w:firstLine="640"/>
        <w:outlineLvl w:val="1"/>
        <w:rPr>
          <w:rFonts w:hint="eastAsia" w:eastAsia="仿宋_GB2312" w:cs="仿宋_GB2312"/>
          <w:sz w:val="32"/>
          <w:szCs w:val="32"/>
        </w:rPr>
      </w:pPr>
    </w:p>
    <w:p w14:paraId="1D516020">
      <w:pPr>
        <w:pStyle w:val="27"/>
        <w:spacing w:line="600" w:lineRule="exact"/>
        <w:outlineLvl w:val="1"/>
        <w:rPr>
          <w:rFonts w:hint="eastAsia" w:eastAsia="仿宋_GB2312" w:cs="仿宋_GB2312"/>
          <w:sz w:val="32"/>
          <w:szCs w:val="32"/>
        </w:rPr>
      </w:pPr>
    </w:p>
    <w:p w14:paraId="31050610">
      <w:pPr>
        <w:pStyle w:val="27"/>
        <w:spacing w:line="600" w:lineRule="exact"/>
        <w:ind w:firstLine="640"/>
        <w:outlineLvl w:val="1"/>
        <w:rPr>
          <w:rFonts w:hint="eastAsia" w:eastAsia="仿宋_GB2312" w:cs="仿宋_GB2312"/>
          <w:sz w:val="32"/>
          <w:szCs w:val="32"/>
        </w:rPr>
      </w:pPr>
    </w:p>
    <w:p w14:paraId="5AF2425D">
      <w:pPr>
        <w:pStyle w:val="27"/>
        <w:spacing w:line="600" w:lineRule="exact"/>
        <w:ind w:firstLine="640"/>
        <w:outlineLvl w:val="1"/>
        <w:rPr>
          <w:rFonts w:hint="eastAsia" w:eastAsia="仿宋_GB2312" w:cs="仿宋_GB2312"/>
          <w:sz w:val="32"/>
          <w:szCs w:val="32"/>
        </w:rPr>
      </w:pPr>
    </w:p>
    <w:p w14:paraId="1CD646EA">
      <w:pPr>
        <w:pStyle w:val="27"/>
        <w:spacing w:line="600" w:lineRule="exact"/>
        <w:ind w:firstLine="640"/>
        <w:outlineLvl w:val="1"/>
        <w:rPr>
          <w:rFonts w:hint="eastAsia" w:eastAsia="仿宋_GB2312" w:cs="仿宋_GB2312"/>
          <w:sz w:val="32"/>
          <w:szCs w:val="32"/>
        </w:rPr>
      </w:pPr>
    </w:p>
    <w:p w14:paraId="04D8B285">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图1：收入、支出决算总计变动情况图</w:t>
      </w:r>
      <w:r>
        <w:rPr>
          <w:rFonts w:hint="default" w:eastAsia="仿宋_GB2312" w:cs="仿宋_GB2312"/>
          <w:sz w:val="32"/>
          <w:szCs w:val="32"/>
        </w:rPr>
        <w:t>（单位：万元）</w:t>
      </w:r>
    </w:p>
    <w:p w14:paraId="0405062B">
      <w:pPr>
        <w:pStyle w:val="27"/>
        <w:spacing w:line="600" w:lineRule="exact"/>
        <w:ind w:firstLine="640"/>
        <w:outlineLvl w:val="1"/>
        <w:rPr>
          <w:rFonts w:eastAsia="黑体"/>
          <w:sz w:val="32"/>
          <w:szCs w:val="32"/>
        </w:rPr>
      </w:pPr>
      <w:bookmarkStart w:id="22" w:name="_Toc15377206"/>
      <w:bookmarkStart w:id="23" w:name="_Toc15396604"/>
      <w:r>
        <w:rPr>
          <w:rFonts w:hint="eastAsia" w:eastAsia="黑体"/>
          <w:sz w:val="32"/>
          <w:szCs w:val="32"/>
        </w:rPr>
        <w:t>二、收入决算情况说明</w:t>
      </w:r>
      <w:bookmarkEnd w:id="22"/>
      <w:bookmarkEnd w:id="23"/>
    </w:p>
    <w:p w14:paraId="095CE707">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Times New Roman" w:hAnsi="Times New Roman" w:eastAsia="仿宋_GB2312" w:cs="仿宋_GB2312"/>
          <w:sz w:val="32"/>
          <w:szCs w:val="32"/>
          <w:lang w:eastAsia="zh-CN"/>
        </w:rPr>
      </w:pPr>
      <w:r>
        <w:rPr>
          <w:rFonts w:hint="eastAsia" w:eastAsia="仿宋_GB2312" w:cs="仿宋_GB2312"/>
          <w:sz w:val="32"/>
          <w:szCs w:val="32"/>
        </w:rPr>
        <w:t>2025年度本年收入合计2093.91万元，</w:t>
      </w:r>
      <w:r>
        <w:rPr>
          <w:rFonts w:hint="eastAsia" w:ascii="Times New Roman" w:hAnsi="Times New Roman" w:eastAsia="仿宋_GB2312" w:cs="仿宋_GB2312"/>
          <w:sz w:val="32"/>
          <w:szCs w:val="32"/>
          <w:lang w:eastAsia="zh-CN"/>
        </w:rPr>
        <w:t>其中：一般公共预算财政拨款收入</w:t>
      </w:r>
      <w:r>
        <w:rPr>
          <w:rFonts w:hint="eastAsia" w:ascii="Times New Roman" w:hAnsi="Times New Roman" w:eastAsia="仿宋_GB2312" w:cs="仿宋_GB2312"/>
          <w:sz w:val="32"/>
          <w:szCs w:val="32"/>
        </w:rPr>
        <w:t>257.76</w:t>
      </w:r>
      <w:r>
        <w:rPr>
          <w:rFonts w:hint="eastAsia" w:ascii="Times New Roman" w:hAnsi="Times New Roman" w:eastAsia="仿宋_GB2312" w:cs="仿宋_GB2312"/>
          <w:sz w:val="32"/>
          <w:szCs w:val="32"/>
          <w:lang w:eastAsia="zh-CN"/>
        </w:rPr>
        <w:t>万元，占</w:t>
      </w:r>
      <w:r>
        <w:rPr>
          <w:rFonts w:hint="eastAsia" w:ascii="Times New Roman" w:hAnsi="Times New Roman" w:eastAsia="仿宋_GB2312" w:cs="仿宋_GB2312"/>
          <w:sz w:val="32"/>
          <w:szCs w:val="32"/>
        </w:rPr>
        <w:t>12.3</w:t>
      </w:r>
      <w:r>
        <w:rPr>
          <w:rFonts w:hint="eastAsia" w:ascii="Times New Roman" w:hAnsi="Times New Roman" w:eastAsia="仿宋_GB2312" w:cs="仿宋_GB2312"/>
          <w:sz w:val="32"/>
          <w:szCs w:val="32"/>
          <w:lang w:eastAsia="zh-CN"/>
        </w:rPr>
        <w:t>%</w:t>
      </w:r>
      <w:r>
        <w:rPr>
          <w:rFonts w:hint="eastAsia" w:eastAsia="仿宋_GB2312" w:cs="仿宋_GB2312"/>
          <w:sz w:val="32"/>
          <w:szCs w:val="32"/>
          <w:lang w:eastAsia="zh-CN"/>
        </w:rPr>
        <w:t>；</w:t>
      </w:r>
      <w:r>
        <w:rPr>
          <w:rFonts w:hint="eastAsia" w:ascii="Times New Roman" w:hAnsi="Times New Roman" w:eastAsia="仿宋_GB2312" w:cs="仿宋_GB2312"/>
          <w:sz w:val="32"/>
          <w:szCs w:val="32"/>
          <w:lang w:eastAsia="zh-CN"/>
        </w:rPr>
        <w:t>其他收入</w:t>
      </w:r>
      <w:r>
        <w:rPr>
          <w:rFonts w:hint="eastAsia" w:ascii="Times New Roman" w:hAnsi="Times New Roman" w:eastAsia="仿宋_GB2312" w:cs="仿宋_GB2312"/>
          <w:sz w:val="32"/>
          <w:szCs w:val="32"/>
        </w:rPr>
        <w:t>1836.15</w:t>
      </w:r>
      <w:r>
        <w:rPr>
          <w:rFonts w:hint="eastAsia" w:ascii="Times New Roman" w:hAnsi="Times New Roman" w:eastAsia="仿宋_GB2312" w:cs="仿宋_GB2312"/>
          <w:sz w:val="32"/>
          <w:szCs w:val="32"/>
          <w:lang w:eastAsia="zh-CN"/>
        </w:rPr>
        <w:t>万元，占</w:t>
      </w:r>
      <w:r>
        <w:rPr>
          <w:rFonts w:hint="eastAsia" w:ascii="Times New Roman" w:hAnsi="Times New Roman" w:eastAsia="仿宋_GB2312" w:cs="仿宋_GB2312"/>
          <w:sz w:val="32"/>
          <w:szCs w:val="32"/>
        </w:rPr>
        <w:t>87.</w:t>
      </w:r>
      <w:r>
        <w:rPr>
          <w:rFonts w:hint="eastAsia" w:eastAsia="仿宋_GB2312" w:cs="仿宋_GB2312"/>
          <w:sz w:val="32"/>
          <w:szCs w:val="32"/>
          <w:lang w:val="en-US" w:eastAsia="zh-CN"/>
        </w:rPr>
        <w:t>7</w:t>
      </w:r>
      <w:r>
        <w:rPr>
          <w:rFonts w:hint="eastAsia" w:ascii="Times New Roman" w:hAnsi="Times New Roman" w:eastAsia="仿宋_GB2312" w:cs="仿宋_GB2312"/>
          <w:sz w:val="32"/>
          <w:szCs w:val="32"/>
          <w:lang w:eastAsia="zh-CN"/>
        </w:rPr>
        <w:t>%。</w:t>
      </w:r>
    </w:p>
    <w:p w14:paraId="3933DE2E">
      <w:pPr>
        <w:pStyle w:val="27"/>
        <w:spacing w:line="600" w:lineRule="exact"/>
        <w:ind w:firstLine="640"/>
        <w:outlineLvl w:val="1"/>
        <w:rPr>
          <w:rFonts w:hint="eastAsia" w:ascii="Times New Roman" w:hAnsi="Times New Roman" w:eastAsia="仿宋_GB2312" w:cs="仿宋_GB2312"/>
          <w:sz w:val="32"/>
          <w:szCs w:val="32"/>
          <w:lang w:eastAsia="zh-CN"/>
        </w:rPr>
      </w:pPr>
      <w:r>
        <w:drawing>
          <wp:anchor distT="0" distB="0" distL="114300" distR="114300" simplePos="0" relativeHeight="251659264" behindDoc="0" locked="0" layoutInCell="1" allowOverlap="1">
            <wp:simplePos x="0" y="0"/>
            <wp:positionH relativeFrom="column">
              <wp:posOffset>582930</wp:posOffset>
            </wp:positionH>
            <wp:positionV relativeFrom="paragraph">
              <wp:posOffset>74930</wp:posOffset>
            </wp:positionV>
            <wp:extent cx="3939540" cy="1878965"/>
            <wp:effectExtent l="4445" t="5080" r="16510" b="19050"/>
            <wp:wrapNone/>
            <wp:docPr id="836756"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DAF5DE8">
      <w:pPr>
        <w:pStyle w:val="27"/>
        <w:spacing w:line="600" w:lineRule="exact"/>
        <w:ind w:firstLine="640"/>
        <w:outlineLvl w:val="1"/>
        <w:rPr>
          <w:rFonts w:hint="eastAsia" w:ascii="Times New Roman" w:hAnsi="Times New Roman" w:eastAsia="仿宋_GB2312" w:cs="仿宋_GB2312"/>
          <w:sz w:val="32"/>
          <w:szCs w:val="32"/>
          <w:lang w:eastAsia="zh-CN"/>
        </w:rPr>
      </w:pPr>
    </w:p>
    <w:p w14:paraId="344E1B2F">
      <w:pPr>
        <w:pStyle w:val="27"/>
        <w:spacing w:line="600" w:lineRule="exact"/>
        <w:ind w:firstLine="640"/>
        <w:outlineLvl w:val="1"/>
        <w:rPr>
          <w:rFonts w:hint="eastAsia" w:eastAsia="仿宋_GB2312" w:cs="仿宋_GB2312"/>
          <w:sz w:val="32"/>
          <w:szCs w:val="32"/>
        </w:rPr>
      </w:pPr>
    </w:p>
    <w:p w14:paraId="05211DC5">
      <w:pPr>
        <w:pStyle w:val="27"/>
        <w:spacing w:line="600" w:lineRule="exact"/>
        <w:ind w:firstLine="640"/>
        <w:outlineLvl w:val="1"/>
        <w:rPr>
          <w:rFonts w:hint="eastAsia" w:eastAsia="仿宋_GB2312" w:cs="仿宋_GB2312"/>
          <w:sz w:val="32"/>
          <w:szCs w:val="32"/>
        </w:rPr>
      </w:pPr>
    </w:p>
    <w:p w14:paraId="461BEBA0">
      <w:pPr>
        <w:pStyle w:val="27"/>
        <w:spacing w:line="600" w:lineRule="exact"/>
        <w:ind w:firstLine="640"/>
        <w:outlineLvl w:val="1"/>
        <w:rPr>
          <w:rFonts w:hint="eastAsia" w:eastAsia="仿宋_GB2312" w:cs="仿宋_GB2312"/>
          <w:sz w:val="32"/>
          <w:szCs w:val="32"/>
        </w:rPr>
      </w:pPr>
    </w:p>
    <w:p w14:paraId="3CFD7FC2">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 （单位：万元）</w:t>
      </w:r>
    </w:p>
    <w:p w14:paraId="1E59721F">
      <w:pPr>
        <w:pStyle w:val="27"/>
        <w:spacing w:line="600" w:lineRule="exact"/>
        <w:ind w:firstLine="640"/>
        <w:outlineLvl w:val="1"/>
        <w:rPr>
          <w:rStyle w:val="29"/>
          <w:rFonts w:ascii="Times New Roman" w:hAnsi="Times New Roman" w:eastAsia="黑体"/>
          <w:b w:val="0"/>
        </w:rPr>
      </w:pPr>
      <w:bookmarkStart w:id="24" w:name="_Toc15377207"/>
      <w:bookmarkStart w:id="25" w:name="_Toc15396605"/>
      <w:r>
        <w:rPr>
          <w:rFonts w:hint="eastAsia" w:eastAsia="黑体"/>
          <w:sz w:val="32"/>
          <w:szCs w:val="32"/>
        </w:rPr>
        <w:t>三、支</w:t>
      </w:r>
      <w:r>
        <w:rPr>
          <w:rStyle w:val="29"/>
          <w:rFonts w:hint="eastAsia" w:ascii="Times New Roman" w:hAnsi="Times New Roman" w:eastAsia="黑体"/>
          <w:b w:val="0"/>
        </w:rPr>
        <w:t>出决算情况说明</w:t>
      </w:r>
      <w:bookmarkEnd w:id="24"/>
      <w:bookmarkEnd w:id="25"/>
    </w:p>
    <w:p w14:paraId="515700E9">
      <w:pPr>
        <w:pStyle w:val="27"/>
        <w:spacing w:line="600" w:lineRule="exact"/>
        <w:ind w:firstLine="640"/>
        <w:outlineLvl w:val="1"/>
        <w:rPr>
          <w:rFonts w:hint="eastAsia" w:ascii="Times New Roman" w:hAnsi="Times New Roman" w:eastAsia="仿宋_GB2312" w:cs="仿宋_GB2312"/>
          <w:sz w:val="32"/>
          <w:szCs w:val="32"/>
          <w:lang w:eastAsia="zh-CN"/>
        </w:rPr>
      </w:pPr>
      <w:r>
        <w:rPr>
          <w:rFonts w:hint="eastAsia" w:eastAsia="仿宋_GB2312" w:cs="仿宋_GB2312"/>
          <w:sz w:val="32"/>
          <w:szCs w:val="32"/>
        </w:rPr>
        <w:t>2025年度本年支出</w:t>
      </w:r>
      <w:r>
        <w:rPr>
          <w:rFonts w:hint="eastAsia" w:ascii="Times New Roman" w:hAnsi="Times New Roman" w:eastAsia="仿宋_GB2312" w:cs="仿宋_GB2312"/>
          <w:sz w:val="32"/>
          <w:szCs w:val="32"/>
        </w:rPr>
        <w:t>合计2093.91</w:t>
      </w:r>
      <w:r>
        <w:rPr>
          <w:rFonts w:hint="eastAsia" w:ascii="Times New Roman" w:hAnsi="Times New Roman" w:eastAsia="仿宋_GB2312" w:cs="仿宋_GB2312"/>
          <w:sz w:val="32"/>
          <w:szCs w:val="32"/>
          <w:lang w:eastAsia="zh-CN"/>
        </w:rPr>
        <w:t>万元，其中：</w:t>
      </w:r>
      <w:r>
        <w:rPr>
          <w:rFonts w:hint="eastAsia" w:ascii="Times New Roman" w:hAnsi="Times New Roman" w:eastAsia="仿宋_GB2312" w:cs="仿宋_GB2312"/>
          <w:color w:val="auto"/>
          <w:sz w:val="32"/>
          <w:szCs w:val="32"/>
          <w:lang w:eastAsia="zh-CN"/>
        </w:rPr>
        <w:t>基本支出</w:t>
      </w:r>
      <w:r>
        <w:rPr>
          <w:rFonts w:hint="eastAsia" w:ascii="Times New Roman" w:hAnsi="Times New Roman" w:eastAsia="仿宋_GB2312" w:cs="仿宋_GB2312"/>
          <w:color w:val="auto"/>
          <w:sz w:val="32"/>
          <w:szCs w:val="32"/>
        </w:rPr>
        <w:t>33</w:t>
      </w:r>
      <w:r>
        <w:rPr>
          <w:rFonts w:hint="eastAsia" w:ascii="Times New Roman" w:hAnsi="Times New Roman" w:eastAsia="仿宋_GB2312" w:cs="仿宋_GB2312"/>
          <w:color w:val="auto"/>
          <w:sz w:val="32"/>
          <w:szCs w:val="32"/>
          <w:lang w:val="en-US" w:eastAsia="zh-CN"/>
        </w:rPr>
        <w:t>8.99</w:t>
      </w:r>
      <w:r>
        <w:rPr>
          <w:rFonts w:hint="eastAsia" w:ascii="Times New Roman" w:hAnsi="Times New Roman" w:eastAsia="仿宋_GB2312" w:cs="仿宋_GB2312"/>
          <w:color w:val="auto"/>
          <w:sz w:val="32"/>
          <w:szCs w:val="32"/>
          <w:lang w:eastAsia="zh-CN"/>
        </w:rPr>
        <w:t>万元，占</w:t>
      </w:r>
      <w:r>
        <w:rPr>
          <w:rFonts w:hint="eastAsia" w:ascii="Times New Roman" w:hAnsi="Times New Roman" w:eastAsia="仿宋_GB2312" w:cs="仿宋_GB2312"/>
          <w:color w:val="auto"/>
          <w:sz w:val="32"/>
          <w:szCs w:val="32"/>
        </w:rPr>
        <w:t>16.</w:t>
      </w:r>
      <w:r>
        <w:rPr>
          <w:rFonts w:hint="eastAsia" w:eastAsia="仿宋_GB2312" w:cs="仿宋_GB2312"/>
          <w:color w:val="auto"/>
          <w:sz w:val="32"/>
          <w:szCs w:val="32"/>
          <w:lang w:val="en-US" w:eastAsia="zh-CN"/>
        </w:rPr>
        <w:t>2</w:t>
      </w:r>
      <w:r>
        <w:rPr>
          <w:rFonts w:hint="eastAsia" w:ascii="Times New Roman" w:hAnsi="Times New Roman" w:eastAsia="仿宋_GB2312" w:cs="仿宋_GB2312"/>
          <w:color w:val="auto"/>
          <w:sz w:val="32"/>
          <w:szCs w:val="32"/>
          <w:lang w:eastAsia="zh-CN"/>
        </w:rPr>
        <w:t>%；项目支出</w:t>
      </w:r>
      <w:r>
        <w:rPr>
          <w:rFonts w:hint="eastAsia" w:ascii="Times New Roman" w:hAnsi="Times New Roman" w:eastAsia="仿宋_GB2312" w:cs="仿宋_GB2312"/>
          <w:color w:val="auto"/>
          <w:sz w:val="32"/>
          <w:szCs w:val="32"/>
        </w:rPr>
        <w:t>1754.9</w:t>
      </w:r>
      <w:r>
        <w:rPr>
          <w:rFonts w:hint="eastAsia" w:ascii="Times New Roman" w:hAnsi="Times New Roman" w:eastAsia="仿宋_GB2312" w:cs="仿宋_GB2312"/>
          <w:color w:val="auto"/>
          <w:sz w:val="32"/>
          <w:szCs w:val="32"/>
          <w:lang w:val="en-US" w:eastAsia="zh-CN"/>
        </w:rPr>
        <w:t>2</w:t>
      </w:r>
      <w:r>
        <w:rPr>
          <w:rFonts w:hint="eastAsia" w:ascii="Times New Roman" w:hAnsi="Times New Roman" w:eastAsia="仿宋_GB2312" w:cs="仿宋_GB2312"/>
          <w:color w:val="auto"/>
          <w:sz w:val="32"/>
          <w:szCs w:val="32"/>
          <w:lang w:eastAsia="zh-CN"/>
        </w:rPr>
        <w:t>万元，占</w:t>
      </w:r>
      <w:r>
        <w:rPr>
          <w:rFonts w:hint="eastAsia" w:ascii="Times New Roman" w:hAnsi="Times New Roman" w:eastAsia="仿宋_GB2312" w:cs="仿宋_GB2312"/>
          <w:color w:val="auto"/>
          <w:sz w:val="32"/>
          <w:szCs w:val="32"/>
        </w:rPr>
        <w:t>83.8</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sz w:val="32"/>
          <w:szCs w:val="32"/>
          <w:lang w:eastAsia="zh-CN"/>
        </w:rPr>
        <w:t>。</w:t>
      </w:r>
    </w:p>
    <w:p w14:paraId="5116FB51">
      <w:pPr>
        <w:pStyle w:val="27"/>
        <w:spacing w:line="600" w:lineRule="exact"/>
        <w:ind w:firstLine="640"/>
        <w:outlineLvl w:val="1"/>
        <w:rPr>
          <w:rFonts w:hint="eastAsia" w:eastAsia="仿宋_GB2312" w:cs="仿宋_GB2312"/>
          <w:sz w:val="32"/>
          <w:szCs w:val="32"/>
        </w:rPr>
      </w:pPr>
      <w:r>
        <w:drawing>
          <wp:anchor distT="0" distB="0" distL="114300" distR="114300" simplePos="0" relativeHeight="251661312" behindDoc="0" locked="0" layoutInCell="1" allowOverlap="1">
            <wp:simplePos x="0" y="0"/>
            <wp:positionH relativeFrom="column">
              <wp:posOffset>582930</wp:posOffset>
            </wp:positionH>
            <wp:positionV relativeFrom="paragraph">
              <wp:posOffset>144780</wp:posOffset>
            </wp:positionV>
            <wp:extent cx="4325620" cy="2210435"/>
            <wp:effectExtent l="4445" t="4445" r="7620" b="13970"/>
            <wp:wrapNone/>
            <wp:docPr id="83699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B62F538">
      <w:pPr>
        <w:pStyle w:val="27"/>
        <w:spacing w:line="600" w:lineRule="exact"/>
        <w:ind w:firstLine="640"/>
        <w:outlineLvl w:val="1"/>
        <w:rPr>
          <w:rFonts w:hint="eastAsia" w:eastAsia="仿宋_GB2312" w:cs="仿宋_GB2312"/>
          <w:sz w:val="32"/>
          <w:szCs w:val="32"/>
        </w:rPr>
      </w:pPr>
    </w:p>
    <w:p w14:paraId="435679B2">
      <w:pPr>
        <w:pStyle w:val="27"/>
        <w:spacing w:line="600" w:lineRule="exact"/>
        <w:ind w:firstLine="640"/>
        <w:outlineLvl w:val="1"/>
        <w:rPr>
          <w:rFonts w:hint="eastAsia" w:eastAsia="仿宋_GB2312" w:cs="仿宋_GB2312"/>
          <w:sz w:val="32"/>
          <w:szCs w:val="32"/>
        </w:rPr>
      </w:pPr>
    </w:p>
    <w:p w14:paraId="510D4582">
      <w:pPr>
        <w:pStyle w:val="27"/>
        <w:spacing w:line="600" w:lineRule="exact"/>
        <w:ind w:firstLine="640"/>
        <w:outlineLvl w:val="1"/>
        <w:rPr>
          <w:rFonts w:hint="eastAsia" w:eastAsia="仿宋_GB2312" w:cs="仿宋_GB2312"/>
          <w:sz w:val="32"/>
          <w:szCs w:val="32"/>
        </w:rPr>
      </w:pPr>
    </w:p>
    <w:p w14:paraId="3839CDC3">
      <w:pPr>
        <w:pStyle w:val="27"/>
        <w:spacing w:line="600" w:lineRule="exact"/>
        <w:ind w:firstLine="640"/>
        <w:outlineLvl w:val="1"/>
        <w:rPr>
          <w:rFonts w:hint="eastAsia" w:eastAsia="仿宋_GB2312" w:cs="仿宋_GB2312"/>
          <w:sz w:val="32"/>
          <w:szCs w:val="32"/>
        </w:rPr>
      </w:pPr>
    </w:p>
    <w:p w14:paraId="4F7EBF01">
      <w:pPr>
        <w:pStyle w:val="27"/>
        <w:spacing w:line="600" w:lineRule="exact"/>
        <w:ind w:firstLine="640"/>
        <w:outlineLvl w:val="1"/>
        <w:rPr>
          <w:rFonts w:hint="eastAsia" w:eastAsia="仿宋_GB2312" w:cs="仿宋_GB2312"/>
          <w:sz w:val="32"/>
          <w:szCs w:val="32"/>
        </w:rPr>
      </w:pPr>
    </w:p>
    <w:p w14:paraId="3E3D23B2">
      <w:pPr>
        <w:pStyle w:val="27"/>
        <w:spacing w:line="600" w:lineRule="exact"/>
        <w:ind w:firstLine="1600" w:firstLineChars="500"/>
        <w:outlineLvl w:val="1"/>
        <w:rPr>
          <w:rFonts w:hint="eastAsia" w:eastAsia="仿宋_GB2312" w:cs="仿宋_GB2312"/>
          <w:sz w:val="32"/>
          <w:szCs w:val="32"/>
          <w:lang w:eastAsia="zh-CN"/>
        </w:rPr>
      </w:pPr>
      <w:r>
        <w:rPr>
          <w:rFonts w:hint="eastAsia" w:eastAsia="仿宋_GB2312" w:cs="仿宋_GB2312"/>
          <w:sz w:val="32"/>
          <w:szCs w:val="32"/>
        </w:rPr>
        <w:t>图3：支出决算结构图</w:t>
      </w:r>
      <w:r>
        <w:rPr>
          <w:rFonts w:hint="eastAsia" w:eastAsia="仿宋_GB2312" w:cs="仿宋_GB2312"/>
          <w:sz w:val="32"/>
          <w:szCs w:val="32"/>
          <w:lang w:val="en-US" w:eastAsia="zh-CN"/>
        </w:rPr>
        <w:t xml:space="preserve"> </w:t>
      </w:r>
      <w:r>
        <w:rPr>
          <w:rFonts w:hint="default" w:ascii="Times New Roman" w:hAnsi="Times New Roman" w:eastAsia="仿宋_GB2312" w:cs="Times New Roman"/>
          <w:sz w:val="32"/>
          <w:szCs w:val="32"/>
        </w:rPr>
        <w:t>（单位：万元）</w:t>
      </w:r>
    </w:p>
    <w:p w14:paraId="06B5A45C">
      <w:pPr>
        <w:spacing w:line="600" w:lineRule="exact"/>
        <w:ind w:firstLine="640" w:firstLineChars="200"/>
        <w:outlineLvl w:val="1"/>
        <w:rPr>
          <w:rStyle w:val="29"/>
          <w:rFonts w:ascii="Times New Roman" w:hAnsi="Times New Roman" w:eastAsia="黑体"/>
          <w:b w:val="0"/>
        </w:rPr>
      </w:pPr>
      <w:bookmarkStart w:id="26" w:name="_Toc15396606"/>
      <w:bookmarkStart w:id="27"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26"/>
      <w:bookmarkEnd w:id="27"/>
    </w:p>
    <w:p w14:paraId="21921670">
      <w:pPr>
        <w:spacing w:line="600" w:lineRule="exact"/>
        <w:ind w:firstLine="640"/>
        <w:rPr>
          <w:rFonts w:hint="eastAsia" w:ascii="Times New Roman" w:hAnsi="Times New Roman" w:eastAsia="仿宋_GB2312" w:cs="仿宋_GB2312"/>
          <w:sz w:val="32"/>
          <w:szCs w:val="32"/>
          <w:lang w:eastAsia="zh-CN"/>
        </w:rPr>
      </w:pPr>
      <w:r>
        <w:rPr>
          <w:rFonts w:hint="eastAsia" w:eastAsia="仿宋_GB2312" w:cs="仿宋_GB2312"/>
          <w:sz w:val="32"/>
          <w:szCs w:val="32"/>
        </w:rPr>
        <w:t>2025年度财政拨款收入、支出总计均</w:t>
      </w:r>
      <w:r>
        <w:rPr>
          <w:rFonts w:hint="eastAsia" w:ascii="Times New Roman" w:hAnsi="Times New Roman" w:eastAsia="仿宋_GB2312" w:cs="仿宋_GB2312"/>
          <w:sz w:val="32"/>
          <w:szCs w:val="32"/>
        </w:rPr>
        <w:t>为257.76万元。与上年度相比，财政拨款收入、支出总计各减少</w:t>
      </w:r>
      <w:r>
        <w:rPr>
          <w:rFonts w:hint="eastAsia" w:ascii="Times New Roman" w:hAnsi="Times New Roman" w:eastAsia="仿宋_GB2312" w:cs="仿宋_GB2312"/>
          <w:sz w:val="32"/>
          <w:szCs w:val="32"/>
          <w:lang w:val="en-US" w:eastAsia="zh-CN"/>
        </w:rPr>
        <w:t>45.43</w:t>
      </w:r>
      <w:r>
        <w:rPr>
          <w:rFonts w:hint="eastAsia" w:ascii="Times New Roman" w:hAnsi="Times New Roman" w:eastAsia="仿宋_GB2312" w:cs="仿宋_GB2312"/>
          <w:sz w:val="32"/>
          <w:szCs w:val="32"/>
        </w:rPr>
        <w:t>万元，下降</w:t>
      </w:r>
      <w:r>
        <w:rPr>
          <w:rFonts w:hint="eastAsia" w:eastAsia="仿宋_GB2312" w:cs="仿宋_GB2312"/>
          <w:sz w:val="32"/>
          <w:szCs w:val="32"/>
          <w:lang w:val="en-US" w:eastAsia="zh-CN"/>
        </w:rPr>
        <w:t>15</w:t>
      </w:r>
      <w:r>
        <w:rPr>
          <w:rFonts w:hint="eastAsia" w:ascii="Times New Roman" w:hAnsi="Times New Roman" w:eastAsia="仿宋_GB2312" w:cs="仿宋_GB2312"/>
          <w:sz w:val="32"/>
          <w:szCs w:val="32"/>
        </w:rPr>
        <w:t>%。主要变动原因是</w:t>
      </w:r>
      <w:r>
        <w:rPr>
          <w:rFonts w:hint="eastAsia" w:ascii="Times New Roman" w:hAnsi="Times New Roman" w:eastAsia="仿宋_GB2312" w:cs="仿宋_GB2312"/>
          <w:sz w:val="32"/>
          <w:szCs w:val="32"/>
          <w:lang w:eastAsia="zh-CN"/>
        </w:rPr>
        <w:t>市财政未安排项目资金支出。</w:t>
      </w:r>
    </w:p>
    <w:p w14:paraId="45457E73">
      <w:pPr>
        <w:spacing w:line="600" w:lineRule="exact"/>
        <w:ind w:firstLine="640"/>
        <w:rPr>
          <w:rFonts w:hint="eastAsia" w:ascii="Times New Roman" w:hAnsi="Times New Roman" w:eastAsia="仿宋_GB2312" w:cs="仿宋_GB2312"/>
          <w:sz w:val="32"/>
          <w:szCs w:val="32"/>
          <w:lang w:eastAsia="zh-CN"/>
        </w:rPr>
      </w:pPr>
      <w:r>
        <w:drawing>
          <wp:anchor distT="0" distB="0" distL="114300" distR="114300" simplePos="0" relativeHeight="251662336" behindDoc="0" locked="0" layoutInCell="1" allowOverlap="1">
            <wp:simplePos x="0" y="0"/>
            <wp:positionH relativeFrom="column">
              <wp:posOffset>623570</wp:posOffset>
            </wp:positionH>
            <wp:positionV relativeFrom="paragraph">
              <wp:posOffset>131445</wp:posOffset>
            </wp:positionV>
            <wp:extent cx="4159250" cy="2179955"/>
            <wp:effectExtent l="4445" t="4445" r="19685" b="10160"/>
            <wp:wrapNone/>
            <wp:docPr id="83700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71C6CB00">
      <w:pPr>
        <w:spacing w:line="600" w:lineRule="exact"/>
        <w:ind w:firstLine="640"/>
        <w:rPr>
          <w:rFonts w:hint="eastAsia" w:ascii="Times New Roman" w:hAnsi="Times New Roman" w:eastAsia="仿宋_GB2312" w:cs="仿宋_GB2312"/>
          <w:sz w:val="32"/>
          <w:szCs w:val="32"/>
          <w:lang w:eastAsia="zh-CN"/>
        </w:rPr>
      </w:pPr>
    </w:p>
    <w:p w14:paraId="684A5FB5">
      <w:pPr>
        <w:spacing w:line="600" w:lineRule="exact"/>
        <w:ind w:firstLine="640"/>
        <w:rPr>
          <w:rFonts w:hint="eastAsia" w:ascii="Times New Roman" w:hAnsi="Times New Roman" w:eastAsia="仿宋_GB2312" w:cs="仿宋_GB2312"/>
          <w:sz w:val="32"/>
          <w:szCs w:val="32"/>
          <w:lang w:eastAsia="zh-CN"/>
        </w:rPr>
      </w:pPr>
    </w:p>
    <w:p w14:paraId="46E2519A">
      <w:pPr>
        <w:spacing w:line="600" w:lineRule="exact"/>
        <w:ind w:firstLine="640"/>
        <w:rPr>
          <w:rFonts w:hint="eastAsia" w:ascii="Times New Roman" w:hAnsi="Times New Roman" w:eastAsia="仿宋_GB2312" w:cs="仿宋_GB2312"/>
          <w:sz w:val="32"/>
          <w:szCs w:val="32"/>
          <w:lang w:eastAsia="zh-CN"/>
        </w:rPr>
      </w:pPr>
    </w:p>
    <w:p w14:paraId="237A8D47">
      <w:pPr>
        <w:spacing w:line="600" w:lineRule="exact"/>
        <w:ind w:firstLine="640" w:firstLineChars="200"/>
        <w:rPr>
          <w:rFonts w:hint="eastAsia" w:eastAsia="仿宋_GB2312" w:cs="仿宋_GB2312"/>
          <w:sz w:val="32"/>
          <w:szCs w:val="32"/>
        </w:rPr>
      </w:pPr>
    </w:p>
    <w:p w14:paraId="5BAFB5B5">
      <w:pPr>
        <w:pStyle w:val="27"/>
        <w:spacing w:line="600" w:lineRule="exact"/>
        <w:outlineLvl w:val="1"/>
        <w:rPr>
          <w:rFonts w:hint="eastAsia" w:eastAsia="仿宋_GB2312" w:cs="仿宋_GB2312"/>
          <w:sz w:val="32"/>
          <w:szCs w:val="32"/>
        </w:rPr>
      </w:pPr>
    </w:p>
    <w:p w14:paraId="6376C40F">
      <w:pPr>
        <w:pStyle w:val="27"/>
        <w:spacing w:line="600" w:lineRule="exact"/>
        <w:outlineLvl w:val="1"/>
        <w:rPr>
          <w:rFonts w:hint="eastAsia" w:eastAsia="仿宋_GB2312" w:cs="仿宋_GB2312"/>
          <w:sz w:val="32"/>
          <w:szCs w:val="32"/>
          <w:lang w:eastAsia="zh-CN"/>
        </w:rPr>
      </w:pPr>
      <w:r>
        <w:rPr>
          <w:rFonts w:hint="eastAsia" w:eastAsia="仿宋_GB2312" w:cs="仿宋_GB2312"/>
          <w:sz w:val="32"/>
          <w:szCs w:val="32"/>
        </w:rPr>
        <w:t>图4：财政拨款收、支决算总计变动情况</w:t>
      </w:r>
      <w:r>
        <w:rPr>
          <w:rFonts w:hint="default" w:ascii="Times New Roman" w:hAnsi="Times New Roman" w:eastAsia="仿宋_GB2312" w:cs="Times New Roman"/>
          <w:sz w:val="32"/>
          <w:szCs w:val="32"/>
        </w:rPr>
        <w:t>（单位：万元）</w:t>
      </w:r>
    </w:p>
    <w:p w14:paraId="19A78211">
      <w:pPr>
        <w:spacing w:line="600" w:lineRule="exact"/>
        <w:ind w:firstLine="640" w:firstLineChars="200"/>
        <w:outlineLvl w:val="1"/>
        <w:rPr>
          <w:rStyle w:val="29"/>
          <w:rFonts w:ascii="Times New Roman" w:hAnsi="Times New Roman" w:eastAsia="黑体"/>
          <w:b w:val="0"/>
        </w:rPr>
      </w:pPr>
      <w:bookmarkStart w:id="28" w:name="_Toc15396607"/>
      <w:bookmarkStart w:id="29"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8"/>
      <w:bookmarkEnd w:id="29"/>
    </w:p>
    <w:p w14:paraId="107123EE">
      <w:pPr>
        <w:spacing w:line="600" w:lineRule="exact"/>
        <w:ind w:firstLine="643" w:firstLineChars="200"/>
        <w:outlineLvl w:val="2"/>
        <w:rPr>
          <w:rFonts w:eastAsia="楷体_GB2312" w:cs="楷体_GB2312"/>
          <w:b/>
          <w:sz w:val="32"/>
          <w:szCs w:val="32"/>
        </w:rPr>
      </w:pPr>
      <w:bookmarkStart w:id="30" w:name="_Toc15377210"/>
      <w:r>
        <w:rPr>
          <w:rFonts w:hint="eastAsia" w:eastAsia="楷体_GB2312" w:cs="楷体_GB2312"/>
          <w:b/>
          <w:sz w:val="32"/>
          <w:szCs w:val="32"/>
        </w:rPr>
        <w:t>（一）一般公共预算财政拨款支出决算总体情况</w:t>
      </w:r>
      <w:bookmarkEnd w:id="30"/>
    </w:p>
    <w:p w14:paraId="490980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eastAsia="仿宋_GB2312" w:cs="仿宋_GB2312"/>
          <w:sz w:val="32"/>
          <w:szCs w:val="32"/>
        </w:rPr>
        <w:t>2025年度一般公共预算财政拨款</w:t>
      </w:r>
      <w:r>
        <w:rPr>
          <w:rFonts w:hint="eastAsia" w:ascii="Times New Roman" w:hAnsi="Times New Roman" w:eastAsia="仿宋_GB2312" w:cs="仿宋_GB2312"/>
          <w:sz w:val="32"/>
          <w:szCs w:val="32"/>
        </w:rPr>
        <w:t>支出257.76</w:t>
      </w:r>
      <w:r>
        <w:rPr>
          <w:rFonts w:hint="eastAsia" w:ascii="Times New Roman" w:hAnsi="Times New Roman" w:eastAsia="仿宋_GB2312" w:cs="仿宋_GB2312"/>
          <w:sz w:val="32"/>
          <w:szCs w:val="32"/>
          <w:lang w:val="en-US" w:eastAsia="zh-CN"/>
        </w:rPr>
        <w:t>万元，占本年支出合计的</w:t>
      </w:r>
      <w:r>
        <w:rPr>
          <w:rFonts w:hint="eastAsia" w:ascii="Times New Roman" w:hAnsi="Times New Roman" w:eastAsia="仿宋_GB2312" w:cs="仿宋_GB2312"/>
          <w:sz w:val="32"/>
          <w:szCs w:val="32"/>
        </w:rPr>
        <w:t>12.3</w:t>
      </w:r>
      <w:r>
        <w:rPr>
          <w:rFonts w:hint="eastAsia" w:ascii="Times New Roman" w:hAnsi="Times New Roman" w:eastAsia="仿宋_GB2312" w:cs="仿宋_GB2312"/>
          <w:sz w:val="32"/>
          <w:szCs w:val="32"/>
          <w:lang w:val="en-US" w:eastAsia="zh-CN"/>
        </w:rPr>
        <w:t>%。</w:t>
      </w:r>
      <w:r>
        <w:rPr>
          <w:rFonts w:hint="eastAsia" w:eastAsia="仿宋_GB2312" w:cs="仿宋_GB2312"/>
          <w:sz w:val="32"/>
          <w:szCs w:val="32"/>
        </w:rPr>
        <w:t>与上年度相比，一般公共预算财政拨款支出</w:t>
      </w:r>
      <w:r>
        <w:rPr>
          <w:rFonts w:hint="eastAsia" w:ascii="Times New Roman" w:hAnsi="Times New Roman" w:eastAsia="仿宋_GB2312" w:cs="仿宋_GB2312"/>
          <w:sz w:val="32"/>
          <w:szCs w:val="32"/>
        </w:rPr>
        <w:t>减少</w:t>
      </w:r>
      <w:r>
        <w:rPr>
          <w:rFonts w:hint="eastAsia" w:ascii="Times New Roman" w:hAnsi="Times New Roman" w:eastAsia="仿宋_GB2312" w:cs="仿宋_GB2312"/>
          <w:sz w:val="32"/>
          <w:szCs w:val="32"/>
          <w:lang w:val="en-US" w:eastAsia="zh-CN"/>
        </w:rPr>
        <w:t>45.43</w:t>
      </w:r>
      <w:r>
        <w:rPr>
          <w:rFonts w:hint="eastAsia" w:ascii="Times New Roman" w:hAnsi="Times New Roman" w:eastAsia="仿宋_GB2312" w:cs="仿宋_GB2312"/>
          <w:sz w:val="32"/>
          <w:szCs w:val="32"/>
        </w:rPr>
        <w:t>万元，下降</w:t>
      </w:r>
      <w:r>
        <w:rPr>
          <w:rFonts w:hint="eastAsia" w:ascii="Times New Roman" w:hAnsi="Times New Roman" w:eastAsia="仿宋_GB2312" w:cs="仿宋_GB2312"/>
          <w:sz w:val="32"/>
          <w:szCs w:val="32"/>
          <w:lang w:val="en-US" w:eastAsia="zh-CN"/>
        </w:rPr>
        <w:t>1</w:t>
      </w:r>
      <w:r>
        <w:rPr>
          <w:rFonts w:hint="eastAsia" w:eastAsia="仿宋_GB2312" w:cs="仿宋_GB2312"/>
          <w:sz w:val="32"/>
          <w:szCs w:val="32"/>
          <w:lang w:val="en-US" w:eastAsia="zh-CN"/>
        </w:rPr>
        <w:t>5</w:t>
      </w:r>
      <w:r>
        <w:rPr>
          <w:rFonts w:hint="eastAsia" w:ascii="Times New Roman" w:hAnsi="Times New Roman" w:eastAsia="仿宋_GB2312" w:cs="仿宋_GB2312"/>
          <w:sz w:val="32"/>
          <w:szCs w:val="32"/>
        </w:rPr>
        <w:t>%。主要变动原因是</w:t>
      </w:r>
      <w:r>
        <w:rPr>
          <w:rFonts w:hint="eastAsia" w:ascii="Times New Roman" w:hAnsi="Times New Roman" w:eastAsia="仿宋_GB2312" w:cs="仿宋_GB2312"/>
          <w:sz w:val="32"/>
          <w:szCs w:val="32"/>
          <w:lang w:eastAsia="zh-CN"/>
        </w:rPr>
        <w:t>市财政未安排项目资金支出。</w:t>
      </w:r>
    </w:p>
    <w:p w14:paraId="68223886">
      <w:pPr>
        <w:spacing w:line="600" w:lineRule="exact"/>
        <w:ind w:firstLine="640"/>
        <w:rPr>
          <w:rFonts w:hint="eastAsia" w:eastAsia="仿宋_GB2312" w:cs="仿宋_GB2312"/>
          <w:sz w:val="32"/>
          <w:szCs w:val="32"/>
        </w:rPr>
      </w:pPr>
      <w:r>
        <w:drawing>
          <wp:anchor distT="0" distB="0" distL="114300" distR="114300" simplePos="0" relativeHeight="251664384" behindDoc="0" locked="0" layoutInCell="1" allowOverlap="1">
            <wp:simplePos x="0" y="0"/>
            <wp:positionH relativeFrom="column">
              <wp:posOffset>443865</wp:posOffset>
            </wp:positionH>
            <wp:positionV relativeFrom="paragraph">
              <wp:posOffset>67945</wp:posOffset>
            </wp:positionV>
            <wp:extent cx="4434840" cy="2004695"/>
            <wp:effectExtent l="4445" t="5080" r="18415" b="13335"/>
            <wp:wrapNone/>
            <wp:docPr id="83700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4E11AA75">
      <w:pPr>
        <w:spacing w:line="600" w:lineRule="exact"/>
        <w:ind w:firstLine="640"/>
        <w:rPr>
          <w:rFonts w:hint="eastAsia" w:eastAsia="仿宋_GB2312" w:cs="仿宋_GB2312"/>
          <w:sz w:val="32"/>
          <w:szCs w:val="32"/>
        </w:rPr>
      </w:pPr>
    </w:p>
    <w:p w14:paraId="7F2FE410">
      <w:pPr>
        <w:spacing w:line="600" w:lineRule="exact"/>
        <w:ind w:firstLine="640"/>
        <w:rPr>
          <w:rFonts w:hint="eastAsia" w:eastAsia="仿宋_GB2312" w:cs="仿宋_GB2312"/>
          <w:sz w:val="32"/>
          <w:szCs w:val="32"/>
        </w:rPr>
      </w:pPr>
    </w:p>
    <w:p w14:paraId="1ADBBDDE">
      <w:pPr>
        <w:spacing w:line="600" w:lineRule="exact"/>
        <w:ind w:firstLine="640"/>
        <w:rPr>
          <w:rFonts w:hint="eastAsia" w:eastAsia="仿宋_GB2312" w:cs="仿宋_GB2312"/>
          <w:sz w:val="32"/>
          <w:szCs w:val="32"/>
        </w:rPr>
      </w:pPr>
    </w:p>
    <w:p w14:paraId="2307956E">
      <w:pPr>
        <w:spacing w:line="600" w:lineRule="exact"/>
        <w:ind w:firstLine="640"/>
        <w:rPr>
          <w:rFonts w:hint="eastAsia" w:eastAsia="仿宋_GB2312" w:cs="仿宋_GB2312"/>
          <w:sz w:val="32"/>
          <w:szCs w:val="32"/>
        </w:rPr>
      </w:pPr>
    </w:p>
    <w:p w14:paraId="09153C17">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eastAsia="仿宋_GB2312" w:cs="仿宋_GB2312"/>
          <w:sz w:val="32"/>
          <w:szCs w:val="32"/>
        </w:rPr>
      </w:pPr>
    </w:p>
    <w:p w14:paraId="54DCC234">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eastAsia="仿宋_GB2312" w:cs="仿宋_GB2312"/>
          <w:sz w:val="32"/>
          <w:szCs w:val="32"/>
          <w:lang w:val="en-US" w:eastAsia="zh-CN"/>
        </w:rPr>
      </w:pPr>
      <w:r>
        <w:rPr>
          <w:rFonts w:hint="eastAsia" w:eastAsia="仿宋_GB2312" w:cs="仿宋_GB2312"/>
          <w:sz w:val="32"/>
          <w:szCs w:val="32"/>
        </w:rPr>
        <w:t>图5：一般公共预算财政拨款支出决算变动情况（</w:t>
      </w:r>
      <w:r>
        <w:rPr>
          <w:rFonts w:hint="eastAsia" w:eastAsia="仿宋_GB2312" w:cs="仿宋_GB2312"/>
          <w:sz w:val="32"/>
          <w:szCs w:val="32"/>
          <w:lang w:eastAsia="zh-CN"/>
        </w:rPr>
        <w:t>单位：万元）</w:t>
      </w:r>
    </w:p>
    <w:p w14:paraId="2F98BD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31" w:name="_Toc15377211"/>
      <w:r>
        <w:rPr>
          <w:rFonts w:hint="eastAsia" w:eastAsia="楷体_GB2312" w:cs="楷体_GB2312"/>
          <w:b/>
          <w:sz w:val="32"/>
          <w:szCs w:val="32"/>
        </w:rPr>
        <w:t>（二）一般公共预算财政拨款支出决算结构情况</w:t>
      </w:r>
      <w:bookmarkEnd w:id="31"/>
    </w:p>
    <w:p w14:paraId="4B35739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b/>
          <w:bCs/>
          <w:color w:val="FF0000"/>
          <w:sz w:val="32"/>
          <w:szCs w:val="32"/>
          <w:lang w:val="en-US" w:eastAsia="zh-CN"/>
        </w:rPr>
      </w:pPr>
      <w:r>
        <w:rPr>
          <w:rFonts w:hint="eastAsia" w:eastAsia="仿宋_GB2312" w:cs="仿宋_GB2312"/>
          <w:color w:val="auto"/>
          <w:sz w:val="32"/>
          <w:szCs w:val="32"/>
        </w:rPr>
        <w:t>2025年度一般公共预算财政拨款支出</w:t>
      </w:r>
      <w:r>
        <w:rPr>
          <w:rFonts w:hint="eastAsia" w:eastAsia="仿宋_GB2312" w:cs="仿宋_GB2312"/>
          <w:color w:val="auto"/>
          <w:sz w:val="32"/>
          <w:szCs w:val="32"/>
          <w:lang w:val="en-US" w:eastAsia="zh-CN"/>
        </w:rPr>
        <w:t>257.76</w:t>
      </w:r>
      <w:r>
        <w:rPr>
          <w:rFonts w:hint="eastAsia" w:eastAsia="仿宋_GB2312" w:cs="仿宋_GB2312"/>
          <w:color w:val="auto"/>
          <w:sz w:val="32"/>
          <w:szCs w:val="32"/>
        </w:rPr>
        <w:t>万元，主要用于以下方面：社会保障和就业支出</w:t>
      </w:r>
      <w:r>
        <w:rPr>
          <w:rFonts w:hint="eastAsia" w:eastAsia="仿宋_GB2312" w:cs="仿宋_GB2312"/>
          <w:color w:val="auto"/>
          <w:sz w:val="32"/>
          <w:szCs w:val="32"/>
          <w:lang w:val="en-US" w:eastAsia="zh-CN"/>
        </w:rPr>
        <w:t>30.83</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12</w:t>
      </w:r>
      <w:r>
        <w:rPr>
          <w:rFonts w:hint="eastAsia" w:eastAsia="仿宋_GB2312" w:cs="仿宋_GB2312"/>
          <w:color w:val="auto"/>
          <w:sz w:val="32"/>
          <w:szCs w:val="32"/>
        </w:rPr>
        <w:t>%；卫生健康支出</w:t>
      </w:r>
      <w:r>
        <w:rPr>
          <w:rFonts w:hint="eastAsia" w:eastAsia="仿宋_GB2312" w:cs="仿宋_GB2312"/>
          <w:color w:val="auto"/>
          <w:sz w:val="32"/>
          <w:szCs w:val="32"/>
          <w:lang w:val="en-US" w:eastAsia="zh-CN"/>
        </w:rPr>
        <w:t>19.33</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7.5</w:t>
      </w:r>
      <w:r>
        <w:rPr>
          <w:rFonts w:hint="eastAsia" w:eastAsia="仿宋_GB2312" w:cs="仿宋_GB2312"/>
          <w:color w:val="auto"/>
          <w:sz w:val="32"/>
          <w:szCs w:val="32"/>
        </w:rPr>
        <w:t>%；节能环保支出</w:t>
      </w:r>
      <w:r>
        <w:rPr>
          <w:rFonts w:hint="eastAsia" w:eastAsia="仿宋_GB2312" w:cs="仿宋_GB2312"/>
          <w:color w:val="auto"/>
          <w:sz w:val="32"/>
          <w:szCs w:val="32"/>
          <w:lang w:val="en-US" w:eastAsia="zh-CN"/>
        </w:rPr>
        <w:t>183.4</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71.2</w:t>
      </w:r>
      <w:r>
        <w:rPr>
          <w:rFonts w:hint="eastAsia" w:eastAsia="仿宋_GB2312" w:cs="仿宋_GB2312"/>
          <w:color w:val="auto"/>
          <w:sz w:val="32"/>
          <w:szCs w:val="32"/>
        </w:rPr>
        <w:t>%</w:t>
      </w:r>
      <w:r>
        <w:rPr>
          <w:rFonts w:hint="eastAsia" w:eastAsia="仿宋_GB2312" w:cs="仿宋_GB2312"/>
          <w:color w:val="auto"/>
          <w:sz w:val="32"/>
          <w:szCs w:val="32"/>
          <w:lang w:eastAsia="zh-CN"/>
        </w:rPr>
        <w:t>；</w:t>
      </w:r>
      <w:r>
        <w:rPr>
          <w:rFonts w:hint="eastAsia" w:eastAsia="仿宋_GB2312" w:cs="仿宋_GB2312"/>
          <w:color w:val="auto"/>
          <w:sz w:val="32"/>
          <w:szCs w:val="32"/>
        </w:rPr>
        <w:t>住房保障支出</w:t>
      </w:r>
      <w:r>
        <w:rPr>
          <w:rFonts w:hint="eastAsia" w:eastAsia="仿宋_GB2312" w:cs="仿宋_GB2312"/>
          <w:color w:val="auto"/>
          <w:sz w:val="32"/>
          <w:szCs w:val="32"/>
          <w:lang w:val="en-US" w:eastAsia="zh-CN"/>
        </w:rPr>
        <w:t>24.20</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9.3</w:t>
      </w:r>
      <w:r>
        <w:rPr>
          <w:rFonts w:hint="eastAsia" w:eastAsia="仿宋_GB2312" w:cs="仿宋_GB2312"/>
          <w:color w:val="auto"/>
          <w:sz w:val="32"/>
          <w:szCs w:val="32"/>
        </w:rPr>
        <w:t>%</w:t>
      </w:r>
      <w:r>
        <w:rPr>
          <w:rFonts w:hint="eastAsia" w:eastAsia="仿宋_GB2312" w:cs="仿宋_GB2312"/>
          <w:color w:val="auto"/>
          <w:sz w:val="32"/>
          <w:szCs w:val="32"/>
          <w:lang w:eastAsia="zh-CN"/>
        </w:rPr>
        <w:t>。</w:t>
      </w:r>
    </w:p>
    <w:p w14:paraId="24C64131">
      <w:pPr>
        <w:spacing w:line="600" w:lineRule="exact"/>
        <w:ind w:firstLine="640"/>
        <w:rPr>
          <w:rFonts w:hint="eastAsia" w:eastAsia="仿宋_GB2312" w:cs="仿宋_GB2312"/>
          <w:sz w:val="32"/>
          <w:szCs w:val="32"/>
        </w:rPr>
      </w:pPr>
      <w:r>
        <w:drawing>
          <wp:anchor distT="0" distB="0" distL="114300" distR="114300" simplePos="0" relativeHeight="251665408" behindDoc="0" locked="0" layoutInCell="1" allowOverlap="1">
            <wp:simplePos x="0" y="0"/>
            <wp:positionH relativeFrom="column">
              <wp:posOffset>510540</wp:posOffset>
            </wp:positionH>
            <wp:positionV relativeFrom="paragraph">
              <wp:posOffset>97790</wp:posOffset>
            </wp:positionV>
            <wp:extent cx="4090035" cy="2132330"/>
            <wp:effectExtent l="5080" t="4445" r="19685" b="6350"/>
            <wp:wrapNone/>
            <wp:docPr id="83699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46E79D41">
      <w:pPr>
        <w:spacing w:line="600" w:lineRule="exact"/>
        <w:ind w:firstLine="640"/>
        <w:rPr>
          <w:rFonts w:hint="eastAsia" w:eastAsia="仿宋_GB2312" w:cs="仿宋_GB2312"/>
          <w:sz w:val="32"/>
          <w:szCs w:val="32"/>
        </w:rPr>
      </w:pPr>
    </w:p>
    <w:p w14:paraId="43E667FD">
      <w:pPr>
        <w:spacing w:line="600" w:lineRule="exact"/>
        <w:ind w:firstLine="640"/>
        <w:rPr>
          <w:rFonts w:hint="eastAsia" w:eastAsia="仿宋_GB2312" w:cs="仿宋_GB2312"/>
          <w:sz w:val="32"/>
          <w:szCs w:val="32"/>
        </w:rPr>
      </w:pPr>
    </w:p>
    <w:p w14:paraId="312C11A9">
      <w:pPr>
        <w:spacing w:line="600" w:lineRule="exact"/>
        <w:ind w:firstLine="640"/>
        <w:rPr>
          <w:rFonts w:hint="eastAsia" w:eastAsia="仿宋_GB2312" w:cs="仿宋_GB2312"/>
          <w:sz w:val="32"/>
          <w:szCs w:val="32"/>
        </w:rPr>
      </w:pPr>
    </w:p>
    <w:p w14:paraId="6A5E098B">
      <w:pPr>
        <w:spacing w:line="600" w:lineRule="exact"/>
        <w:ind w:firstLine="640"/>
        <w:rPr>
          <w:rFonts w:hint="eastAsia" w:eastAsia="仿宋_GB2312" w:cs="仿宋_GB2312"/>
          <w:sz w:val="32"/>
          <w:szCs w:val="32"/>
        </w:rPr>
      </w:pPr>
    </w:p>
    <w:p w14:paraId="2E1616DA">
      <w:pPr>
        <w:spacing w:line="600" w:lineRule="exact"/>
        <w:ind w:firstLine="640"/>
        <w:rPr>
          <w:rFonts w:hint="eastAsia" w:eastAsia="仿宋_GB2312" w:cs="仿宋_GB2312"/>
          <w:sz w:val="32"/>
          <w:szCs w:val="32"/>
        </w:rPr>
      </w:pPr>
    </w:p>
    <w:p w14:paraId="4B57EE4E">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eastAsia="仿宋_GB2312" w:cs="仿宋_GB2312"/>
          <w:sz w:val="32"/>
          <w:szCs w:val="32"/>
          <w:lang w:val="en-US" w:eastAsia="zh-CN"/>
        </w:rPr>
      </w:pPr>
      <w:r>
        <w:rPr>
          <w:rFonts w:hint="eastAsia" w:eastAsia="仿宋_GB2312" w:cs="仿宋_GB2312"/>
          <w:sz w:val="32"/>
          <w:szCs w:val="32"/>
        </w:rPr>
        <w:t>图6：一般公共预算财政拨款支出决算结构</w:t>
      </w:r>
      <w:r>
        <w:rPr>
          <w:rFonts w:hint="eastAsia" w:eastAsia="仿宋_GB2312" w:cs="仿宋_GB2312"/>
          <w:sz w:val="32"/>
          <w:szCs w:val="32"/>
          <w:lang w:val="en-US" w:eastAsia="zh-CN"/>
        </w:rPr>
        <w:t xml:space="preserve"> </w:t>
      </w:r>
      <w:r>
        <w:rPr>
          <w:rFonts w:hint="eastAsia" w:eastAsia="仿宋_GB2312" w:cs="仿宋_GB2312"/>
          <w:sz w:val="32"/>
          <w:szCs w:val="32"/>
        </w:rPr>
        <w:t>（</w:t>
      </w:r>
      <w:r>
        <w:rPr>
          <w:rFonts w:hint="eastAsia" w:eastAsia="仿宋_GB2312" w:cs="仿宋_GB2312"/>
          <w:sz w:val="32"/>
          <w:szCs w:val="32"/>
          <w:lang w:eastAsia="zh-CN"/>
        </w:rPr>
        <w:t>单位：万元）</w:t>
      </w:r>
    </w:p>
    <w:p w14:paraId="4AD4A08B">
      <w:pPr>
        <w:spacing w:line="600" w:lineRule="exact"/>
        <w:ind w:firstLine="643" w:firstLineChars="200"/>
        <w:outlineLvl w:val="2"/>
        <w:rPr>
          <w:rFonts w:eastAsia="楷体_GB2312" w:cs="楷体_GB2312"/>
          <w:b/>
          <w:sz w:val="32"/>
          <w:szCs w:val="32"/>
        </w:rPr>
      </w:pPr>
      <w:bookmarkStart w:id="32" w:name="_Toc15377212"/>
      <w:r>
        <w:rPr>
          <w:rFonts w:hint="eastAsia" w:eastAsia="楷体_GB2312" w:cs="楷体_GB2312"/>
          <w:b/>
          <w:sz w:val="32"/>
          <w:szCs w:val="32"/>
        </w:rPr>
        <w:t>（三）一般公共预算财政拨款支出决算具体情况</w:t>
      </w:r>
      <w:bookmarkEnd w:id="32"/>
    </w:p>
    <w:p w14:paraId="77A2E5A9">
      <w:pPr>
        <w:spacing w:line="600" w:lineRule="exact"/>
        <w:ind w:firstLine="640"/>
        <w:rPr>
          <w:rFonts w:eastAsia="仿宋_GB2312" w:cs="仿宋_GB2312"/>
          <w:sz w:val="32"/>
          <w:szCs w:val="32"/>
        </w:rPr>
      </w:pPr>
      <w:bookmarkStart w:id="33" w:name="_Toc15377213"/>
      <w:bookmarkStart w:id="34" w:name="_Toc15377444"/>
      <w:bookmarkStart w:id="35" w:name="_Toc15378460"/>
      <w:r>
        <w:rPr>
          <w:rFonts w:hint="eastAsia" w:eastAsia="仿宋_GB2312" w:cs="仿宋_GB2312"/>
          <w:sz w:val="32"/>
          <w:szCs w:val="32"/>
        </w:rPr>
        <w:t>2025年度一般公共预算支出决算数为</w:t>
      </w:r>
      <w:r>
        <w:rPr>
          <w:rFonts w:hint="eastAsia" w:ascii="Times New Roman" w:hAnsi="Times New Roman" w:eastAsia="仿宋_GB2312" w:cs="仿宋_GB2312"/>
          <w:sz w:val="32"/>
          <w:szCs w:val="32"/>
        </w:rPr>
        <w:t>257.76</w:t>
      </w:r>
      <w:r>
        <w:rPr>
          <w:rFonts w:hint="eastAsia" w:ascii="Times New Roman" w:hAnsi="Times New Roman" w:eastAsia="仿宋_GB2312" w:cs="仿宋_GB2312"/>
          <w:sz w:val="32"/>
          <w:szCs w:val="32"/>
          <w:lang w:eastAsia="zh-CN"/>
        </w:rPr>
        <w:t>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3"/>
      <w:bookmarkEnd w:id="34"/>
      <w:bookmarkEnd w:id="35"/>
    </w:p>
    <w:p w14:paraId="00A8AE4E">
      <w:pPr>
        <w:spacing w:line="600" w:lineRule="exact"/>
        <w:ind w:firstLine="640"/>
        <w:rPr>
          <w:rFonts w:eastAsia="仿宋_GB2312" w:cs="仿宋_GB2312"/>
          <w:sz w:val="32"/>
          <w:szCs w:val="32"/>
        </w:rPr>
      </w:pPr>
      <w:r>
        <w:rPr>
          <w:rFonts w:hint="eastAsia" w:eastAsia="仿宋_GB2312" w:cs="仿宋_GB2312"/>
          <w:sz w:val="32"/>
          <w:szCs w:val="32"/>
        </w:rPr>
        <w:t>1.社会保障和就业（类）行政事业单位养老支出（款）行政单位离退休（项）: 支出决算为</w:t>
      </w:r>
      <w:r>
        <w:rPr>
          <w:rFonts w:hint="eastAsia" w:eastAsia="仿宋_GB2312" w:cs="仿宋_GB2312"/>
          <w:sz w:val="32"/>
          <w:szCs w:val="32"/>
          <w:lang w:val="en-US" w:eastAsia="zh-CN"/>
        </w:rPr>
        <w:t>0.48</w:t>
      </w:r>
      <w:r>
        <w:rPr>
          <w:rFonts w:hint="eastAsia" w:eastAsia="仿宋_GB2312" w:cs="仿宋_GB2312"/>
          <w:sz w:val="32"/>
          <w:szCs w:val="32"/>
        </w:rPr>
        <w:t>万元，完成预算100%。</w:t>
      </w:r>
    </w:p>
    <w:p w14:paraId="0580658B">
      <w:pPr>
        <w:spacing w:line="600" w:lineRule="exact"/>
        <w:ind w:firstLine="640"/>
        <w:rPr>
          <w:rFonts w:hint="eastAsia" w:eastAsia="仿宋_GB2312" w:cs="仿宋_GB2312"/>
          <w:sz w:val="32"/>
          <w:szCs w:val="32"/>
        </w:rPr>
      </w:pPr>
      <w:r>
        <w:rPr>
          <w:rFonts w:hint="eastAsia" w:eastAsia="仿宋_GB2312" w:cs="仿宋_GB2312"/>
          <w:sz w:val="32"/>
          <w:szCs w:val="32"/>
        </w:rPr>
        <w:t>2.社会保障和就业（类）行政事业单位养老支出（款）机关事业单位基本养老保险缴费支出（项）:支出决算为30.</w:t>
      </w:r>
      <w:r>
        <w:rPr>
          <w:rFonts w:hint="eastAsia" w:eastAsia="仿宋_GB2312" w:cs="仿宋_GB2312"/>
          <w:sz w:val="32"/>
          <w:szCs w:val="32"/>
          <w:lang w:val="en-US" w:eastAsia="zh-CN"/>
        </w:rPr>
        <w:t>35</w:t>
      </w:r>
      <w:r>
        <w:rPr>
          <w:rFonts w:hint="eastAsia" w:eastAsia="仿宋_GB2312" w:cs="仿宋_GB2312"/>
          <w:sz w:val="32"/>
          <w:szCs w:val="32"/>
        </w:rPr>
        <w:t>万元，完成预算100%。</w:t>
      </w:r>
    </w:p>
    <w:p w14:paraId="3FB3D591">
      <w:pPr>
        <w:spacing w:line="600" w:lineRule="exact"/>
        <w:ind w:firstLine="640"/>
        <w:rPr>
          <w:rFonts w:hint="eastAsia" w:eastAsia="仿宋_GB2312" w:cs="仿宋_GB2312"/>
          <w:sz w:val="32"/>
          <w:szCs w:val="32"/>
        </w:rPr>
      </w:pPr>
      <w:r>
        <w:rPr>
          <w:rFonts w:hint="eastAsia" w:eastAsia="仿宋_GB2312" w:cs="仿宋_GB2312"/>
          <w:sz w:val="32"/>
          <w:szCs w:val="32"/>
        </w:rPr>
        <w:t>3.卫生健康支出（类）行政事业单位医疗（款）行政单位医疗（项）:支出决算为</w:t>
      </w:r>
      <w:r>
        <w:rPr>
          <w:rFonts w:hint="eastAsia" w:eastAsia="仿宋_GB2312" w:cs="仿宋_GB2312"/>
          <w:sz w:val="32"/>
          <w:szCs w:val="32"/>
          <w:lang w:val="en-US" w:eastAsia="zh-CN"/>
        </w:rPr>
        <w:t>15.51</w:t>
      </w:r>
      <w:r>
        <w:rPr>
          <w:rFonts w:hint="eastAsia" w:eastAsia="仿宋_GB2312" w:cs="仿宋_GB2312"/>
          <w:sz w:val="32"/>
          <w:szCs w:val="32"/>
        </w:rPr>
        <w:t>万元，完成预算100%。</w:t>
      </w:r>
    </w:p>
    <w:p w14:paraId="66A8CF6A">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4</w:t>
      </w:r>
      <w:r>
        <w:rPr>
          <w:rFonts w:hint="eastAsia" w:eastAsia="仿宋_GB2312" w:cs="仿宋_GB2312"/>
          <w:sz w:val="32"/>
          <w:szCs w:val="32"/>
        </w:rPr>
        <w:t>.卫生健康支出（类）行政事业单位医疗（款）公务员医疗补助（项）:支出决算为1.</w:t>
      </w:r>
      <w:r>
        <w:rPr>
          <w:rFonts w:hint="eastAsia" w:eastAsia="仿宋_GB2312" w:cs="仿宋_GB2312"/>
          <w:sz w:val="32"/>
          <w:szCs w:val="32"/>
          <w:lang w:val="en-US" w:eastAsia="zh-CN"/>
        </w:rPr>
        <w:t>8</w:t>
      </w:r>
      <w:r>
        <w:rPr>
          <w:rFonts w:hint="eastAsia" w:eastAsia="仿宋_GB2312" w:cs="仿宋_GB2312"/>
          <w:sz w:val="32"/>
          <w:szCs w:val="32"/>
        </w:rPr>
        <w:t>4万元，完成预算100%。</w:t>
      </w:r>
    </w:p>
    <w:p w14:paraId="5BA59ACF">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5</w:t>
      </w:r>
      <w:r>
        <w:rPr>
          <w:rFonts w:hint="eastAsia" w:eastAsia="仿宋_GB2312" w:cs="仿宋_GB2312"/>
          <w:sz w:val="32"/>
          <w:szCs w:val="32"/>
        </w:rPr>
        <w:t>.卫生健康支出（类）行政事业单位医疗（款）其他行政事业单位医疗支出（项）:支出决算为</w:t>
      </w:r>
      <w:r>
        <w:rPr>
          <w:rFonts w:hint="eastAsia" w:eastAsia="仿宋_GB2312" w:cs="仿宋_GB2312"/>
          <w:sz w:val="32"/>
          <w:szCs w:val="32"/>
          <w:lang w:val="en-US" w:eastAsia="zh-CN"/>
        </w:rPr>
        <w:t>1.98</w:t>
      </w:r>
      <w:r>
        <w:rPr>
          <w:rFonts w:hint="eastAsia" w:eastAsia="仿宋_GB2312" w:cs="仿宋_GB2312"/>
          <w:sz w:val="32"/>
          <w:szCs w:val="32"/>
        </w:rPr>
        <w:t xml:space="preserve">万元，完成预算100%。          </w:t>
      </w:r>
    </w:p>
    <w:p w14:paraId="70532D1A">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6</w:t>
      </w:r>
      <w:r>
        <w:rPr>
          <w:rFonts w:hint="eastAsia" w:eastAsia="仿宋_GB2312" w:cs="仿宋_GB2312"/>
          <w:sz w:val="32"/>
          <w:szCs w:val="32"/>
        </w:rPr>
        <w:t>.节能环保支出（类）环境保护管理事务（款）行政运行（项）:支出决算为18</w:t>
      </w:r>
      <w:r>
        <w:rPr>
          <w:rFonts w:hint="eastAsia" w:eastAsia="仿宋_GB2312" w:cs="仿宋_GB2312"/>
          <w:sz w:val="32"/>
          <w:szCs w:val="32"/>
          <w:lang w:val="en-US" w:eastAsia="zh-CN"/>
        </w:rPr>
        <w:t>3.4</w:t>
      </w:r>
      <w:r>
        <w:rPr>
          <w:rFonts w:hint="eastAsia" w:eastAsia="仿宋_GB2312" w:cs="仿宋_GB2312"/>
          <w:sz w:val="32"/>
          <w:szCs w:val="32"/>
        </w:rPr>
        <w:t>万元，完成预算100%。</w:t>
      </w:r>
    </w:p>
    <w:p w14:paraId="1B216CAA">
      <w:pPr>
        <w:spacing w:line="600" w:lineRule="exact"/>
        <w:ind w:firstLine="640"/>
        <w:rPr>
          <w:rFonts w:eastAsia="仿宋_GB2312" w:cs="仿宋_GB2312"/>
          <w:sz w:val="32"/>
          <w:szCs w:val="32"/>
        </w:rPr>
      </w:pPr>
      <w:r>
        <w:rPr>
          <w:rFonts w:hint="eastAsia" w:eastAsia="仿宋_GB2312" w:cs="仿宋_GB2312"/>
          <w:sz w:val="32"/>
          <w:szCs w:val="32"/>
          <w:lang w:val="en-US" w:eastAsia="zh-CN"/>
        </w:rPr>
        <w:t>7.</w:t>
      </w:r>
      <w:r>
        <w:rPr>
          <w:rFonts w:hint="eastAsia" w:eastAsia="仿宋_GB2312" w:cs="仿宋_GB2312"/>
          <w:sz w:val="32"/>
          <w:szCs w:val="32"/>
        </w:rPr>
        <w:t>住房保障支出（类）住房改革支出（款）住房公积金（项）:支出决算为2</w:t>
      </w:r>
      <w:r>
        <w:rPr>
          <w:rFonts w:hint="eastAsia" w:eastAsia="仿宋_GB2312" w:cs="仿宋_GB2312"/>
          <w:sz w:val="32"/>
          <w:szCs w:val="32"/>
          <w:lang w:val="en-US" w:eastAsia="zh-CN"/>
        </w:rPr>
        <w:t>4.2</w:t>
      </w:r>
      <w:r>
        <w:rPr>
          <w:rFonts w:hint="eastAsia" w:eastAsia="仿宋_GB2312" w:cs="仿宋_GB2312"/>
          <w:sz w:val="32"/>
          <w:szCs w:val="32"/>
        </w:rPr>
        <w:t>万元，完成预算100%。</w:t>
      </w:r>
    </w:p>
    <w:p w14:paraId="40C97F18">
      <w:pPr>
        <w:tabs>
          <w:tab w:val="right" w:pos="8306"/>
        </w:tabs>
        <w:spacing w:line="600" w:lineRule="exact"/>
        <w:ind w:firstLine="640"/>
        <w:outlineLvl w:val="1"/>
        <w:rPr>
          <w:rStyle w:val="29"/>
          <w:rFonts w:ascii="Times New Roman" w:hAnsi="Times New Roman"/>
        </w:rPr>
      </w:pPr>
      <w:bookmarkStart w:id="36" w:name="_Toc15377214"/>
      <w:bookmarkStart w:id="37"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6"/>
      <w:bookmarkEnd w:id="37"/>
      <w:r>
        <w:rPr>
          <w:rStyle w:val="29"/>
          <w:rFonts w:ascii="Times New Roman" w:hAnsi="Times New Roman" w:eastAsia="黑体"/>
          <w:b w:val="0"/>
        </w:rPr>
        <w:tab/>
      </w:r>
    </w:p>
    <w:p w14:paraId="031BE1D9">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2025年度一般公共预算财政拨款基本支出257.76万元，其中：</w:t>
      </w:r>
    </w:p>
    <w:p w14:paraId="3D29363D">
      <w:pPr>
        <w:spacing w:line="600" w:lineRule="exact"/>
        <w:ind w:firstLine="640"/>
        <w:rPr>
          <w:rFonts w:eastAsia="仿宋_GB2312" w:cs="仿宋_GB2312"/>
          <w:sz w:val="32"/>
          <w:szCs w:val="32"/>
        </w:rPr>
      </w:pPr>
      <w:r>
        <w:rPr>
          <w:rFonts w:hint="eastAsia" w:eastAsia="仿宋_GB2312" w:cs="仿宋_GB2312"/>
          <w:sz w:val="32"/>
          <w:szCs w:val="32"/>
        </w:rPr>
        <w:t>人员经费230.08万元，主要包括：基本工资、津贴补贴、奖金、绩效工资、机关事业单位基本养老保险缴费、职业年金缴费、其他社会保障缴费、生活补助、医疗费补助、奖励金、住房公积金等。</w:t>
      </w:r>
      <w:r>
        <w:rPr>
          <w:rFonts w:hint="eastAsia" w:eastAsia="仿宋_GB2312" w:cs="仿宋_GB2312"/>
          <w:sz w:val="32"/>
          <w:szCs w:val="32"/>
        </w:rPr>
        <w:br w:type="textWrapping"/>
      </w:r>
      <w:r>
        <w:rPr>
          <w:rFonts w:hint="eastAsia" w:eastAsia="仿宋_GB2312" w:cs="仿宋_GB2312"/>
          <w:sz w:val="32"/>
          <w:szCs w:val="32"/>
        </w:rPr>
        <w:t>　　公用经费27.68万元，主要包括：办公费、水费、电费、邮电费、差旅费、维修（护）费、培训费、公务接待费、工会经费、福利费等。</w:t>
      </w:r>
    </w:p>
    <w:p w14:paraId="7D0B6AA7">
      <w:pPr>
        <w:spacing w:line="600" w:lineRule="exact"/>
        <w:ind w:firstLine="640"/>
        <w:outlineLvl w:val="1"/>
        <w:rPr>
          <w:rStyle w:val="29"/>
          <w:rFonts w:ascii="Times New Roman" w:hAnsi="Times New Roman" w:eastAsia="黑体"/>
          <w:b w:val="0"/>
        </w:rPr>
      </w:pPr>
      <w:bookmarkStart w:id="38" w:name="_Toc15377215"/>
      <w:bookmarkStart w:id="39"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8"/>
      <w:bookmarkEnd w:id="39"/>
    </w:p>
    <w:p w14:paraId="4A777BD7">
      <w:pPr>
        <w:spacing w:line="600" w:lineRule="exact"/>
        <w:ind w:firstLine="643" w:firstLineChars="200"/>
        <w:outlineLvl w:val="2"/>
        <w:rPr>
          <w:rFonts w:eastAsia="楷体_GB2312" w:cs="楷体_GB2312"/>
          <w:b/>
          <w:sz w:val="32"/>
          <w:szCs w:val="32"/>
        </w:rPr>
      </w:pPr>
      <w:bookmarkStart w:id="40" w:name="_Toc15377216"/>
      <w:r>
        <w:rPr>
          <w:rFonts w:hint="eastAsia" w:eastAsia="楷体_GB2312" w:cs="楷体_GB2312"/>
          <w:b/>
          <w:sz w:val="32"/>
          <w:szCs w:val="32"/>
        </w:rPr>
        <w:t>（一）财政拨款“三公”经费支出决算总体情况说明</w:t>
      </w:r>
      <w:bookmarkEnd w:id="40"/>
    </w:p>
    <w:p w14:paraId="2CBB8DD0">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2025年度财政拨款“三公”经费支出决算为0.29万元，完成预算</w:t>
      </w:r>
      <w:r>
        <w:rPr>
          <w:rFonts w:hint="eastAsia" w:eastAsia="仿宋_GB2312" w:cs="仿宋_GB2312"/>
          <w:sz w:val="32"/>
          <w:szCs w:val="32"/>
          <w:lang w:val="en-US" w:eastAsia="zh-CN"/>
        </w:rPr>
        <w:t>100</w:t>
      </w:r>
      <w:r>
        <w:rPr>
          <w:rFonts w:hint="eastAsia" w:eastAsia="仿宋_GB2312" w:cs="仿宋_GB2312"/>
          <w:sz w:val="32"/>
          <w:szCs w:val="32"/>
        </w:rPr>
        <w:t>%，较上年度</w:t>
      </w:r>
      <w:r>
        <w:rPr>
          <w:rFonts w:hint="eastAsia" w:eastAsia="仿宋_GB2312" w:cs="仿宋_GB2312"/>
          <w:sz w:val="32"/>
          <w:szCs w:val="32"/>
          <w:lang w:eastAsia="zh-CN"/>
        </w:rPr>
        <w:t>（</w:t>
      </w:r>
      <w:r>
        <w:rPr>
          <w:rFonts w:hint="default" w:ascii="Times New Roman" w:hAnsi="Times New Roman" w:eastAsia="仿宋_GB2312" w:cs="Times New Roman"/>
          <w:sz w:val="32"/>
          <w:szCs w:val="32"/>
        </w:rPr>
        <w:t>0.92</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eastAsia="仿宋_GB2312" w:cs="仿宋_GB2312"/>
          <w:sz w:val="32"/>
          <w:szCs w:val="32"/>
          <w:lang w:eastAsia="zh-CN"/>
        </w:rPr>
        <w:t>）</w:t>
      </w:r>
      <w:r>
        <w:rPr>
          <w:rFonts w:hint="eastAsia" w:eastAsia="仿宋_GB2312" w:cs="仿宋_GB2312"/>
          <w:sz w:val="32"/>
          <w:szCs w:val="32"/>
        </w:rPr>
        <w:t>减少</w:t>
      </w:r>
      <w:r>
        <w:rPr>
          <w:rFonts w:hint="eastAsia" w:eastAsia="仿宋_GB2312" w:cs="仿宋_GB2312"/>
          <w:sz w:val="32"/>
          <w:szCs w:val="32"/>
          <w:lang w:val="en-US" w:eastAsia="zh-CN"/>
        </w:rPr>
        <w:t>0.63</w:t>
      </w:r>
      <w:r>
        <w:rPr>
          <w:rFonts w:hint="eastAsia" w:eastAsia="仿宋_GB2312" w:cs="仿宋_GB2312"/>
          <w:sz w:val="32"/>
          <w:szCs w:val="32"/>
        </w:rPr>
        <w:t>万元，下降</w:t>
      </w:r>
      <w:r>
        <w:rPr>
          <w:rFonts w:hint="eastAsia" w:eastAsia="仿宋_GB2312" w:cs="仿宋_GB2312"/>
          <w:sz w:val="32"/>
          <w:szCs w:val="32"/>
          <w:lang w:val="en-US" w:eastAsia="zh-CN"/>
        </w:rPr>
        <w:t>68.5</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319F8A7E">
      <w:pPr>
        <w:spacing w:line="600" w:lineRule="exact"/>
        <w:ind w:firstLine="643" w:firstLineChars="200"/>
        <w:outlineLvl w:val="2"/>
        <w:rPr>
          <w:rFonts w:eastAsia="楷体_GB2312" w:cs="楷体_GB2312"/>
          <w:b/>
          <w:sz w:val="32"/>
          <w:szCs w:val="32"/>
        </w:rPr>
      </w:pPr>
      <w:bookmarkStart w:id="41" w:name="_Toc15377217"/>
      <w:r>
        <w:rPr>
          <w:rFonts w:hint="eastAsia" w:eastAsia="楷体_GB2312" w:cs="楷体_GB2312"/>
          <w:b/>
          <w:sz w:val="32"/>
          <w:szCs w:val="32"/>
        </w:rPr>
        <w:t>（二）财政拨款“三公”经费支出决算具体情况说明</w:t>
      </w:r>
      <w:bookmarkEnd w:id="41"/>
    </w:p>
    <w:p w14:paraId="6D01C65C">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%；公务接待费支出决算</w:t>
      </w:r>
      <w:r>
        <w:rPr>
          <w:rFonts w:hint="eastAsia" w:eastAsia="仿宋_GB2312" w:cs="仿宋_GB2312"/>
          <w:sz w:val="32"/>
          <w:szCs w:val="32"/>
          <w:lang w:val="en-US" w:eastAsia="zh-CN"/>
        </w:rPr>
        <w:t>0.29</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%。具体情况如下：</w:t>
      </w:r>
    </w:p>
    <w:p w14:paraId="118F4987">
      <w:pPr>
        <w:spacing w:line="600" w:lineRule="exact"/>
        <w:ind w:firstLine="640"/>
        <w:rPr>
          <w:rFonts w:hint="eastAsia" w:eastAsia="仿宋_GB2312" w:cs="仿宋_GB2312"/>
          <w:sz w:val="32"/>
          <w:szCs w:val="32"/>
          <w:lang w:eastAsia="zh-CN"/>
        </w:rPr>
      </w:pPr>
      <w:r>
        <w:drawing>
          <wp:anchor distT="0" distB="0" distL="114300" distR="114300" simplePos="0" relativeHeight="251666432" behindDoc="0" locked="0" layoutInCell="1" allowOverlap="1">
            <wp:simplePos x="0" y="0"/>
            <wp:positionH relativeFrom="column">
              <wp:posOffset>584200</wp:posOffset>
            </wp:positionH>
            <wp:positionV relativeFrom="paragraph">
              <wp:posOffset>309245</wp:posOffset>
            </wp:positionV>
            <wp:extent cx="4044315" cy="2242820"/>
            <wp:effectExtent l="4445" t="4445" r="14605" b="15875"/>
            <wp:wrapNone/>
            <wp:docPr id="83699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CD3496A">
      <w:pPr>
        <w:spacing w:line="600" w:lineRule="exact"/>
        <w:ind w:firstLine="640"/>
        <w:rPr>
          <w:rFonts w:hint="eastAsia" w:eastAsia="仿宋_GB2312" w:cs="仿宋_GB2312"/>
          <w:sz w:val="32"/>
          <w:szCs w:val="32"/>
          <w:lang w:eastAsia="zh-CN"/>
        </w:rPr>
      </w:pPr>
    </w:p>
    <w:p w14:paraId="2D3ABC14">
      <w:pPr>
        <w:spacing w:line="600" w:lineRule="exact"/>
        <w:ind w:firstLine="640"/>
        <w:rPr>
          <w:rFonts w:hint="eastAsia" w:eastAsia="仿宋_GB2312" w:cs="仿宋_GB2312"/>
          <w:sz w:val="32"/>
          <w:szCs w:val="32"/>
          <w:lang w:eastAsia="zh-CN"/>
        </w:rPr>
      </w:pPr>
    </w:p>
    <w:p w14:paraId="1FA0A196">
      <w:pPr>
        <w:spacing w:line="600" w:lineRule="exact"/>
        <w:ind w:firstLine="640"/>
        <w:rPr>
          <w:rFonts w:hint="eastAsia" w:eastAsia="仿宋_GB2312" w:cs="仿宋_GB2312"/>
          <w:sz w:val="32"/>
          <w:szCs w:val="32"/>
          <w:lang w:eastAsia="zh-CN"/>
        </w:rPr>
      </w:pPr>
    </w:p>
    <w:p w14:paraId="509FAE36">
      <w:pPr>
        <w:spacing w:line="600" w:lineRule="exact"/>
        <w:ind w:firstLine="640"/>
        <w:rPr>
          <w:rFonts w:hint="eastAsia" w:eastAsia="仿宋_GB2312" w:cs="仿宋_GB2312"/>
          <w:sz w:val="32"/>
          <w:szCs w:val="32"/>
          <w:lang w:eastAsia="zh-CN"/>
        </w:rPr>
      </w:pPr>
    </w:p>
    <w:p w14:paraId="3396A74E">
      <w:pPr>
        <w:spacing w:line="600" w:lineRule="exact"/>
        <w:ind w:firstLine="640"/>
        <w:rPr>
          <w:rFonts w:hint="eastAsia" w:eastAsia="仿宋_GB2312" w:cs="仿宋_GB2312"/>
          <w:sz w:val="32"/>
          <w:szCs w:val="32"/>
          <w:lang w:eastAsia="zh-CN"/>
        </w:rPr>
      </w:pPr>
    </w:p>
    <w:p w14:paraId="2B789B66">
      <w:pPr>
        <w:spacing w:line="600" w:lineRule="exact"/>
        <w:ind w:firstLine="640"/>
        <w:rPr>
          <w:rFonts w:hint="eastAsia" w:eastAsia="仿宋_GB2312" w:cs="仿宋_GB2312"/>
          <w:sz w:val="32"/>
          <w:szCs w:val="32"/>
          <w:lang w:eastAsia="zh-CN"/>
        </w:rPr>
      </w:pPr>
    </w:p>
    <w:p w14:paraId="15A195A0">
      <w:pPr>
        <w:spacing w:line="600" w:lineRule="exact"/>
        <w:ind w:firstLine="640"/>
        <w:rPr>
          <w:rFonts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rPr>
        <w:t>图7：财政拨款“三公”经费支出结构</w:t>
      </w:r>
      <w:r>
        <w:rPr>
          <w:rFonts w:hint="eastAsia" w:eastAsia="仿宋_GB2312" w:cs="仿宋_GB2312"/>
          <w:sz w:val="32"/>
          <w:szCs w:val="32"/>
          <w:lang w:val="en-US" w:eastAsia="zh-CN"/>
        </w:rPr>
        <w:t xml:space="preserve"> </w:t>
      </w:r>
      <w:r>
        <w:rPr>
          <w:rFonts w:hint="eastAsia" w:eastAsia="仿宋_GB2312" w:cs="仿宋_GB2312"/>
          <w:sz w:val="32"/>
          <w:szCs w:val="32"/>
        </w:rPr>
        <w:t>（</w:t>
      </w:r>
      <w:r>
        <w:rPr>
          <w:rFonts w:hint="eastAsia" w:eastAsia="仿宋_GB2312" w:cs="仿宋_GB2312"/>
          <w:sz w:val="32"/>
          <w:szCs w:val="32"/>
          <w:lang w:eastAsia="zh-CN"/>
        </w:rPr>
        <w:t>单位：万元</w:t>
      </w:r>
      <w:r>
        <w:rPr>
          <w:rFonts w:hint="eastAsia" w:eastAsia="仿宋_GB2312" w:cs="仿宋_GB2312"/>
          <w:sz w:val="32"/>
          <w:szCs w:val="32"/>
        </w:rPr>
        <w:t>）</w:t>
      </w:r>
    </w:p>
    <w:p w14:paraId="1190969D">
      <w:pPr>
        <w:spacing w:line="600" w:lineRule="exact"/>
        <w:ind w:firstLine="640"/>
        <w:rPr>
          <w:rFonts w:hint="eastAsia"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人。因公出国（境）支出决算与202</w:t>
      </w:r>
      <w:r>
        <w:rPr>
          <w:rFonts w:hint="eastAsia" w:eastAsia="仿宋_GB2312" w:cs="仿宋_GB2312"/>
          <w:sz w:val="32"/>
          <w:szCs w:val="32"/>
          <w:lang w:val="en-US" w:eastAsia="zh-CN"/>
        </w:rPr>
        <w:t>4</w:t>
      </w:r>
      <w:r>
        <w:rPr>
          <w:rFonts w:hint="eastAsia" w:eastAsia="仿宋_GB2312" w:cs="仿宋_GB2312"/>
          <w:sz w:val="32"/>
          <w:szCs w:val="32"/>
        </w:rPr>
        <w:t>年</w:t>
      </w:r>
      <w:r>
        <w:rPr>
          <w:rFonts w:hint="eastAsia" w:eastAsia="仿宋_GB2312" w:cs="仿宋_GB2312"/>
          <w:sz w:val="32"/>
          <w:szCs w:val="32"/>
          <w:lang w:eastAsia="zh-CN"/>
        </w:rPr>
        <w:t>度</w:t>
      </w:r>
      <w:r>
        <w:rPr>
          <w:rFonts w:hint="eastAsia" w:eastAsia="仿宋_GB2312" w:cs="仿宋_GB2312"/>
          <w:sz w:val="32"/>
          <w:szCs w:val="32"/>
        </w:rPr>
        <w:t>持平，主要原因是</w:t>
      </w:r>
      <w:r>
        <w:rPr>
          <w:rFonts w:hint="eastAsia" w:eastAsia="仿宋_GB2312" w:cs="仿宋_GB2312"/>
          <w:sz w:val="32"/>
          <w:szCs w:val="32"/>
          <w:lang w:eastAsia="zh-CN"/>
        </w:rPr>
        <w:t>未安排</w:t>
      </w:r>
      <w:r>
        <w:rPr>
          <w:rFonts w:hint="eastAsia" w:eastAsia="仿宋_GB2312" w:cs="仿宋_GB2312"/>
          <w:sz w:val="32"/>
          <w:szCs w:val="32"/>
        </w:rPr>
        <w:t>因公出国</w:t>
      </w:r>
      <w:r>
        <w:rPr>
          <w:rFonts w:hint="eastAsia" w:eastAsia="仿宋_GB2312" w:cs="仿宋_GB2312"/>
          <w:sz w:val="32"/>
          <w:szCs w:val="32"/>
          <w:lang w:eastAsia="zh-CN"/>
        </w:rPr>
        <w:t>（</w:t>
      </w:r>
      <w:r>
        <w:rPr>
          <w:rFonts w:hint="eastAsia" w:eastAsia="仿宋_GB2312" w:cs="仿宋_GB2312"/>
          <w:sz w:val="32"/>
          <w:szCs w:val="32"/>
        </w:rPr>
        <w:t>境</w:t>
      </w:r>
      <w:r>
        <w:rPr>
          <w:rFonts w:hint="eastAsia" w:eastAsia="仿宋_GB2312" w:cs="仿宋_GB2312"/>
          <w:sz w:val="32"/>
          <w:szCs w:val="32"/>
          <w:lang w:eastAsia="zh-CN"/>
        </w:rPr>
        <w:t>）</w:t>
      </w:r>
      <w:r>
        <w:rPr>
          <w:rFonts w:hint="eastAsia" w:eastAsia="仿宋_GB2312" w:cs="仿宋_GB2312"/>
          <w:sz w:val="32"/>
          <w:szCs w:val="32"/>
        </w:rPr>
        <w:t>。</w:t>
      </w:r>
    </w:p>
    <w:p w14:paraId="3366471D">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公务用车购置及运行维护费支出决算比上年度持平，主要原因无公务用车购置及运行维护费支出。</w:t>
      </w:r>
    </w:p>
    <w:p w14:paraId="051BD274">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辆、越野车</w:t>
      </w:r>
      <w:r>
        <w:rPr>
          <w:rFonts w:hint="eastAsia" w:eastAsia="仿宋_GB2312" w:cs="仿宋_GB2312"/>
          <w:sz w:val="32"/>
          <w:szCs w:val="32"/>
          <w:lang w:val="en-US" w:eastAsia="zh-CN"/>
        </w:rPr>
        <w:t>0</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0391798A">
      <w:pPr>
        <w:spacing w:line="600" w:lineRule="exact"/>
        <w:ind w:firstLine="640"/>
        <w:rPr>
          <w:rFonts w:hint="eastAsia"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0</w:t>
      </w:r>
      <w:r>
        <w:rPr>
          <w:rFonts w:hint="eastAsia" w:eastAsia="仿宋_GB2312" w:cs="仿宋_GB2312"/>
          <w:sz w:val="32"/>
          <w:szCs w:val="32"/>
        </w:rPr>
        <w:t>万元。</w:t>
      </w:r>
    </w:p>
    <w:p w14:paraId="46B9E3D8">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0.29</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w:t>
      </w:r>
      <w:r>
        <w:rPr>
          <w:rFonts w:hint="eastAsia" w:ascii="Times New Roman" w:hAnsi="Times New Roman" w:eastAsia="仿宋_GB2312" w:cs="仿宋_GB2312"/>
          <w:sz w:val="32"/>
          <w:szCs w:val="32"/>
        </w:rPr>
        <w:t>度</w:t>
      </w:r>
      <w:r>
        <w:rPr>
          <w:rFonts w:hint="eastAsia" w:eastAsia="仿宋_GB2312" w:cs="仿宋_GB2312"/>
          <w:sz w:val="32"/>
          <w:szCs w:val="32"/>
        </w:rPr>
        <w:t>减少</w:t>
      </w:r>
      <w:r>
        <w:rPr>
          <w:rFonts w:hint="eastAsia" w:eastAsia="仿宋_GB2312" w:cs="仿宋_GB2312"/>
          <w:sz w:val="32"/>
          <w:szCs w:val="32"/>
          <w:lang w:val="en-US" w:eastAsia="zh-CN"/>
        </w:rPr>
        <w:t>0.63</w:t>
      </w:r>
      <w:r>
        <w:rPr>
          <w:rFonts w:hint="eastAsia" w:eastAsia="仿宋_GB2312" w:cs="仿宋_GB2312"/>
          <w:sz w:val="32"/>
          <w:szCs w:val="32"/>
        </w:rPr>
        <w:t>万元，下降</w:t>
      </w:r>
      <w:r>
        <w:rPr>
          <w:rFonts w:hint="eastAsia" w:eastAsia="仿宋_GB2312" w:cs="仿宋_GB2312"/>
          <w:sz w:val="32"/>
          <w:szCs w:val="32"/>
          <w:lang w:val="en-US" w:eastAsia="zh-CN"/>
        </w:rPr>
        <w:t>68.5</w:t>
      </w:r>
      <w:r>
        <w:rPr>
          <w:rFonts w:hint="eastAsia" w:eastAsia="仿宋_GB2312" w:cs="仿宋_GB2312"/>
          <w:sz w:val="32"/>
          <w:szCs w:val="32"/>
        </w:rPr>
        <w:t>%。主要原因是坚持党政机关过紧日子要求，厉行节约。其中：</w:t>
      </w:r>
    </w:p>
    <w:p w14:paraId="1A4E195F">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0.29</w:t>
      </w:r>
      <w:r>
        <w:rPr>
          <w:rFonts w:hint="eastAsia" w:eastAsia="仿宋_GB2312" w:cs="仿宋_GB2312"/>
          <w:sz w:val="32"/>
          <w:szCs w:val="32"/>
        </w:rPr>
        <w:t>万元，主要用于执行公务、开展业务活动开支的用餐费。国内公务接待</w:t>
      </w:r>
      <w:r>
        <w:rPr>
          <w:rFonts w:hint="eastAsia" w:eastAsia="仿宋_GB2312" w:cs="仿宋_GB2312"/>
          <w:sz w:val="32"/>
          <w:szCs w:val="32"/>
          <w:lang w:val="en-US" w:eastAsia="zh-CN"/>
        </w:rPr>
        <w:t>3</w:t>
      </w:r>
      <w:r>
        <w:rPr>
          <w:rFonts w:hint="eastAsia" w:eastAsia="仿宋_GB2312" w:cs="仿宋_GB2312"/>
          <w:sz w:val="32"/>
          <w:szCs w:val="32"/>
        </w:rPr>
        <w:t>批次，</w:t>
      </w:r>
      <w:r>
        <w:rPr>
          <w:rFonts w:hint="eastAsia" w:eastAsia="仿宋_GB2312" w:cs="仿宋_GB2312"/>
          <w:sz w:val="32"/>
          <w:szCs w:val="32"/>
          <w:lang w:val="en-US" w:eastAsia="zh-CN"/>
        </w:rPr>
        <w:t>28</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0.29</w:t>
      </w:r>
      <w:r>
        <w:rPr>
          <w:rFonts w:hint="eastAsia" w:eastAsia="仿宋_GB2312" w:cs="仿宋_GB2312"/>
          <w:sz w:val="32"/>
          <w:szCs w:val="32"/>
        </w:rPr>
        <w:t>万元，具体内容包括：</w:t>
      </w:r>
      <w:r>
        <w:rPr>
          <w:rFonts w:hint="eastAsia" w:eastAsia="仿宋_GB2312" w:cs="仿宋_GB2312"/>
          <w:sz w:val="32"/>
          <w:szCs w:val="32"/>
          <w:lang w:val="en-US" w:eastAsia="zh-CN"/>
        </w:rPr>
        <w:t>接待2024年第五批国家级自然保护区生态环境保护成效现场评估费用950元；接待“十五五”环境规划编制调研费用1000元；接待开展倮果断面水质降类问题整改指导帮扶费用958元</w:t>
      </w:r>
      <w:r>
        <w:rPr>
          <w:rFonts w:hint="eastAsia" w:eastAsia="仿宋_GB2312" w:cs="仿宋_GB2312"/>
          <w:sz w:val="32"/>
          <w:szCs w:val="32"/>
        </w:rPr>
        <w:t>。</w:t>
      </w:r>
    </w:p>
    <w:p w14:paraId="09FFDB06">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42" w:name="_Toc15396610"/>
      <w:bookmarkStart w:id="43" w:name="_Toc15377218"/>
    </w:p>
    <w:p w14:paraId="37E99D25">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2"/>
      <w:bookmarkEnd w:id="43"/>
    </w:p>
    <w:p w14:paraId="52B4C4F9">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%。与上年度相比，政府性基金预算财政拨款支出</w:t>
      </w:r>
      <w:r>
        <w:rPr>
          <w:rFonts w:hint="eastAsia" w:eastAsia="仿宋_GB2312" w:cs="仿宋_GB2312"/>
          <w:sz w:val="32"/>
          <w:szCs w:val="32"/>
          <w:lang w:eastAsia="zh-CN"/>
        </w:rPr>
        <w:t>持平。</w:t>
      </w:r>
    </w:p>
    <w:p w14:paraId="7B8A4756">
      <w:pPr>
        <w:spacing w:line="600" w:lineRule="exact"/>
        <w:ind w:left="630"/>
        <w:outlineLvl w:val="1"/>
        <w:rPr>
          <w:rStyle w:val="29"/>
          <w:rFonts w:ascii="Times New Roman" w:hAnsi="Times New Roman" w:eastAsia="黑体"/>
          <w:b w:val="0"/>
        </w:rPr>
      </w:pPr>
      <w:bookmarkStart w:id="44" w:name="_Toc15396611"/>
      <w:bookmarkStart w:id="45" w:name="_Toc15377219"/>
      <w:r>
        <w:rPr>
          <w:rStyle w:val="29"/>
          <w:rFonts w:hint="eastAsia" w:ascii="Times New Roman" w:hAnsi="Times New Roman" w:eastAsia="黑体"/>
          <w:b w:val="0"/>
        </w:rPr>
        <w:t>九、国有资本经营预算支出决算情况说明</w:t>
      </w:r>
      <w:bookmarkEnd w:id="44"/>
      <w:bookmarkEnd w:id="45"/>
    </w:p>
    <w:p w14:paraId="241A436E">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%。与上年度相比，国有资本经营预算财政拨款支出</w:t>
      </w:r>
      <w:r>
        <w:rPr>
          <w:rFonts w:hint="eastAsia" w:eastAsia="仿宋_GB2312" w:cs="仿宋_GB2312"/>
          <w:sz w:val="32"/>
          <w:szCs w:val="32"/>
          <w:lang w:eastAsia="zh-CN"/>
        </w:rPr>
        <w:t>持平。</w:t>
      </w:r>
    </w:p>
    <w:p w14:paraId="714510D3">
      <w:pPr>
        <w:spacing w:line="600" w:lineRule="exact"/>
        <w:ind w:left="630"/>
        <w:outlineLvl w:val="1"/>
        <w:rPr>
          <w:rStyle w:val="29"/>
          <w:rFonts w:ascii="Times New Roman" w:hAnsi="Times New Roman" w:eastAsia="黑体"/>
          <w:b w:val="0"/>
        </w:rPr>
      </w:pPr>
      <w:bookmarkStart w:id="46" w:name="_Toc15377221"/>
      <w:bookmarkStart w:id="47" w:name="_Toc15396612"/>
      <w:r>
        <w:rPr>
          <w:rStyle w:val="29"/>
          <w:rFonts w:hint="eastAsia" w:ascii="Times New Roman" w:hAnsi="Times New Roman" w:eastAsia="黑体"/>
          <w:b w:val="0"/>
        </w:rPr>
        <w:t>十、其他重要事项的情况说明</w:t>
      </w:r>
      <w:bookmarkEnd w:id="46"/>
      <w:bookmarkEnd w:id="47"/>
    </w:p>
    <w:p w14:paraId="33399C27">
      <w:pPr>
        <w:spacing w:line="600" w:lineRule="exact"/>
        <w:ind w:firstLine="643" w:firstLineChars="200"/>
        <w:outlineLvl w:val="2"/>
        <w:rPr>
          <w:rFonts w:eastAsia="楷体_GB2312" w:cs="楷体_GB2312"/>
          <w:b/>
          <w:sz w:val="32"/>
          <w:szCs w:val="32"/>
        </w:rPr>
      </w:pPr>
      <w:bookmarkStart w:id="48" w:name="_Toc15377222"/>
      <w:r>
        <w:rPr>
          <w:rFonts w:hint="eastAsia" w:eastAsia="楷体_GB2312" w:cs="楷体_GB2312"/>
          <w:b/>
          <w:sz w:val="32"/>
          <w:szCs w:val="32"/>
        </w:rPr>
        <w:t>（一）机关运行经费支出情况</w:t>
      </w:r>
      <w:bookmarkEnd w:id="48"/>
    </w:p>
    <w:p w14:paraId="44862D36">
      <w:pPr>
        <w:spacing w:line="600" w:lineRule="exact"/>
        <w:ind w:firstLine="640"/>
        <w:rPr>
          <w:rFonts w:hint="eastAsia" w:ascii="Times New Roman" w:hAnsi="Times New Roman" w:eastAsia="仿宋_GB2312" w:cs="仿宋_GB2312"/>
          <w:sz w:val="32"/>
          <w:szCs w:val="32"/>
        </w:rPr>
      </w:pPr>
      <w:r>
        <w:rPr>
          <w:rFonts w:hint="eastAsia" w:eastAsia="仿宋_GB2312" w:cs="仿宋_GB2312"/>
          <w:sz w:val="32"/>
          <w:szCs w:val="32"/>
        </w:rPr>
        <w:t>2025年度，攀枝花市仁和生态环境局机关运行经费支出</w:t>
      </w:r>
      <w:r>
        <w:rPr>
          <w:rFonts w:hint="eastAsia" w:eastAsia="仿宋_GB2312" w:cs="仿宋_GB2312"/>
          <w:sz w:val="32"/>
          <w:szCs w:val="32"/>
          <w:lang w:val="en-US" w:eastAsia="zh-CN"/>
        </w:rPr>
        <w:t>27.68</w:t>
      </w:r>
      <w:r>
        <w:rPr>
          <w:rFonts w:hint="eastAsia" w:eastAsia="仿宋_GB2312" w:cs="仿宋_GB2312"/>
          <w:sz w:val="32"/>
          <w:szCs w:val="32"/>
        </w:rPr>
        <w:t>万元，比上年度减少</w:t>
      </w:r>
      <w:r>
        <w:rPr>
          <w:rFonts w:hint="eastAsia" w:eastAsia="仿宋_GB2312" w:cs="仿宋_GB2312"/>
          <w:sz w:val="32"/>
          <w:szCs w:val="32"/>
          <w:lang w:val="en-US" w:eastAsia="zh-CN"/>
        </w:rPr>
        <w:t>11.21</w:t>
      </w:r>
      <w:r>
        <w:rPr>
          <w:rFonts w:hint="eastAsia" w:eastAsia="仿宋_GB2312" w:cs="仿宋_GB2312"/>
          <w:sz w:val="32"/>
          <w:szCs w:val="32"/>
        </w:rPr>
        <w:t>万元，下降</w:t>
      </w:r>
      <w:r>
        <w:rPr>
          <w:rFonts w:hint="eastAsia" w:eastAsia="仿宋_GB2312" w:cs="仿宋_GB2312"/>
          <w:sz w:val="32"/>
          <w:szCs w:val="32"/>
          <w:lang w:val="en-US" w:eastAsia="zh-CN"/>
        </w:rPr>
        <w:t>28.8</w:t>
      </w:r>
      <w:r>
        <w:rPr>
          <w:rFonts w:hint="eastAsia" w:eastAsia="仿宋_GB2312" w:cs="仿宋_GB2312"/>
          <w:sz w:val="32"/>
          <w:szCs w:val="32"/>
        </w:rPr>
        <w:t>%。</w:t>
      </w:r>
      <w:r>
        <w:rPr>
          <w:rFonts w:hint="eastAsia" w:ascii="Times New Roman" w:hAnsi="Times New Roman" w:eastAsia="仿宋_GB2312" w:cs="仿宋_GB2312"/>
          <w:sz w:val="32"/>
          <w:szCs w:val="32"/>
        </w:rPr>
        <w:t>主要原因是坚持党政机关过紧日子要求，厉行节约。</w:t>
      </w:r>
    </w:p>
    <w:p w14:paraId="25CBF022">
      <w:pPr>
        <w:spacing w:line="600" w:lineRule="exact"/>
        <w:ind w:firstLine="643" w:firstLineChars="200"/>
        <w:outlineLvl w:val="2"/>
        <w:rPr>
          <w:rFonts w:eastAsia="楷体_GB2312" w:cs="楷体_GB2312"/>
          <w:b/>
          <w:sz w:val="32"/>
          <w:szCs w:val="32"/>
        </w:rPr>
      </w:pPr>
      <w:bookmarkStart w:id="49" w:name="_Toc15377223"/>
      <w:r>
        <w:rPr>
          <w:rFonts w:hint="eastAsia" w:eastAsia="楷体_GB2312" w:cs="楷体_GB2312"/>
          <w:b/>
          <w:sz w:val="32"/>
          <w:szCs w:val="32"/>
        </w:rPr>
        <w:t>（二）政府采购支出情况</w:t>
      </w:r>
      <w:bookmarkEnd w:id="49"/>
    </w:p>
    <w:p w14:paraId="5FB436EE">
      <w:pPr>
        <w:spacing w:line="600" w:lineRule="exact"/>
        <w:ind w:firstLine="640"/>
        <w:rPr>
          <w:rFonts w:eastAsia="仿宋_GB2312" w:cs="仿宋_GB2312"/>
          <w:sz w:val="32"/>
          <w:szCs w:val="32"/>
        </w:rPr>
      </w:pPr>
      <w:r>
        <w:rPr>
          <w:rFonts w:hint="eastAsia" w:eastAsia="仿宋_GB2312" w:cs="仿宋_GB2312"/>
          <w:sz w:val="32"/>
          <w:szCs w:val="32"/>
        </w:rPr>
        <w:t>2025年度，攀枝花市仁和生态环境局政府采购支出总额5726.73万元，其中：政府采购货物支出0万元、政府采购工程支出5563.92万元、政府采购服务支出162.81万元。主要用于仁和区大河流域仁和段水生态环境综合整治项目勘</w:t>
      </w:r>
      <w:r>
        <w:rPr>
          <w:rFonts w:hint="eastAsia" w:eastAsia="仿宋_GB2312" w:cs="仿宋_GB2312"/>
          <w:sz w:val="32"/>
          <w:szCs w:val="32"/>
          <w:lang w:val="en-US" w:eastAsia="zh-CN"/>
        </w:rPr>
        <w:t>c察</w:t>
      </w:r>
      <w:r>
        <w:rPr>
          <w:rFonts w:hint="eastAsia" w:eastAsia="仿宋_GB2312" w:cs="仿宋_GB2312"/>
          <w:sz w:val="32"/>
          <w:szCs w:val="32"/>
        </w:rPr>
        <w:t>服务</w:t>
      </w:r>
      <w:r>
        <w:rPr>
          <w:rFonts w:hint="eastAsia" w:eastAsia="仿宋_GB2312" w:cs="仿宋_GB2312"/>
          <w:sz w:val="32"/>
          <w:szCs w:val="32"/>
          <w:lang w:eastAsia="zh-CN"/>
        </w:rPr>
        <w:t>、监理服务、代建服务和</w:t>
      </w:r>
      <w:r>
        <w:rPr>
          <w:rFonts w:hint="eastAsia" w:eastAsia="仿宋_GB2312" w:cs="仿宋_GB2312"/>
          <w:sz w:val="32"/>
          <w:szCs w:val="32"/>
          <w:lang w:val="en-US" w:eastAsia="zh-CN"/>
        </w:rPr>
        <w:t>EPC</w:t>
      </w:r>
      <w:r>
        <w:rPr>
          <w:rFonts w:hint="eastAsia" w:eastAsia="仿宋_GB2312" w:cs="仿宋_GB2312"/>
          <w:sz w:val="32"/>
          <w:szCs w:val="32"/>
          <w:lang w:eastAsia="zh-CN"/>
        </w:rPr>
        <w:t>总承包采购；攀枝花市（东区、西区、仁和区、盐边县）农用地土壤重金属污染溯源项目采购（仁和区部分）</w:t>
      </w:r>
      <w:r>
        <w:rPr>
          <w:rFonts w:hint="eastAsia" w:eastAsia="仿宋_GB2312" w:cs="仿宋_GB2312"/>
          <w:sz w:val="32"/>
          <w:szCs w:val="32"/>
        </w:rPr>
        <w:t>。授予中小企业合同金额5563.92万元，占政府采购支出总额的97.</w:t>
      </w:r>
      <w:r>
        <w:rPr>
          <w:rFonts w:hint="eastAsia" w:eastAsia="仿宋_GB2312" w:cs="仿宋_GB2312"/>
          <w:sz w:val="32"/>
          <w:szCs w:val="32"/>
          <w:lang w:val="en-US" w:eastAsia="zh-CN"/>
        </w:rPr>
        <w:t>2</w:t>
      </w:r>
      <w:r>
        <w:rPr>
          <w:rFonts w:hint="eastAsia" w:eastAsia="仿宋_GB2312" w:cs="仿宋_GB2312"/>
          <w:sz w:val="32"/>
          <w:szCs w:val="32"/>
        </w:rPr>
        <w:t>%，其中：授予小微企业合同金额0万元，占政府采购支出总额的0%。</w:t>
      </w:r>
    </w:p>
    <w:p w14:paraId="097468EB">
      <w:pPr>
        <w:spacing w:line="600" w:lineRule="exact"/>
        <w:ind w:firstLine="643" w:firstLineChars="200"/>
        <w:outlineLvl w:val="2"/>
        <w:rPr>
          <w:rFonts w:hint="eastAsia" w:eastAsia="楷体_GB2312" w:cs="楷体_GB2312"/>
          <w:b/>
          <w:sz w:val="32"/>
          <w:szCs w:val="32"/>
          <w:lang w:eastAsia="zh-CN"/>
        </w:rPr>
      </w:pPr>
      <w:bookmarkStart w:id="50" w:name="_Toc15377224"/>
      <w:r>
        <w:rPr>
          <w:rFonts w:hint="eastAsia" w:eastAsia="楷体_GB2312" w:cs="楷体_GB2312"/>
          <w:b/>
          <w:sz w:val="32"/>
          <w:szCs w:val="32"/>
        </w:rPr>
        <w:t>（三）国有资产占有使用情况</w:t>
      </w:r>
      <w:bookmarkEnd w:id="50"/>
      <w:r>
        <w:rPr>
          <w:rFonts w:hint="eastAsia" w:eastAsia="楷体_GB2312" w:cs="楷体_GB2312"/>
          <w:b/>
          <w:sz w:val="32"/>
          <w:szCs w:val="32"/>
          <w:lang w:eastAsia="zh-CN"/>
        </w:rPr>
        <w:t>。</w:t>
      </w:r>
    </w:p>
    <w:p w14:paraId="792D7806">
      <w:pPr>
        <w:spacing w:line="600" w:lineRule="exact"/>
        <w:ind w:firstLine="640"/>
        <w:rPr>
          <w:rFonts w:eastAsia="仿宋_GB2312" w:cs="仿宋_GB2312"/>
          <w:sz w:val="32"/>
          <w:szCs w:val="32"/>
        </w:rPr>
      </w:pPr>
      <w:r>
        <w:rPr>
          <w:rFonts w:hint="eastAsia" w:eastAsia="仿宋_GB2312" w:cs="仿宋_GB2312"/>
          <w:sz w:val="32"/>
          <w:szCs w:val="32"/>
        </w:rPr>
        <w:t>截至2025年12月31日，攀枝花市仁和生态环境局共有车辆</w:t>
      </w:r>
      <w:r>
        <w:rPr>
          <w:rFonts w:hint="eastAsia" w:eastAsia="仿宋_GB2312" w:cs="仿宋_GB2312"/>
          <w:sz w:val="32"/>
          <w:szCs w:val="32"/>
          <w:lang w:val="en-US" w:eastAsia="zh-CN"/>
        </w:rPr>
        <w:t>0</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0</w:t>
      </w:r>
      <w:r>
        <w:rPr>
          <w:rFonts w:hint="eastAsia" w:eastAsia="仿宋_GB2312" w:cs="仿宋_GB2312"/>
          <w:sz w:val="32"/>
          <w:szCs w:val="32"/>
        </w:rPr>
        <w:t>辆。单价100万元（含）以上设备（不含车辆）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0ECA3F98">
      <w:pPr>
        <w:spacing w:line="600" w:lineRule="exact"/>
        <w:ind w:firstLine="643" w:firstLineChars="200"/>
        <w:outlineLvl w:val="2"/>
        <w:rPr>
          <w:rFonts w:hint="eastAsia" w:eastAsia="楷体_GB2312" w:cs="楷体_GB2312"/>
          <w:b/>
          <w:sz w:val="32"/>
          <w:szCs w:val="32"/>
          <w:lang w:eastAsia="zh-CN"/>
        </w:rPr>
      </w:pPr>
      <w:r>
        <w:rPr>
          <w:rFonts w:hint="eastAsia" w:eastAsia="楷体_GB2312" w:cs="楷体_GB2312"/>
          <w:b/>
          <w:sz w:val="32"/>
          <w:szCs w:val="32"/>
        </w:rPr>
        <w:t>（四）预算绩效管理情况</w:t>
      </w:r>
      <w:r>
        <w:rPr>
          <w:rFonts w:hint="eastAsia" w:eastAsia="楷体_GB2312" w:cs="楷体_GB2312"/>
          <w:b/>
          <w:sz w:val="32"/>
          <w:szCs w:val="32"/>
          <w:lang w:eastAsia="zh-CN"/>
        </w:rPr>
        <w:t>。</w:t>
      </w:r>
    </w:p>
    <w:p w14:paraId="03055752">
      <w:pPr>
        <w:spacing w:line="600" w:lineRule="exact"/>
        <w:ind w:firstLine="640"/>
        <w:rPr>
          <w:rFonts w:eastAsia="仿宋_GB2312" w:cs="仿宋_GB2312"/>
          <w:sz w:val="32"/>
          <w:szCs w:val="32"/>
        </w:rPr>
      </w:pPr>
      <w:r>
        <w:rPr>
          <w:rFonts w:hint="eastAsia" w:eastAsia="仿宋_GB2312" w:cs="仿宋_GB2312"/>
          <w:sz w:val="32"/>
          <w:szCs w:val="32"/>
        </w:rPr>
        <w:t>根据预算绩效管理要求，攀枝花市仁和生态环境局在2025年度，组织对</w:t>
      </w:r>
      <w:r>
        <w:rPr>
          <w:rFonts w:hint="eastAsia" w:eastAsia="仿宋_GB2312" w:cs="仿宋_GB2312"/>
          <w:sz w:val="32"/>
          <w:szCs w:val="32"/>
          <w:lang w:val="en-US" w:eastAsia="zh-CN"/>
        </w:rPr>
        <w:t>0</w:t>
      </w:r>
      <w:r>
        <w:rPr>
          <w:rFonts w:hint="eastAsia" w:eastAsia="仿宋_GB2312" w:cs="仿宋_GB2312"/>
          <w:sz w:val="32"/>
          <w:szCs w:val="32"/>
        </w:rPr>
        <w:t>个项目涉及金额</w:t>
      </w:r>
      <w:r>
        <w:rPr>
          <w:rFonts w:hint="eastAsia" w:eastAsia="仿宋_GB2312" w:cs="仿宋_GB2312"/>
          <w:sz w:val="32"/>
          <w:szCs w:val="32"/>
          <w:lang w:val="en-US" w:eastAsia="zh-CN"/>
        </w:rPr>
        <w:t>0</w:t>
      </w:r>
      <w:r>
        <w:rPr>
          <w:rFonts w:hint="eastAsia" w:eastAsia="仿宋_GB2312" w:cs="仿宋_GB2312"/>
          <w:sz w:val="32"/>
          <w:szCs w:val="32"/>
        </w:rPr>
        <w:t>万元开展了事前绩效评估，对</w:t>
      </w:r>
      <w:r>
        <w:rPr>
          <w:rFonts w:hint="eastAsia" w:eastAsia="仿宋_GB2312" w:cs="仿宋_GB2312"/>
          <w:sz w:val="32"/>
          <w:szCs w:val="32"/>
          <w:lang w:val="en-US" w:eastAsia="zh-CN"/>
        </w:rPr>
        <w:t>0</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0</w:t>
      </w:r>
      <w:r>
        <w:rPr>
          <w:rFonts w:hint="eastAsia" w:eastAsia="仿宋_GB2312" w:cs="仿宋_GB2312"/>
          <w:sz w:val="32"/>
          <w:szCs w:val="32"/>
        </w:rPr>
        <w:t>个项目开展绩效监控。</w:t>
      </w:r>
    </w:p>
    <w:p w14:paraId="0DFF3A98">
      <w:pPr>
        <w:spacing w:line="600" w:lineRule="exact"/>
        <w:ind w:firstLine="640"/>
        <w:rPr>
          <w:rFonts w:eastAsia="仿宋_GB2312" w:cs="仿宋_GB2312"/>
          <w:sz w:val="32"/>
          <w:szCs w:val="32"/>
        </w:rPr>
      </w:pPr>
    </w:p>
    <w:p w14:paraId="3F998D52">
      <w:pPr>
        <w:spacing w:line="600" w:lineRule="exact"/>
        <w:jc w:val="center"/>
        <w:outlineLvl w:val="0"/>
        <w:rPr>
          <w:rFonts w:hint="eastAsia" w:eastAsia="黑体"/>
          <w:sz w:val="44"/>
          <w:szCs w:val="44"/>
        </w:rPr>
      </w:pPr>
      <w:bookmarkStart w:id="51" w:name="_Toc15396613"/>
      <w:bookmarkStart w:id="52" w:name="_Toc15377225"/>
    </w:p>
    <w:p w14:paraId="50FDF63D">
      <w:pPr>
        <w:spacing w:line="600" w:lineRule="exact"/>
        <w:jc w:val="center"/>
        <w:outlineLvl w:val="0"/>
        <w:rPr>
          <w:rFonts w:hint="eastAsia" w:eastAsia="黑体"/>
          <w:sz w:val="44"/>
          <w:szCs w:val="44"/>
        </w:rPr>
      </w:pPr>
    </w:p>
    <w:p w14:paraId="69A37972">
      <w:pPr>
        <w:spacing w:line="600" w:lineRule="exact"/>
        <w:jc w:val="center"/>
        <w:outlineLvl w:val="0"/>
        <w:rPr>
          <w:rFonts w:hint="eastAsia" w:eastAsia="黑体"/>
          <w:sz w:val="44"/>
          <w:szCs w:val="44"/>
        </w:rPr>
      </w:pPr>
    </w:p>
    <w:p w14:paraId="6B7DE741">
      <w:pPr>
        <w:spacing w:line="600" w:lineRule="exact"/>
        <w:jc w:val="center"/>
        <w:outlineLvl w:val="0"/>
        <w:rPr>
          <w:rFonts w:hint="eastAsia" w:eastAsia="黑体"/>
          <w:sz w:val="44"/>
          <w:szCs w:val="44"/>
        </w:rPr>
      </w:pPr>
    </w:p>
    <w:p w14:paraId="088DDA92">
      <w:pPr>
        <w:spacing w:line="600" w:lineRule="exact"/>
        <w:jc w:val="center"/>
        <w:outlineLvl w:val="0"/>
        <w:rPr>
          <w:rFonts w:hint="eastAsia" w:eastAsia="黑体"/>
          <w:sz w:val="44"/>
          <w:szCs w:val="44"/>
        </w:rPr>
      </w:pPr>
    </w:p>
    <w:p w14:paraId="2CC85D93">
      <w:pPr>
        <w:spacing w:line="600" w:lineRule="exact"/>
        <w:jc w:val="center"/>
        <w:outlineLvl w:val="0"/>
        <w:rPr>
          <w:rFonts w:hint="eastAsia" w:eastAsia="黑体"/>
          <w:sz w:val="44"/>
          <w:szCs w:val="44"/>
        </w:rPr>
      </w:pPr>
    </w:p>
    <w:p w14:paraId="54222FF2">
      <w:pPr>
        <w:spacing w:line="600" w:lineRule="exact"/>
        <w:jc w:val="center"/>
        <w:outlineLvl w:val="0"/>
        <w:rPr>
          <w:rFonts w:hint="eastAsia" w:eastAsia="黑体"/>
          <w:sz w:val="44"/>
          <w:szCs w:val="44"/>
        </w:rPr>
      </w:pPr>
    </w:p>
    <w:p w14:paraId="053947BA">
      <w:pPr>
        <w:spacing w:line="600" w:lineRule="exact"/>
        <w:jc w:val="center"/>
        <w:outlineLvl w:val="0"/>
        <w:rPr>
          <w:rFonts w:hint="eastAsia" w:eastAsia="黑体"/>
          <w:sz w:val="44"/>
          <w:szCs w:val="44"/>
        </w:rPr>
      </w:pPr>
    </w:p>
    <w:p w14:paraId="2333F266">
      <w:pPr>
        <w:spacing w:line="600" w:lineRule="exact"/>
        <w:jc w:val="center"/>
        <w:outlineLvl w:val="0"/>
        <w:rPr>
          <w:rFonts w:eastAsia="黑体"/>
          <w:sz w:val="44"/>
          <w:szCs w:val="44"/>
        </w:rPr>
      </w:pPr>
      <w:r>
        <w:rPr>
          <w:rFonts w:hint="eastAsia" w:eastAsia="黑体"/>
          <w:sz w:val="44"/>
          <w:szCs w:val="44"/>
        </w:rPr>
        <w:t>第三部分  名词解释</w:t>
      </w:r>
      <w:bookmarkEnd w:id="51"/>
      <w:bookmarkEnd w:id="52"/>
    </w:p>
    <w:p w14:paraId="3288C230">
      <w:pPr>
        <w:spacing w:line="600" w:lineRule="exact"/>
        <w:jc w:val="left"/>
        <w:rPr>
          <w:b/>
          <w:sz w:val="44"/>
          <w:szCs w:val="44"/>
        </w:rPr>
      </w:pPr>
    </w:p>
    <w:p w14:paraId="64426F5E">
      <w:pPr>
        <w:spacing w:line="600" w:lineRule="exact"/>
        <w:ind w:firstLine="640"/>
        <w:rPr>
          <w:rFonts w:hint="eastAsia" w:ascii="Times New Roman" w:hAnsi="Times New Roman" w:eastAsia="仿宋_GB2312" w:cs="仿宋_GB2312"/>
          <w:sz w:val="32"/>
          <w:szCs w:val="32"/>
        </w:rPr>
      </w:pPr>
      <w:bookmarkStart w:id="53" w:name="_Toc15377226"/>
      <w:r>
        <w:rPr>
          <w:rFonts w:hint="eastAsia" w:ascii="Times New Roman" w:hAnsi="Times New Roman" w:eastAsia="仿宋_GB2312" w:cs="仿宋_GB2312"/>
          <w:sz w:val="32"/>
          <w:szCs w:val="32"/>
        </w:rPr>
        <w:t>1.财政拨款收入：指单位从同级财政部门取得的财政预算资金。</w:t>
      </w:r>
    </w:p>
    <w:p w14:paraId="256D545B">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2.其他收入：指单位取得的除上述收入以外的各项收入。主要是仁和区财政安排资金等。 </w:t>
      </w:r>
    </w:p>
    <w:p w14:paraId="0DB6265E">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3.使用非财政拨款结余：指事业单位使用以前年度积累的非财政拨款结余弥补当年收支差额的金额。 </w:t>
      </w:r>
    </w:p>
    <w:p w14:paraId="78106135">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4.年初结转和结余：指以前年度尚未完成、结转到本年按有关规定继续使用的资金。 </w:t>
      </w:r>
    </w:p>
    <w:p w14:paraId="31ED747D">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5.年末结转和结余：指单位按有关规定结转到下年或以后年度继续使用的资金。</w:t>
      </w:r>
    </w:p>
    <w:p w14:paraId="5D3C75E0">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6.社会保障和就业（类）行政事业单位养老（款）行政单位离退休（项）：指行政单位（包括实行公务员管理的事业单位）开支的离退休经费。</w:t>
      </w:r>
    </w:p>
    <w:p w14:paraId="1C09DBA8">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7.社会保障和就业（类）行政事业单位养老（款）机关事业单位基本养老保险缴费（项）：指机关事业单位实施养老保险制度由单位缴纳的基本养老保险支出。</w:t>
      </w:r>
    </w:p>
    <w:p w14:paraId="7AE705B2">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8.卫生健康（类）行政事业单位医疗（款）事业单位医疗（项）：指财政部门安排的事业单位用于缴纳单位基本医疗保险支出。</w:t>
      </w:r>
    </w:p>
    <w:p w14:paraId="54B97E56">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9.卫生健康（类）行政事业单位医疗（款）行政单位医疗（项）：指财政部门安排的行政单位用于缴纳单位基本医疗保险支出</w:t>
      </w:r>
      <w:r>
        <w:rPr>
          <w:rFonts w:hint="eastAsia" w:eastAsia="仿宋_GB2312" w:cs="仿宋_GB2312"/>
          <w:sz w:val="32"/>
          <w:szCs w:val="32"/>
          <w:lang w:eastAsia="zh-CN"/>
        </w:rPr>
        <w:t>。</w:t>
      </w:r>
    </w:p>
    <w:p w14:paraId="331BC078">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10.卫生健康（类）行政事业单位医疗（款）公务员医疗补助（项）：指财政部门集中安排的公务员医疗补助经费。</w:t>
      </w:r>
    </w:p>
    <w:p w14:paraId="39930754">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11.卫生健康（类）行政事业单位医疗（款）其他行政事业单位医疗补助（项）：指财政部门安排的个人补充医疗补助经费。</w:t>
      </w:r>
    </w:p>
    <w:p w14:paraId="27F1A3F5">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12.节能环保支出（类）环境保护管理事务（款）行政运行（项）：指行政单位（包括实行公务员管理的事业单位）的基本支出。</w:t>
      </w:r>
    </w:p>
    <w:p w14:paraId="7D3DB040">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13.节能环保支出（类）环境保护管理事务（款）其他环境保护管理事务支出（项）：指除行政运行、一般行政管理事务、机关服务、环境保护宣传等以外其他用于环境保护管理事务方面的支出。</w:t>
      </w:r>
    </w:p>
    <w:p w14:paraId="52724225">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14.节能环保支出（类）污染防治（款）其他污染防治支出（项）：指除大气、水体、噪声、固体废弃物与化学品、放射源和放射性废物监管、辐射以外其他用于污染防治方面的支出。</w:t>
      </w:r>
    </w:p>
    <w:p w14:paraId="252A8432">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15.住房保障支出（类）住房改革支出（款）住房公积金（项）：指行政事业单位按人力资源和社会保障部、财政部规定的基本工资和津贴补贴以及规定比例为职工缴纳的住房公积金。</w:t>
      </w:r>
    </w:p>
    <w:p w14:paraId="0D93B0DC">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16.基本支出：指为保障机构正常运转、完成日常工作任务而发生的人员支出和公用支出。</w:t>
      </w:r>
    </w:p>
    <w:p w14:paraId="3E00DF67">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17.项目支出：指在基本支出之外为完成特定行政任务和事业发展目标所发生的支出。 </w:t>
      </w:r>
    </w:p>
    <w:p w14:paraId="178FAE2D">
      <w:pPr>
        <w:spacing w:line="600" w:lineRule="exact"/>
        <w:ind w:firstLine="64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18.“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4CF2A30">
      <w:pPr>
        <w:spacing w:line="600" w:lineRule="exact"/>
        <w:ind w:firstLine="640"/>
        <w:jc w:val="center"/>
        <w:rPr>
          <w:rStyle w:val="28"/>
          <w:rFonts w:eastAsia="黑体"/>
          <w:b w:val="0"/>
        </w:rPr>
      </w:pPr>
      <w:r>
        <w:rPr>
          <w:rFonts w:hint="eastAsia" w:ascii="Times New Roman" w:hAnsi="Times New Roman"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cs="仿宋_GB2312"/>
          <w:sz w:val="32"/>
          <w:szCs w:val="32"/>
        </w:rPr>
        <w:br w:type="page"/>
      </w:r>
      <w:bookmarkStart w:id="54" w:name="_Toc15396614"/>
      <w:r>
        <w:rPr>
          <w:rFonts w:hint="eastAsia" w:eastAsia="黑体"/>
          <w:sz w:val="44"/>
          <w:szCs w:val="44"/>
        </w:rPr>
        <w:t>第四部分  附件</w:t>
      </w:r>
      <w:bookmarkEnd w:id="54"/>
    </w:p>
    <w:p w14:paraId="4AA28405">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en-US" w:eastAsia="zh-CN" w:bidi="ar-SA"/>
        </w:rPr>
        <w:t>攀枝花市仁和生态环境局2025年度无部门预算项目。</w:t>
      </w:r>
    </w:p>
    <w:p w14:paraId="62433AEA">
      <w:pPr>
        <w:spacing w:line="572" w:lineRule="exact"/>
        <w:jc w:val="left"/>
        <w:outlineLvl w:val="0"/>
        <w:rPr>
          <w:rFonts w:eastAsia="黑体" w:cs="黑体"/>
          <w:color w:val="FF0000"/>
          <w:sz w:val="32"/>
          <w:szCs w:val="32"/>
        </w:rPr>
      </w:pPr>
    </w:p>
    <w:p w14:paraId="2C014807">
      <w:pPr>
        <w:spacing w:line="578" w:lineRule="exact"/>
        <w:ind w:firstLine="640"/>
        <w:rPr>
          <w:rFonts w:eastAsia="仿宋_GB2312" w:cs="仿宋_GB2312"/>
          <w:kern w:val="0"/>
          <w:sz w:val="32"/>
          <w:szCs w:val="32"/>
        </w:rPr>
      </w:pPr>
    </w:p>
    <w:p w14:paraId="20D6E1AF">
      <w:pPr>
        <w:spacing w:line="578" w:lineRule="exact"/>
        <w:ind w:firstLine="640"/>
        <w:rPr>
          <w:rFonts w:eastAsia="仿宋_GB2312" w:cs="仿宋_GB2312"/>
          <w:kern w:val="0"/>
          <w:sz w:val="32"/>
          <w:szCs w:val="32"/>
        </w:rPr>
      </w:pPr>
    </w:p>
    <w:p w14:paraId="6F5A81FA">
      <w:pPr>
        <w:spacing w:line="578" w:lineRule="exact"/>
        <w:ind w:firstLine="640"/>
        <w:rPr>
          <w:rFonts w:eastAsia="仿宋_GB2312" w:cs="仿宋_GB2312"/>
          <w:kern w:val="0"/>
          <w:sz w:val="32"/>
          <w:szCs w:val="32"/>
        </w:rPr>
      </w:pPr>
      <w:bookmarkStart w:id="55" w:name="_Toc15396618"/>
      <w:r>
        <w:rPr>
          <w:rFonts w:hint="eastAsia" w:eastAsia="仿宋_GB2312" w:cs="仿宋_GB2312"/>
          <w:kern w:val="0"/>
          <w:sz w:val="32"/>
          <w:szCs w:val="32"/>
        </w:rPr>
        <w:br w:type="page"/>
      </w:r>
    </w:p>
    <w:p w14:paraId="04A3BDAA">
      <w:pPr>
        <w:widowControl/>
        <w:jc w:val="center"/>
        <w:rPr>
          <w:rFonts w:eastAsia="仿宋"/>
        </w:rPr>
      </w:pPr>
      <w:r>
        <w:rPr>
          <w:rFonts w:hint="eastAsia" w:eastAsia="黑体"/>
          <w:sz w:val="44"/>
          <w:szCs w:val="44"/>
        </w:rPr>
        <w:t>第</w:t>
      </w:r>
      <w:r>
        <w:rPr>
          <w:rStyle w:val="28"/>
          <w:rFonts w:hint="eastAsia" w:eastAsia="黑体"/>
          <w:b w:val="0"/>
        </w:rPr>
        <w:t>五部分 附表</w:t>
      </w:r>
      <w:bookmarkEnd w:id="53"/>
      <w:bookmarkEnd w:id="55"/>
      <w:bookmarkStart w:id="56" w:name="_Toc15396619"/>
    </w:p>
    <w:p w14:paraId="0EC494F8">
      <w:pPr>
        <w:pStyle w:val="14"/>
        <w:adjustRightInd w:val="0"/>
        <w:snapToGrid w:val="0"/>
        <w:spacing w:line="560" w:lineRule="exact"/>
        <w:jc w:val="left"/>
        <w:rPr>
          <w:rFonts w:eastAsia="仿宋_GB2312" w:cs="仿宋_GB2312"/>
          <w:sz w:val="32"/>
          <w:szCs w:val="32"/>
        </w:rPr>
      </w:pPr>
    </w:p>
    <w:p w14:paraId="2ABA3AF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6"/>
    </w:p>
    <w:p w14:paraId="3999F124">
      <w:pPr>
        <w:pStyle w:val="14"/>
        <w:adjustRightInd w:val="0"/>
        <w:snapToGrid w:val="0"/>
        <w:spacing w:line="560" w:lineRule="exact"/>
        <w:jc w:val="left"/>
        <w:rPr>
          <w:rFonts w:eastAsia="仿宋_GB2312" w:cs="仿宋_GB2312"/>
          <w:sz w:val="32"/>
          <w:szCs w:val="32"/>
        </w:rPr>
      </w:pPr>
      <w:bookmarkStart w:id="57" w:name="_Toc15396620"/>
      <w:r>
        <w:rPr>
          <w:rFonts w:hint="eastAsia" w:eastAsia="仿宋_GB2312" w:cs="仿宋_GB2312"/>
          <w:sz w:val="32"/>
          <w:szCs w:val="32"/>
        </w:rPr>
        <w:t>二、收入决算表</w:t>
      </w:r>
      <w:bookmarkEnd w:id="57"/>
    </w:p>
    <w:p w14:paraId="33BDF960">
      <w:pPr>
        <w:pStyle w:val="14"/>
        <w:adjustRightInd w:val="0"/>
        <w:snapToGrid w:val="0"/>
        <w:spacing w:line="560" w:lineRule="exact"/>
        <w:jc w:val="left"/>
        <w:rPr>
          <w:rFonts w:eastAsia="仿宋_GB2312" w:cs="仿宋_GB2312"/>
          <w:sz w:val="32"/>
          <w:szCs w:val="32"/>
        </w:rPr>
      </w:pPr>
      <w:bookmarkStart w:id="58" w:name="_Toc15396621"/>
      <w:r>
        <w:rPr>
          <w:rFonts w:hint="eastAsia" w:eastAsia="仿宋_GB2312" w:cs="仿宋_GB2312"/>
          <w:sz w:val="32"/>
          <w:szCs w:val="32"/>
        </w:rPr>
        <w:t>三、支出决算表</w:t>
      </w:r>
      <w:bookmarkEnd w:id="58"/>
    </w:p>
    <w:p w14:paraId="358E66E1">
      <w:pPr>
        <w:pStyle w:val="14"/>
        <w:adjustRightInd w:val="0"/>
        <w:snapToGrid w:val="0"/>
        <w:spacing w:line="560" w:lineRule="exact"/>
        <w:jc w:val="left"/>
        <w:rPr>
          <w:rFonts w:eastAsia="仿宋_GB2312" w:cs="仿宋_GB2312"/>
          <w:sz w:val="32"/>
          <w:szCs w:val="32"/>
        </w:rPr>
      </w:pPr>
      <w:bookmarkStart w:id="59" w:name="_Toc15396622"/>
      <w:r>
        <w:rPr>
          <w:rFonts w:hint="eastAsia" w:eastAsia="仿宋_GB2312" w:cs="仿宋_GB2312"/>
          <w:sz w:val="32"/>
          <w:szCs w:val="32"/>
        </w:rPr>
        <w:t>四、财政拨款收入支出决算总表</w:t>
      </w:r>
      <w:bookmarkEnd w:id="59"/>
    </w:p>
    <w:p w14:paraId="1DAED1FB">
      <w:pPr>
        <w:pStyle w:val="14"/>
        <w:adjustRightInd w:val="0"/>
        <w:snapToGrid w:val="0"/>
        <w:spacing w:line="560" w:lineRule="exact"/>
        <w:jc w:val="left"/>
        <w:rPr>
          <w:rFonts w:eastAsia="仿宋_GB2312" w:cs="仿宋_GB2312"/>
          <w:sz w:val="32"/>
          <w:szCs w:val="32"/>
        </w:rPr>
      </w:pPr>
      <w:bookmarkStart w:id="60" w:name="_Toc15396623"/>
      <w:r>
        <w:rPr>
          <w:rFonts w:hint="eastAsia" w:eastAsia="仿宋_GB2312" w:cs="仿宋_GB2312"/>
          <w:sz w:val="32"/>
          <w:szCs w:val="32"/>
        </w:rPr>
        <w:t>五、财政拨款支出决算明细表</w:t>
      </w:r>
      <w:bookmarkEnd w:id="60"/>
      <w:bookmarkStart w:id="61" w:name="_Toc15396624"/>
    </w:p>
    <w:p w14:paraId="6C6FA291">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1"/>
    </w:p>
    <w:p w14:paraId="49680D8A">
      <w:pPr>
        <w:pStyle w:val="14"/>
        <w:adjustRightInd w:val="0"/>
        <w:snapToGrid w:val="0"/>
        <w:spacing w:line="560" w:lineRule="exact"/>
        <w:jc w:val="left"/>
        <w:rPr>
          <w:rFonts w:eastAsia="仿宋_GB2312" w:cs="仿宋_GB2312"/>
          <w:sz w:val="32"/>
          <w:szCs w:val="32"/>
        </w:rPr>
      </w:pPr>
      <w:bookmarkStart w:id="62" w:name="_Toc15396625"/>
      <w:r>
        <w:rPr>
          <w:rFonts w:hint="eastAsia" w:eastAsia="仿宋_GB2312" w:cs="仿宋_GB2312"/>
          <w:sz w:val="32"/>
          <w:szCs w:val="32"/>
        </w:rPr>
        <w:t>七、一般公共预算财政拨款支出决算明细表</w:t>
      </w:r>
      <w:bookmarkEnd w:id="62"/>
    </w:p>
    <w:p w14:paraId="1B9F5260">
      <w:pPr>
        <w:pStyle w:val="14"/>
        <w:adjustRightInd w:val="0"/>
        <w:snapToGrid w:val="0"/>
        <w:spacing w:line="560" w:lineRule="exact"/>
        <w:jc w:val="left"/>
        <w:rPr>
          <w:rFonts w:eastAsia="仿宋_GB2312" w:cs="仿宋_GB2312"/>
          <w:sz w:val="32"/>
          <w:szCs w:val="32"/>
        </w:rPr>
      </w:pPr>
      <w:bookmarkStart w:id="63" w:name="_Toc15396626"/>
      <w:r>
        <w:rPr>
          <w:rFonts w:hint="eastAsia" w:eastAsia="仿宋_GB2312" w:cs="仿宋_GB2312"/>
          <w:sz w:val="32"/>
          <w:szCs w:val="32"/>
        </w:rPr>
        <w:t>八、一般公共预算财政拨款基本支出决算表</w:t>
      </w:r>
      <w:bookmarkEnd w:id="63"/>
    </w:p>
    <w:p w14:paraId="793C5FAD">
      <w:pPr>
        <w:pStyle w:val="14"/>
        <w:adjustRightInd w:val="0"/>
        <w:snapToGrid w:val="0"/>
        <w:spacing w:line="560" w:lineRule="exact"/>
        <w:jc w:val="left"/>
        <w:rPr>
          <w:rFonts w:eastAsia="仿宋_GB2312" w:cs="仿宋_GB2312"/>
          <w:sz w:val="32"/>
          <w:szCs w:val="32"/>
        </w:rPr>
      </w:pPr>
      <w:bookmarkStart w:id="64" w:name="_Toc15396627"/>
      <w:r>
        <w:rPr>
          <w:rFonts w:hint="eastAsia" w:eastAsia="仿宋_GB2312" w:cs="仿宋_GB2312"/>
          <w:sz w:val="32"/>
          <w:szCs w:val="32"/>
        </w:rPr>
        <w:t>九、一般公共预算财政拨款项目支出决算表</w:t>
      </w:r>
      <w:bookmarkEnd w:id="64"/>
    </w:p>
    <w:p w14:paraId="764EDBB0">
      <w:pPr>
        <w:pStyle w:val="14"/>
        <w:adjustRightInd w:val="0"/>
        <w:snapToGrid w:val="0"/>
        <w:spacing w:line="560" w:lineRule="exact"/>
        <w:jc w:val="left"/>
        <w:rPr>
          <w:rFonts w:eastAsia="仿宋_GB2312" w:cs="仿宋_GB2312"/>
          <w:sz w:val="32"/>
          <w:szCs w:val="32"/>
        </w:rPr>
      </w:pPr>
      <w:bookmarkStart w:id="65" w:name="_Toc15396628"/>
      <w:r>
        <w:rPr>
          <w:rFonts w:hint="eastAsia" w:eastAsia="仿宋_GB2312" w:cs="仿宋_GB2312"/>
          <w:sz w:val="32"/>
          <w:szCs w:val="32"/>
        </w:rPr>
        <w:t>十、</w:t>
      </w:r>
      <w:bookmarkEnd w:id="65"/>
      <w:r>
        <w:rPr>
          <w:rFonts w:hint="eastAsia" w:eastAsia="仿宋_GB2312" w:cs="仿宋_GB2312"/>
          <w:sz w:val="32"/>
          <w:szCs w:val="32"/>
        </w:rPr>
        <w:t>政府性基金预算财政拨款收入支出决算表</w:t>
      </w:r>
    </w:p>
    <w:p w14:paraId="55ACD474">
      <w:pPr>
        <w:pStyle w:val="14"/>
        <w:adjustRightInd w:val="0"/>
        <w:snapToGrid w:val="0"/>
        <w:spacing w:line="560" w:lineRule="exact"/>
        <w:jc w:val="left"/>
        <w:rPr>
          <w:rFonts w:eastAsia="仿宋_GB2312" w:cs="仿宋_GB2312"/>
          <w:sz w:val="32"/>
          <w:szCs w:val="32"/>
        </w:rPr>
      </w:pPr>
      <w:bookmarkStart w:id="66" w:name="_Toc15396629"/>
      <w:r>
        <w:rPr>
          <w:rFonts w:hint="eastAsia" w:eastAsia="仿宋_GB2312" w:cs="仿宋_GB2312"/>
          <w:sz w:val="32"/>
          <w:szCs w:val="32"/>
        </w:rPr>
        <w:t>十一、</w:t>
      </w:r>
      <w:bookmarkEnd w:id="66"/>
      <w:r>
        <w:rPr>
          <w:rFonts w:hint="eastAsia" w:eastAsia="仿宋_GB2312" w:cs="仿宋_GB2312"/>
          <w:sz w:val="32"/>
          <w:szCs w:val="32"/>
        </w:rPr>
        <w:t>国有资本经营预算财政拨款收入支出决算表</w:t>
      </w:r>
    </w:p>
    <w:p w14:paraId="13150E45">
      <w:pPr>
        <w:pStyle w:val="14"/>
        <w:adjustRightInd w:val="0"/>
        <w:snapToGrid w:val="0"/>
        <w:spacing w:line="560" w:lineRule="exact"/>
        <w:jc w:val="left"/>
        <w:rPr>
          <w:rFonts w:eastAsia="仿宋_GB2312" w:cs="仿宋_GB2312"/>
          <w:sz w:val="32"/>
          <w:szCs w:val="32"/>
        </w:rPr>
      </w:pPr>
      <w:bookmarkStart w:id="67" w:name="_Toc15396630"/>
      <w:r>
        <w:rPr>
          <w:rFonts w:hint="eastAsia" w:eastAsia="仿宋_GB2312" w:cs="仿宋_GB2312"/>
          <w:sz w:val="32"/>
          <w:szCs w:val="32"/>
        </w:rPr>
        <w:t>十二、</w:t>
      </w:r>
      <w:bookmarkEnd w:id="67"/>
      <w:r>
        <w:rPr>
          <w:rFonts w:hint="eastAsia" w:eastAsia="仿宋_GB2312" w:cs="仿宋_GB2312"/>
          <w:sz w:val="32"/>
          <w:szCs w:val="32"/>
        </w:rPr>
        <w:t>国有资本经营预算财政拨款支出决算表</w:t>
      </w:r>
    </w:p>
    <w:p w14:paraId="1D4E00B1">
      <w:pPr>
        <w:pStyle w:val="14"/>
        <w:adjustRightInd w:val="0"/>
        <w:snapToGrid w:val="0"/>
        <w:spacing w:line="560" w:lineRule="exact"/>
        <w:jc w:val="left"/>
        <w:rPr>
          <w:rFonts w:eastAsia="仿宋_GB2312" w:cs="仿宋_GB2312"/>
          <w:sz w:val="32"/>
          <w:szCs w:val="32"/>
        </w:rPr>
      </w:pPr>
      <w:bookmarkStart w:id="68" w:name="_Toc15396631"/>
      <w:r>
        <w:rPr>
          <w:rFonts w:hint="eastAsia" w:eastAsia="仿宋_GB2312" w:cs="仿宋_GB2312"/>
          <w:sz w:val="32"/>
          <w:szCs w:val="32"/>
        </w:rPr>
        <w:t>十三、</w:t>
      </w:r>
      <w:bookmarkEnd w:id="68"/>
      <w:r>
        <w:rPr>
          <w:rFonts w:hint="eastAsia" w:eastAsia="仿宋_GB2312" w:cs="仿宋_GB2312"/>
          <w:sz w:val="32"/>
          <w:szCs w:val="32"/>
        </w:rPr>
        <w:t>财政拨款“三公”经费支出决算表</w:t>
      </w:r>
    </w:p>
    <w:p w14:paraId="2CDE58B0"/>
    <w:sectPr>
      <w:footerReference r:id="rId10"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49016">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B1A1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8B1A1A">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2A838D1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3C315">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850E3">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B850E3">
                    <w:pPr>
                      <w:pStyle w:val="1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5358F">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E5AB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CE5ABF">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0DD10F86">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BD8C">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92340">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492340">
                    <w:pPr>
                      <w:pStyle w:val="1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236C6">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10080">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D710080">
                    <w:pPr>
                      <w:pStyle w:val="10"/>
                    </w:pPr>
                  </w:p>
                </w:txbxContent>
              </v:textbox>
            </v:shape>
          </w:pict>
        </mc:Fallback>
      </mc:AlternateContent>
    </w:r>
  </w:p>
  <w:p w14:paraId="73F69F2F">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FB6C">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14D45">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E614D45">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9BF53">
    <w:pPr>
      <w:pStyle w:val="1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BD986">
                          <w:pPr>
                            <w:pStyle w:val="10"/>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34BD986">
                    <w:pPr>
                      <w:pStyle w:val="10"/>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p w14:paraId="3A7C9CFB">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FBD03">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C6"/>
    <w:rsid w:val="0002549F"/>
    <w:rsid w:val="000409AE"/>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02F1"/>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1F5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93B52"/>
    <w:rsid w:val="00DA634F"/>
    <w:rsid w:val="00DA65AC"/>
    <w:rsid w:val="00DB1913"/>
    <w:rsid w:val="00DC0CAC"/>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E5D7E"/>
    <w:rsid w:val="01431A4A"/>
    <w:rsid w:val="015975B8"/>
    <w:rsid w:val="02317B1B"/>
    <w:rsid w:val="02A52F84"/>
    <w:rsid w:val="02FEBE30"/>
    <w:rsid w:val="03032BFE"/>
    <w:rsid w:val="0369751C"/>
    <w:rsid w:val="0390516E"/>
    <w:rsid w:val="03C816C2"/>
    <w:rsid w:val="04AD51B8"/>
    <w:rsid w:val="05FC4982"/>
    <w:rsid w:val="061E35DE"/>
    <w:rsid w:val="065C34DF"/>
    <w:rsid w:val="066E0107"/>
    <w:rsid w:val="078A686A"/>
    <w:rsid w:val="07975B80"/>
    <w:rsid w:val="07996F6E"/>
    <w:rsid w:val="07DFD8BA"/>
    <w:rsid w:val="08DB07E4"/>
    <w:rsid w:val="09867E8F"/>
    <w:rsid w:val="098B72B4"/>
    <w:rsid w:val="09B7601C"/>
    <w:rsid w:val="0A2032A3"/>
    <w:rsid w:val="0BB30DED"/>
    <w:rsid w:val="0BF91683"/>
    <w:rsid w:val="0BFE4A30"/>
    <w:rsid w:val="0C640956"/>
    <w:rsid w:val="0C6C4794"/>
    <w:rsid w:val="0CA8290A"/>
    <w:rsid w:val="0D35B1ED"/>
    <w:rsid w:val="0D647384"/>
    <w:rsid w:val="0D72399D"/>
    <w:rsid w:val="0DA306EE"/>
    <w:rsid w:val="0DE07E2B"/>
    <w:rsid w:val="0E8A2A67"/>
    <w:rsid w:val="0F98263C"/>
    <w:rsid w:val="0FD026AC"/>
    <w:rsid w:val="101510DA"/>
    <w:rsid w:val="101860EC"/>
    <w:rsid w:val="10C055FF"/>
    <w:rsid w:val="10DA74FA"/>
    <w:rsid w:val="110732FE"/>
    <w:rsid w:val="113530C8"/>
    <w:rsid w:val="114C52EE"/>
    <w:rsid w:val="11772AA4"/>
    <w:rsid w:val="118107EC"/>
    <w:rsid w:val="11C65FEE"/>
    <w:rsid w:val="12347DD9"/>
    <w:rsid w:val="1236016D"/>
    <w:rsid w:val="123D4DB3"/>
    <w:rsid w:val="12C754DE"/>
    <w:rsid w:val="136C3A6D"/>
    <w:rsid w:val="13D478B8"/>
    <w:rsid w:val="13D50BC4"/>
    <w:rsid w:val="13E833B7"/>
    <w:rsid w:val="14022904"/>
    <w:rsid w:val="14915DCE"/>
    <w:rsid w:val="152F2A07"/>
    <w:rsid w:val="153D4C0D"/>
    <w:rsid w:val="15767436"/>
    <w:rsid w:val="15DFC227"/>
    <w:rsid w:val="15F4486A"/>
    <w:rsid w:val="165E0673"/>
    <w:rsid w:val="16BB723D"/>
    <w:rsid w:val="1705386D"/>
    <w:rsid w:val="173A24A9"/>
    <w:rsid w:val="17880739"/>
    <w:rsid w:val="17EA04AD"/>
    <w:rsid w:val="181D2D08"/>
    <w:rsid w:val="186504BB"/>
    <w:rsid w:val="189701E7"/>
    <w:rsid w:val="1938089F"/>
    <w:rsid w:val="19A445FC"/>
    <w:rsid w:val="1A037B71"/>
    <w:rsid w:val="1A85654B"/>
    <w:rsid w:val="1A8C55EC"/>
    <w:rsid w:val="1B14057B"/>
    <w:rsid w:val="1B5B1521"/>
    <w:rsid w:val="1B7D550C"/>
    <w:rsid w:val="1BA82FED"/>
    <w:rsid w:val="1BC140ED"/>
    <w:rsid w:val="1BE8440E"/>
    <w:rsid w:val="1C79313D"/>
    <w:rsid w:val="1D155CEE"/>
    <w:rsid w:val="1D4A647E"/>
    <w:rsid w:val="1D7B2297"/>
    <w:rsid w:val="1E34141D"/>
    <w:rsid w:val="1E740ACF"/>
    <w:rsid w:val="1F0274EC"/>
    <w:rsid w:val="1FF35744"/>
    <w:rsid w:val="1FF6BC77"/>
    <w:rsid w:val="216B0BDF"/>
    <w:rsid w:val="21962A9E"/>
    <w:rsid w:val="21AE7C77"/>
    <w:rsid w:val="21DF2155"/>
    <w:rsid w:val="21E754AC"/>
    <w:rsid w:val="229A4B54"/>
    <w:rsid w:val="22BC3C41"/>
    <w:rsid w:val="22DA20BB"/>
    <w:rsid w:val="22E449E3"/>
    <w:rsid w:val="22FE4E63"/>
    <w:rsid w:val="23860B96"/>
    <w:rsid w:val="240371BF"/>
    <w:rsid w:val="24963695"/>
    <w:rsid w:val="24BC2725"/>
    <w:rsid w:val="25E74273"/>
    <w:rsid w:val="260F557C"/>
    <w:rsid w:val="266563FC"/>
    <w:rsid w:val="26666435"/>
    <w:rsid w:val="268166B9"/>
    <w:rsid w:val="26E36D60"/>
    <w:rsid w:val="27054714"/>
    <w:rsid w:val="275B76EB"/>
    <w:rsid w:val="27B800C2"/>
    <w:rsid w:val="27C84A43"/>
    <w:rsid w:val="281408E2"/>
    <w:rsid w:val="28D7460F"/>
    <w:rsid w:val="290B5D62"/>
    <w:rsid w:val="292359E4"/>
    <w:rsid w:val="29CB06AB"/>
    <w:rsid w:val="29FD04D3"/>
    <w:rsid w:val="2A667DAF"/>
    <w:rsid w:val="2B164EBE"/>
    <w:rsid w:val="2B5836FE"/>
    <w:rsid w:val="2B8E1990"/>
    <w:rsid w:val="2B9042A4"/>
    <w:rsid w:val="2BFF7BC6"/>
    <w:rsid w:val="2C4A1A38"/>
    <w:rsid w:val="2C8A61B5"/>
    <w:rsid w:val="2D2E01CF"/>
    <w:rsid w:val="2DBF2EB2"/>
    <w:rsid w:val="2DF04E50"/>
    <w:rsid w:val="2E4B2482"/>
    <w:rsid w:val="2E9545B0"/>
    <w:rsid w:val="2EA03C86"/>
    <w:rsid w:val="2EFF61C5"/>
    <w:rsid w:val="2F040D46"/>
    <w:rsid w:val="2F673ED3"/>
    <w:rsid w:val="2FAE5751"/>
    <w:rsid w:val="2FB1A395"/>
    <w:rsid w:val="2FD9A7D8"/>
    <w:rsid w:val="30986AF1"/>
    <w:rsid w:val="30A957E4"/>
    <w:rsid w:val="311057A0"/>
    <w:rsid w:val="316B201F"/>
    <w:rsid w:val="319F7F4E"/>
    <w:rsid w:val="31DC4014"/>
    <w:rsid w:val="320A2BCE"/>
    <w:rsid w:val="321B2544"/>
    <w:rsid w:val="3304709D"/>
    <w:rsid w:val="33240E2C"/>
    <w:rsid w:val="335A2B4F"/>
    <w:rsid w:val="337E0C62"/>
    <w:rsid w:val="34281836"/>
    <w:rsid w:val="349D6851"/>
    <w:rsid w:val="34C20FD6"/>
    <w:rsid w:val="350770AC"/>
    <w:rsid w:val="35BA6CAF"/>
    <w:rsid w:val="35CF6FF8"/>
    <w:rsid w:val="35DA2C9F"/>
    <w:rsid w:val="364D14C1"/>
    <w:rsid w:val="36AA5135"/>
    <w:rsid w:val="36BE0DA7"/>
    <w:rsid w:val="376B6AA6"/>
    <w:rsid w:val="376D39B2"/>
    <w:rsid w:val="37E16F03"/>
    <w:rsid w:val="37F53A3B"/>
    <w:rsid w:val="382A376D"/>
    <w:rsid w:val="38604B0B"/>
    <w:rsid w:val="389B6C89"/>
    <w:rsid w:val="38D469F0"/>
    <w:rsid w:val="392216AE"/>
    <w:rsid w:val="394C5BC6"/>
    <w:rsid w:val="39627CCD"/>
    <w:rsid w:val="397BAF1F"/>
    <w:rsid w:val="3985394A"/>
    <w:rsid w:val="3A834489"/>
    <w:rsid w:val="3AB79AF3"/>
    <w:rsid w:val="3AEA3BE2"/>
    <w:rsid w:val="3B5F79F7"/>
    <w:rsid w:val="3B7EF35A"/>
    <w:rsid w:val="3B883DCD"/>
    <w:rsid w:val="3B9FDB6C"/>
    <w:rsid w:val="3BDA7A57"/>
    <w:rsid w:val="3BF5BC2F"/>
    <w:rsid w:val="3C1415FB"/>
    <w:rsid w:val="3C16346D"/>
    <w:rsid w:val="3CDF116D"/>
    <w:rsid w:val="3CEBA265"/>
    <w:rsid w:val="3CFD291B"/>
    <w:rsid w:val="3D98207C"/>
    <w:rsid w:val="3D9B0D99"/>
    <w:rsid w:val="3DB748EB"/>
    <w:rsid w:val="3DE2791A"/>
    <w:rsid w:val="3DEE7CF3"/>
    <w:rsid w:val="3DF02244"/>
    <w:rsid w:val="3E407AAF"/>
    <w:rsid w:val="3E78745D"/>
    <w:rsid w:val="3E9C6B44"/>
    <w:rsid w:val="3F767B2C"/>
    <w:rsid w:val="3F873E13"/>
    <w:rsid w:val="3FDD2F6E"/>
    <w:rsid w:val="3FF4CAE0"/>
    <w:rsid w:val="3FF7B227"/>
    <w:rsid w:val="40772F52"/>
    <w:rsid w:val="407F58F4"/>
    <w:rsid w:val="40C559FD"/>
    <w:rsid w:val="40E54C45"/>
    <w:rsid w:val="411A2C84"/>
    <w:rsid w:val="41925434"/>
    <w:rsid w:val="42273733"/>
    <w:rsid w:val="4309548A"/>
    <w:rsid w:val="43135D99"/>
    <w:rsid w:val="43A407DF"/>
    <w:rsid w:val="44056110"/>
    <w:rsid w:val="44457410"/>
    <w:rsid w:val="44515BEA"/>
    <w:rsid w:val="44E268DA"/>
    <w:rsid w:val="453F7E5B"/>
    <w:rsid w:val="458F06AB"/>
    <w:rsid w:val="46316D40"/>
    <w:rsid w:val="46330218"/>
    <w:rsid w:val="46773B8D"/>
    <w:rsid w:val="46B61793"/>
    <w:rsid w:val="46FB3E91"/>
    <w:rsid w:val="47033DFC"/>
    <w:rsid w:val="47272598"/>
    <w:rsid w:val="475424FD"/>
    <w:rsid w:val="47B2292F"/>
    <w:rsid w:val="486A6C7A"/>
    <w:rsid w:val="48C46256"/>
    <w:rsid w:val="49176D9B"/>
    <w:rsid w:val="499C7ED1"/>
    <w:rsid w:val="49AE276B"/>
    <w:rsid w:val="49CB2F9F"/>
    <w:rsid w:val="4A124A89"/>
    <w:rsid w:val="4A627F82"/>
    <w:rsid w:val="4B0E749A"/>
    <w:rsid w:val="4B4F25DA"/>
    <w:rsid w:val="4B50081C"/>
    <w:rsid w:val="4BDA0CFB"/>
    <w:rsid w:val="4BE068DB"/>
    <w:rsid w:val="4C150FBA"/>
    <w:rsid w:val="4CBC7AF3"/>
    <w:rsid w:val="4CF40ECD"/>
    <w:rsid w:val="4CFE1F3B"/>
    <w:rsid w:val="4D3C0CCC"/>
    <w:rsid w:val="4D537E10"/>
    <w:rsid w:val="4D577224"/>
    <w:rsid w:val="4D802136"/>
    <w:rsid w:val="4DBF1CEB"/>
    <w:rsid w:val="4E04502D"/>
    <w:rsid w:val="4E341CC8"/>
    <w:rsid w:val="4EAB630A"/>
    <w:rsid w:val="4ECA0E53"/>
    <w:rsid w:val="4ECE2238"/>
    <w:rsid w:val="4ED65279"/>
    <w:rsid w:val="4F390273"/>
    <w:rsid w:val="4F833267"/>
    <w:rsid w:val="4FE9BD67"/>
    <w:rsid w:val="4FF053B2"/>
    <w:rsid w:val="4FFB052F"/>
    <w:rsid w:val="50AD5CAC"/>
    <w:rsid w:val="50B463F5"/>
    <w:rsid w:val="5275209D"/>
    <w:rsid w:val="529945F3"/>
    <w:rsid w:val="52D860FA"/>
    <w:rsid w:val="53083A92"/>
    <w:rsid w:val="532B0103"/>
    <w:rsid w:val="537E6D0A"/>
    <w:rsid w:val="53A17016"/>
    <w:rsid w:val="53AF27A2"/>
    <w:rsid w:val="53E831F9"/>
    <w:rsid w:val="53F74C96"/>
    <w:rsid w:val="54042277"/>
    <w:rsid w:val="54175782"/>
    <w:rsid w:val="54C120D0"/>
    <w:rsid w:val="56160ACB"/>
    <w:rsid w:val="56A66BBF"/>
    <w:rsid w:val="56CF2477"/>
    <w:rsid w:val="56E47B74"/>
    <w:rsid w:val="56EE055B"/>
    <w:rsid w:val="57362589"/>
    <w:rsid w:val="57BD3DD4"/>
    <w:rsid w:val="58776FB0"/>
    <w:rsid w:val="58DD36E9"/>
    <w:rsid w:val="59683C07"/>
    <w:rsid w:val="59B966C3"/>
    <w:rsid w:val="5A4C7220"/>
    <w:rsid w:val="5AC8063F"/>
    <w:rsid w:val="5AF92295"/>
    <w:rsid w:val="5B563FB5"/>
    <w:rsid w:val="5B692B86"/>
    <w:rsid w:val="5BDD79E6"/>
    <w:rsid w:val="5BF561CA"/>
    <w:rsid w:val="5BFF5DFC"/>
    <w:rsid w:val="5C052CF9"/>
    <w:rsid w:val="5C9B11E4"/>
    <w:rsid w:val="5CD71FC4"/>
    <w:rsid w:val="5CFF31EA"/>
    <w:rsid w:val="5D1F11B5"/>
    <w:rsid w:val="5DAE1B18"/>
    <w:rsid w:val="5DE7D9E5"/>
    <w:rsid w:val="5DEA0758"/>
    <w:rsid w:val="5E153A69"/>
    <w:rsid w:val="5E355899"/>
    <w:rsid w:val="5ECEC941"/>
    <w:rsid w:val="5EF90C3C"/>
    <w:rsid w:val="5F0720F8"/>
    <w:rsid w:val="5F3631AD"/>
    <w:rsid w:val="5F493CB7"/>
    <w:rsid w:val="5FBF9FF3"/>
    <w:rsid w:val="5FCD4E2C"/>
    <w:rsid w:val="5FD15F49"/>
    <w:rsid w:val="5FDE017F"/>
    <w:rsid w:val="5FEF394A"/>
    <w:rsid w:val="5FF67715"/>
    <w:rsid w:val="60EB218E"/>
    <w:rsid w:val="60F92651"/>
    <w:rsid w:val="6147526E"/>
    <w:rsid w:val="617F2350"/>
    <w:rsid w:val="62BF3928"/>
    <w:rsid w:val="632E00A7"/>
    <w:rsid w:val="641C68CD"/>
    <w:rsid w:val="647F5392"/>
    <w:rsid w:val="65B37C68"/>
    <w:rsid w:val="65E60204"/>
    <w:rsid w:val="65ED6D44"/>
    <w:rsid w:val="664B1D71"/>
    <w:rsid w:val="66543172"/>
    <w:rsid w:val="6675632D"/>
    <w:rsid w:val="66C27F35"/>
    <w:rsid w:val="670F762C"/>
    <w:rsid w:val="67970F7D"/>
    <w:rsid w:val="679E46CA"/>
    <w:rsid w:val="67AA3209"/>
    <w:rsid w:val="67CD705D"/>
    <w:rsid w:val="680229AF"/>
    <w:rsid w:val="681C4F0D"/>
    <w:rsid w:val="6894480E"/>
    <w:rsid w:val="69046D0F"/>
    <w:rsid w:val="6954574C"/>
    <w:rsid w:val="698D0931"/>
    <w:rsid w:val="69A3595F"/>
    <w:rsid w:val="69CC2657"/>
    <w:rsid w:val="6A0F3E3A"/>
    <w:rsid w:val="6A0F720C"/>
    <w:rsid w:val="6A492BFA"/>
    <w:rsid w:val="6A993CED"/>
    <w:rsid w:val="6ABF0B30"/>
    <w:rsid w:val="6B053271"/>
    <w:rsid w:val="6B0F0B9E"/>
    <w:rsid w:val="6B984B15"/>
    <w:rsid w:val="6BCE6674"/>
    <w:rsid w:val="6C4A05C8"/>
    <w:rsid w:val="6C7A7686"/>
    <w:rsid w:val="6C8742B8"/>
    <w:rsid w:val="6C8A170F"/>
    <w:rsid w:val="6CA404CA"/>
    <w:rsid w:val="6CB54609"/>
    <w:rsid w:val="6D0B3840"/>
    <w:rsid w:val="6DB36F55"/>
    <w:rsid w:val="6DBB3515"/>
    <w:rsid w:val="6DBF5E93"/>
    <w:rsid w:val="6DD4443F"/>
    <w:rsid w:val="6DF8732E"/>
    <w:rsid w:val="6DFF077E"/>
    <w:rsid w:val="6E62679B"/>
    <w:rsid w:val="6E7E3605"/>
    <w:rsid w:val="6E7FDCC7"/>
    <w:rsid w:val="6EC16B87"/>
    <w:rsid w:val="6ED6A62E"/>
    <w:rsid w:val="6EE00B15"/>
    <w:rsid w:val="6F544B20"/>
    <w:rsid w:val="6F6FB3EB"/>
    <w:rsid w:val="6F784160"/>
    <w:rsid w:val="6F8731EA"/>
    <w:rsid w:val="6FC3367F"/>
    <w:rsid w:val="6FCE6052"/>
    <w:rsid w:val="6FD57C00"/>
    <w:rsid w:val="6FEFFFD8"/>
    <w:rsid w:val="6FF5CC65"/>
    <w:rsid w:val="6FFB47EC"/>
    <w:rsid w:val="6FFF034A"/>
    <w:rsid w:val="700C20A9"/>
    <w:rsid w:val="701C2986"/>
    <w:rsid w:val="70496804"/>
    <w:rsid w:val="705B5186"/>
    <w:rsid w:val="70691E06"/>
    <w:rsid w:val="712A28F1"/>
    <w:rsid w:val="715C0E4B"/>
    <w:rsid w:val="72233669"/>
    <w:rsid w:val="72734D90"/>
    <w:rsid w:val="72985992"/>
    <w:rsid w:val="72B33FBD"/>
    <w:rsid w:val="7332FE48"/>
    <w:rsid w:val="73551986"/>
    <w:rsid w:val="7359474B"/>
    <w:rsid w:val="73AB61DA"/>
    <w:rsid w:val="73AD73D5"/>
    <w:rsid w:val="73B6EB34"/>
    <w:rsid w:val="73FA497D"/>
    <w:rsid w:val="744731E5"/>
    <w:rsid w:val="74527205"/>
    <w:rsid w:val="74BBD01D"/>
    <w:rsid w:val="74C15E1E"/>
    <w:rsid w:val="74ED5379"/>
    <w:rsid w:val="74FC2395"/>
    <w:rsid w:val="75074DF7"/>
    <w:rsid w:val="75371F54"/>
    <w:rsid w:val="75DEEEC2"/>
    <w:rsid w:val="762C1A00"/>
    <w:rsid w:val="76412D52"/>
    <w:rsid w:val="76E3355F"/>
    <w:rsid w:val="76FF5125"/>
    <w:rsid w:val="770045CD"/>
    <w:rsid w:val="77112CED"/>
    <w:rsid w:val="776F6FFA"/>
    <w:rsid w:val="778769C8"/>
    <w:rsid w:val="77DC22F5"/>
    <w:rsid w:val="783842C9"/>
    <w:rsid w:val="78936F61"/>
    <w:rsid w:val="79086DAD"/>
    <w:rsid w:val="790B6B7F"/>
    <w:rsid w:val="79597C24"/>
    <w:rsid w:val="798B5E75"/>
    <w:rsid w:val="79974F09"/>
    <w:rsid w:val="79D7FD79"/>
    <w:rsid w:val="79EE5BA4"/>
    <w:rsid w:val="7A6F7B00"/>
    <w:rsid w:val="7A894339"/>
    <w:rsid w:val="7AED003A"/>
    <w:rsid w:val="7AFF7572"/>
    <w:rsid w:val="7B6C7DFB"/>
    <w:rsid w:val="7BBFBED0"/>
    <w:rsid w:val="7BC3E394"/>
    <w:rsid w:val="7C1F3737"/>
    <w:rsid w:val="7C60616F"/>
    <w:rsid w:val="7C631EB1"/>
    <w:rsid w:val="7CBFC87B"/>
    <w:rsid w:val="7CFE0F48"/>
    <w:rsid w:val="7D7EC23E"/>
    <w:rsid w:val="7D916348"/>
    <w:rsid w:val="7D9B7E3C"/>
    <w:rsid w:val="7E8ADEBF"/>
    <w:rsid w:val="7EEF11D3"/>
    <w:rsid w:val="7F0971A6"/>
    <w:rsid w:val="7F155E8B"/>
    <w:rsid w:val="7F3F679B"/>
    <w:rsid w:val="7F4FC4EF"/>
    <w:rsid w:val="7F5E4D54"/>
    <w:rsid w:val="7F6E0135"/>
    <w:rsid w:val="7F6F3E75"/>
    <w:rsid w:val="7FA30C79"/>
    <w:rsid w:val="7FAF8ABF"/>
    <w:rsid w:val="7FB51265"/>
    <w:rsid w:val="7FB7269E"/>
    <w:rsid w:val="7FC96657"/>
    <w:rsid w:val="7FDA9588"/>
    <w:rsid w:val="7FDF220F"/>
    <w:rsid w:val="7FEDC5F7"/>
    <w:rsid w:val="7FEDD9DE"/>
    <w:rsid w:val="7FF5890D"/>
    <w:rsid w:val="7FF93490"/>
    <w:rsid w:val="99FF2014"/>
    <w:rsid w:val="9FED8A9C"/>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B5AE94F"/>
    <w:rsid w:val="ECFED1BC"/>
    <w:rsid w:val="ED1D69BB"/>
    <w:rsid w:val="ED7FD312"/>
    <w:rsid w:val="EF53993F"/>
    <w:rsid w:val="EF539967"/>
    <w:rsid w:val="EF6FD633"/>
    <w:rsid w:val="EFBFB2F4"/>
    <w:rsid w:val="EFBFFA21"/>
    <w:rsid w:val="F2BEBCB8"/>
    <w:rsid w:val="F36FB518"/>
    <w:rsid w:val="F3DE1A04"/>
    <w:rsid w:val="F3F722E5"/>
    <w:rsid w:val="F7D2A3AC"/>
    <w:rsid w:val="F7F74756"/>
    <w:rsid w:val="FA5F1E70"/>
    <w:rsid w:val="FA5FDB97"/>
    <w:rsid w:val="FB7F486A"/>
    <w:rsid w:val="FBFF5B2E"/>
    <w:rsid w:val="FC7A464D"/>
    <w:rsid w:val="FD7FFE2B"/>
    <w:rsid w:val="FDEE196B"/>
    <w:rsid w:val="FDFE6575"/>
    <w:rsid w:val="FEDFDDC2"/>
    <w:rsid w:val="FEED32F6"/>
    <w:rsid w:val="FEF781DD"/>
    <w:rsid w:val="FEFF74A0"/>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5&#24180;&#20915;&#31639;&#20844;&#24320;\&#22270;&#34920;&#65288;&#26412;&#32423;&#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5&#24180;&#20915;&#31639;&#20844;&#24320;\&#22270;&#34920;&#65288;&#26412;&#32423;&#652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025&#24180;&#20915;&#31639;&#20844;&#24320;\&#22270;&#34920;&#65288;&#26412;&#32423;&#652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5&#24180;&#20915;&#31639;&#20844;&#24320;\&#22270;&#34920;&#65288;&#26412;&#32423;&#652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5&#24180;&#20915;&#31639;&#20844;&#24320;\&#22270;&#34920;&#65288;&#26412;&#32423;&#652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025&#24180;&#20915;&#31639;&#20844;&#24320;\&#22270;&#34920;&#65288;&#26412;&#32423;&#6528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025&#24180;&#20915;&#31639;&#20844;&#24320;\&#22270;&#34920;&#65288;&#26412;&#32423;&#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00766283525"/>
          <c:y val="0.0618128512093819"/>
          <c:w val="0.820285057471264"/>
          <c:h val="0.762365013437576"/>
        </c:manualLayout>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'[图表（本级）.xls]部门'!$C$1:$D$1</c:f>
              <c:strCache>
                <c:ptCount val="2"/>
                <c:pt idx="0">
                  <c:v>2024年度</c:v>
                </c:pt>
                <c:pt idx="1">
                  <c:v>2025年度</c:v>
                </c:pt>
              </c:strCache>
            </c:strRef>
          </c:cat>
          <c:val>
            <c:numRef>
              <c:f>'[图表（本级）.xls]部门'!$C$2:$D$2</c:f>
              <c:numCache>
                <c:formatCode>General</c:formatCode>
                <c:ptCount val="2"/>
                <c:pt idx="0">
                  <c:v>1053.29</c:v>
                </c:pt>
                <c:pt idx="1">
                  <c:v>2113.61</c:v>
                </c:pt>
              </c:numCache>
            </c:numRef>
          </c:val>
        </c:ser>
        <c:ser>
          <c:idx val="1"/>
          <c:order val="1"/>
          <c:spPr>
            <a:solidFill>
              <a:srgbClr val="993366"/>
            </a:solidFill>
            <a:ln w="12700">
              <a:solidFill>
                <a:srgbClr val="000000">
                  <a:alpha val="100000"/>
                </a:srgbClr>
              </a:solidFill>
              <a:prstDash val="solid"/>
            </a:ln>
            <a:effectLst/>
          </c:spPr>
          <c:invertIfNegative val="0"/>
          <c:dLbls>
            <c:delete val="1"/>
          </c:dLbls>
          <c:cat>
            <c:strRef>
              <c:f>'[图表（本级）.xls]部门'!$C$1:$D$1</c:f>
              <c:strCache>
                <c:ptCount val="2"/>
                <c:pt idx="0">
                  <c:v>2024年度</c:v>
                </c:pt>
                <c:pt idx="1">
                  <c:v>2025年度</c:v>
                </c:pt>
              </c:strCache>
            </c:strRef>
          </c:cat>
          <c:val>
            <c:numRef>
              <c:f>'[图表（本级）.xls]部门'!$C$3:$D$3</c:f>
              <c:numCache>
                <c:formatCode>General</c:formatCode>
                <c:ptCount val="2"/>
              </c:numCache>
            </c:numRef>
          </c:val>
        </c:ser>
        <c:dLbls>
          <c:showLegendKey val="0"/>
          <c:showVal val="0"/>
          <c:showCatName val="0"/>
          <c:showSerName val="0"/>
          <c:showPercent val="0"/>
          <c:showBubbleSize val="0"/>
        </c:dLbls>
        <c:gapWidth val="150"/>
        <c:overlap val="0"/>
        <c:axId val="875775867"/>
        <c:axId val="304563619"/>
      </c:barChart>
      <c:catAx>
        <c:axId val="875775867"/>
        <c:scaling>
          <c:orientation val="minMax"/>
        </c:scaling>
        <c:delete val="0"/>
        <c:axPos val="b"/>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crossAx val="304563619"/>
        <c:crosses val="autoZero"/>
        <c:auto val="1"/>
        <c:lblAlgn val="ctr"/>
        <c:lblOffset val="100"/>
        <c:noMultiLvlLbl val="0"/>
      </c:catAx>
      <c:valAx>
        <c:axId val="304563619"/>
        <c:scaling>
          <c:orientation val="minMax"/>
          <c:min val="0"/>
        </c:scaling>
        <c:delete val="0"/>
        <c:axPos val="l"/>
        <c:majorGridlines>
          <c:spPr>
            <a:ln w="3175" cap="flat" cmpd="sng" algn="ctr">
              <a:solidFill>
                <a:srgbClr val="000000">
                  <a:alpha val="100000"/>
                </a:srgbClr>
              </a:solidFill>
              <a:prstDash val="solid"/>
              <a:round/>
            </a:ln>
            <a:effectLst/>
          </c:spPr>
        </c:majorGridlines>
        <c:numFmt formatCode="General" sourceLinked="1"/>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crossAx val="875775867"/>
        <c:crosses val="autoZero"/>
        <c:crossBetween val="between"/>
        <c:minorUnit val="200"/>
      </c:valAx>
    </c:plotArea>
    <c:plotVisOnly val="1"/>
    <c:dispBlanksAs val="gap"/>
    <c:showDLblsOverMax val="0"/>
    <c:extLst>
      <c:ext uri="{0b15fc19-7d7d-44ad-8c2d-2c3a37ce22c3}">
        <chartProps xmlns="https://web.wps.cn/et/2018/main" chartId="{6b573200-3f8d-4a06-9e16-e2d40c40ec16}"/>
      </c:ext>
    </c:extLst>
  </c:chart>
  <c:spPr>
    <a:solidFill>
      <a:srgbClr val="FFFFFF"/>
    </a:solidFill>
    <a:ln w="3175" cap="flat" cmpd="sng" algn="ctr">
      <a:solidFill>
        <a:srgbClr val="000000">
          <a:alpha val="100000"/>
        </a:srgbClr>
      </a:solidFill>
      <a:prstDash val="solid"/>
      <a:round/>
    </a:ln>
    <a:effectLst/>
  </c:spPr>
  <c:txPr>
    <a:bodyPr rot="0" wrap="square"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chemeClr val="accent1"/>
              </a:solidFill>
            </c:spPr>
          </c:dPt>
          <c:dPt>
            <c:idx val="1"/>
            <c:bubble3D val="0"/>
            <c:explosion val="0"/>
            <c:spPr>
              <a:solidFill>
                <a:schemeClr val="accent2">
                  <a:lumMod val="60000"/>
                  <a:lumOff val="40000"/>
                </a:schemeClr>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'[图表（本级）.xls]部门'!$C$20:$C$21</c:f>
              <c:strCache>
                <c:ptCount val="2"/>
                <c:pt idx="0">
                  <c:v>一般公共预算财政拨款</c:v>
                </c:pt>
                <c:pt idx="1">
                  <c:v>其他收入</c:v>
                </c:pt>
              </c:strCache>
            </c:strRef>
          </c:cat>
          <c:val>
            <c:numRef>
              <c:f>'[图表（本级）.xls]部门'!$D$20:$D$21</c:f>
              <c:numCache>
                <c:formatCode>General</c:formatCode>
                <c:ptCount val="2"/>
                <c:pt idx="0">
                  <c:v>257.76</c:v>
                </c:pt>
                <c:pt idx="1">
                  <c:v>1836.15</c:v>
                </c:pt>
              </c:numCache>
            </c:numRef>
          </c:val>
        </c:ser>
        <c:ser>
          <c:idx val="1"/>
          <c:order val="1"/>
          <c:explosion val="0"/>
          <c:dPt>
            <c:idx val="0"/>
            <c:bubble3D val="0"/>
            <c:explosion val="0"/>
          </c:dPt>
          <c:dLbls>
            <c:delete val="1"/>
          </c:dLbls>
          <c:cat>
            <c:strRef>
              <c:f>'[图表（本级）.xls]部门'!$C$20:$C$21</c:f>
              <c:strCache>
                <c:ptCount val="2"/>
                <c:pt idx="0">
                  <c:v>一般公共预算财政拨款</c:v>
                </c:pt>
                <c:pt idx="1">
                  <c:v>其他收入</c:v>
                </c:pt>
              </c:strCache>
            </c:strRef>
          </c:cat>
          <c:val>
            <c:numRef>
              <c:f>#REF!</c:f>
              <c:numCache>
                <c:formatCode>General</c:formatCode>
                <c:ptCount val="1"/>
              </c:numCache>
            </c:numRef>
          </c:val>
        </c:ser>
        <c:ser>
          <c:idx val="2"/>
          <c:order val="2"/>
          <c:explosion val="0"/>
          <c:dPt>
            <c:idx val="0"/>
            <c:bubble3D val="0"/>
            <c:explosion val="0"/>
          </c:dPt>
          <c:dPt>
            <c:idx val="1"/>
            <c:bubble3D val="0"/>
            <c:explosion val="0"/>
          </c:dPt>
          <c:dLbls>
            <c:delete val="1"/>
          </c:dLbls>
          <c:cat>
            <c:strRef>
              <c:f>'[图表（本级）.xls]部门'!$C$20:$C$21</c:f>
              <c:strCache>
                <c:ptCount val="2"/>
                <c:pt idx="0">
                  <c:v>一般公共预算财政拨款</c:v>
                </c:pt>
                <c:pt idx="1">
                  <c:v>其他收入</c:v>
                </c:pt>
              </c:strCache>
            </c:strRef>
          </c:cat>
          <c:val>
            <c:numRef>
              <c:f>'[图表（本级）.xls]部门'!$C$21:$D$21</c:f>
              <c:numCache>
                <c:formatCode>General</c:formatCode>
                <c:ptCount val="2"/>
                <c:pt idx="0">
                  <c:v>0</c:v>
                </c:pt>
                <c:pt idx="1">
                  <c:v>1836.15</c:v>
                </c:pt>
              </c:numCache>
            </c:numRef>
          </c:val>
        </c:ser>
        <c:ser>
          <c:idx val="3"/>
          <c:order val="3"/>
          <c:tx>
            <c:strRef>
              <c:f>'[图表（本级）.xls]部门'!$D$20:$D$21</c:f>
              <c:strCache>
                <c:ptCount val="1"/>
                <c:pt idx="0">
                  <c:v>257.76 1836.15</c:v>
                </c:pt>
              </c:strCache>
            </c:strRef>
          </c:tx>
          <c:explosion val="0"/>
          <c:dPt>
            <c:idx val="0"/>
            <c:bubble3D val="0"/>
            <c:explosion val="0"/>
          </c:dPt>
          <c:dLbls>
            <c:delete val="1"/>
          </c:dLbls>
          <c:cat>
            <c:strRef>
              <c:f>'[图表（本级）.xls]部门'!$C$20:$C$21</c:f>
              <c:strCache>
                <c:ptCount val="2"/>
                <c:pt idx="0">
                  <c:v>一般公共预算财政拨款</c:v>
                </c:pt>
                <c:pt idx="1">
                  <c:v>其他收入</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7"/>
          <c:y val="0.5035"/>
          <c:w val="0.238888888888889"/>
          <c:h val="0.444444444444444"/>
        </c:manualLayout>
      </c:layout>
      <c:overlay val="0"/>
      <c:spPr>
        <a:ln>
          <a:solidFill>
            <a:schemeClr val="accent1"/>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e0e0fbf-bfa4-4598-be38-e5ae91e70ec6}"/>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explosion val="0"/>
          <c:dPt>
            <c:idx val="0"/>
            <c:bubble3D val="0"/>
            <c:explosion val="0"/>
            <c:spPr>
              <a:solidFill>
                <a:schemeClr val="accent1"/>
              </a:solidFill>
            </c:spPr>
          </c:dPt>
          <c:dPt>
            <c:idx val="1"/>
            <c:bubble3D val="0"/>
            <c:explosion val="0"/>
            <c:spPr>
              <a:solidFill>
                <a:schemeClr val="accent2">
                  <a:lumMod val="60000"/>
                  <a:lumOff val="40000"/>
                </a:schemeClr>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'[图表（本级）.xls]部门'!$C$40:$C$41</c:f>
              <c:strCache>
                <c:ptCount val="2"/>
                <c:pt idx="0">
                  <c:v>基本支出</c:v>
                </c:pt>
                <c:pt idx="1">
                  <c:v>项目支出</c:v>
                </c:pt>
              </c:strCache>
            </c:strRef>
          </c:cat>
          <c:val>
            <c:numRef>
              <c:f>'[图表（本级）.xls]部门'!$D$40:$D$41</c:f>
              <c:numCache>
                <c:formatCode>General</c:formatCode>
                <c:ptCount val="2"/>
                <c:pt idx="0">
                  <c:v>338.99</c:v>
                </c:pt>
                <c:pt idx="1">
                  <c:v>1754.92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815"/>
          <c:y val="0.486"/>
          <c:w val="0.167"/>
          <c:h val="0.2087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e6b7bfcc-f4cd-491f-a5ad-931664639fdf}"/>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'[图表（本级）.xls]部门'!$C$57:$D$57</c:f>
              <c:strCache>
                <c:ptCount val="2"/>
                <c:pt idx="0">
                  <c:v>2024年度</c:v>
                </c:pt>
                <c:pt idx="1">
                  <c:v>2025年度</c:v>
                </c:pt>
              </c:strCache>
            </c:strRef>
          </c:cat>
          <c:val>
            <c:numRef>
              <c:f>'[图表（本级）.xls]部门'!$C$58:$D$58</c:f>
              <c:numCache>
                <c:formatCode>General</c:formatCode>
                <c:ptCount val="2"/>
                <c:pt idx="0">
                  <c:v>303.19</c:v>
                </c:pt>
                <c:pt idx="1">
                  <c:v>257.76</c:v>
                </c:pt>
              </c:numCache>
            </c:numRef>
          </c:val>
        </c:ser>
        <c:dLbls>
          <c:showLegendKey val="0"/>
          <c:showVal val="0"/>
          <c:showCatName val="0"/>
          <c:showSerName val="0"/>
          <c:showPercent val="0"/>
          <c:showBubbleSize val="0"/>
        </c:dLbls>
        <c:gapWidth val="150"/>
        <c:overlap val="0"/>
        <c:axId val="243083114"/>
        <c:axId val="685691836"/>
      </c:barChart>
      <c:catAx>
        <c:axId val="24308311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5691836"/>
        <c:crosses val="autoZero"/>
        <c:auto val="1"/>
        <c:lblAlgn val="ctr"/>
        <c:lblOffset val="100"/>
        <c:noMultiLvlLbl val="0"/>
      </c:catAx>
      <c:valAx>
        <c:axId val="6856918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083114"/>
        <c:crosses val="autoZero"/>
        <c:crossBetween val="between"/>
      </c:valAx>
    </c:plotArea>
    <c:plotVisOnly val="1"/>
    <c:dispBlanksAs val="gap"/>
    <c:showDLblsOverMax val="0"/>
    <c:extLst>
      <c:ext uri="{0b15fc19-7d7d-44ad-8c2d-2c3a37ce22c3}">
        <chartProps xmlns="https://web.wps.cn/et/2018/main" chartId="{ddf9d941-2550-4bf8-ade6-9020844276fd}"/>
      </c:ext>
    </c:extLst>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'[图表（本级）.xls]部门'!$C$75:$D$75</c:f>
              <c:strCache>
                <c:ptCount val="2"/>
                <c:pt idx="0">
                  <c:v>2024年度</c:v>
                </c:pt>
                <c:pt idx="1">
                  <c:v>2025年度</c:v>
                </c:pt>
              </c:strCache>
            </c:strRef>
          </c:cat>
          <c:val>
            <c:numRef>
              <c:f>'[图表（本级）.xls]部门'!$C$76:$D$76</c:f>
              <c:numCache>
                <c:formatCode>General</c:formatCode>
                <c:ptCount val="2"/>
                <c:pt idx="0">
                  <c:v>303.19</c:v>
                </c:pt>
                <c:pt idx="1">
                  <c:v>257.76</c:v>
                </c:pt>
              </c:numCache>
            </c:numRef>
          </c:val>
        </c:ser>
        <c:dLbls>
          <c:showLegendKey val="0"/>
          <c:showVal val="0"/>
          <c:showCatName val="0"/>
          <c:showSerName val="0"/>
          <c:showPercent val="0"/>
          <c:showBubbleSize val="0"/>
        </c:dLbls>
        <c:gapWidth val="150"/>
        <c:overlap val="0"/>
        <c:axId val="854546053"/>
        <c:axId val="593953283"/>
      </c:barChart>
      <c:catAx>
        <c:axId val="854546053"/>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3953283"/>
        <c:crosses val="autoZero"/>
        <c:auto val="1"/>
        <c:lblAlgn val="ctr"/>
        <c:lblOffset val="100"/>
        <c:noMultiLvlLbl val="0"/>
      </c:catAx>
      <c:valAx>
        <c:axId val="593953283"/>
        <c:scaling>
          <c:orientation val="minMax"/>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4546053"/>
        <c:crosses val="autoZero"/>
        <c:crossBetween val="between"/>
      </c:valAx>
    </c:plotArea>
    <c:plotVisOnly val="1"/>
    <c:dispBlanksAs val="gap"/>
    <c:showDLblsOverMax val="0"/>
    <c:extLst>
      <c:ext uri="{0b15fc19-7d7d-44ad-8c2d-2c3a37ce22c3}">
        <chartProps xmlns="https://web.wps.cn/et/2018/main" chartId="{6d493c42-93a1-44ba-a89d-d301653ce9d4}"/>
      </c:ext>
    </c:extLst>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spPr>
              <a:solidFill>
                <a:schemeClr val="accent1">
                  <a:lumMod val="60000"/>
                  <a:lumOff val="40000"/>
                </a:schemeClr>
              </a:solidFill>
            </c:spPr>
          </c:dPt>
          <c:dPt>
            <c:idx val="3"/>
            <c:bubble3D val="0"/>
            <c:explosion val="0"/>
          </c:dPt>
          <c:dLbls>
            <c:dLbl>
              <c:idx val="0"/>
              <c:layout>
                <c:manualLayout>
                  <c:x val="0.00284292821606254"/>
                  <c:y val="-0.04687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68585643212509"/>
                  <c:y val="0.026041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96019900497512"/>
                  <c:y val="0.0312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'[图表（本级）.xls]部门'!$B$96:$B$99</c:f>
              <c:strCache>
                <c:ptCount val="4"/>
                <c:pt idx="0">
                  <c:v>社会保障和就业支出</c:v>
                </c:pt>
                <c:pt idx="1">
                  <c:v>卫生健康支出</c:v>
                </c:pt>
                <c:pt idx="2">
                  <c:v>节能环保支出</c:v>
                </c:pt>
                <c:pt idx="3">
                  <c:v>住房保障支出</c:v>
                </c:pt>
              </c:strCache>
            </c:strRef>
          </c:cat>
          <c:val>
            <c:numRef>
              <c:f>'[图表（本级）.xls]部门'!$C$96:$C$99</c:f>
              <c:numCache>
                <c:formatCode>General</c:formatCode>
                <c:ptCount val="4"/>
                <c:pt idx="0">
                  <c:v>30.83</c:v>
                </c:pt>
                <c:pt idx="1">
                  <c:v>19.33</c:v>
                </c:pt>
                <c:pt idx="2">
                  <c:v>183.4</c:v>
                </c:pt>
                <c:pt idx="3">
                  <c:v>24.2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35"/>
          <c:y val="0.353"/>
          <c:w val="0.233"/>
          <c:h val="0.65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b777dbb-52f6-4496-9566-2cd9c53cb78c}"/>
      </c:ext>
    </c:extLst>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spPr>
              <a:solidFill>
                <a:schemeClr val="accent1">
                  <a:lumMod val="60000"/>
                  <a:lumOff val="40000"/>
                </a:schemeClr>
              </a:solidFill>
            </c:spPr>
          </c:dPt>
          <c:dLbls>
            <c:dLbl>
              <c:idx val="0"/>
              <c:layout>
                <c:manualLayout>
                  <c:x val="0.0878716225018891"/>
                  <c:y val="0.027612768049714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7323015190599"/>
                  <c:y val="-0.046506300114547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42609016999261"/>
                  <c:y val="-0.063297081835079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'[图表（本级）.xls]部门'!$B$112:$B$114</c:f>
              <c:strCache>
                <c:ptCount val="3"/>
                <c:pt idx="0">
                  <c:v>因公出国（境）费</c:v>
                </c:pt>
                <c:pt idx="1">
                  <c:v>公务用车购置及运行维护费</c:v>
                </c:pt>
                <c:pt idx="2">
                  <c:v>公务接待费</c:v>
                </c:pt>
              </c:strCache>
            </c:strRef>
          </c:cat>
          <c:val>
            <c:numRef>
              <c:f>'[图表（本级）.xls]部门'!$C$112:$C$114</c:f>
              <c:numCache>
                <c:formatCode>General</c:formatCode>
                <c:ptCount val="3"/>
                <c:pt idx="0">
                  <c:v>0</c:v>
                </c:pt>
                <c:pt idx="1">
                  <c:v>0</c:v>
                </c:pt>
                <c:pt idx="2">
                  <c:v>0.29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625"/>
          <c:y val="0.542"/>
          <c:w val="0.32475"/>
          <c:h val="0.449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fa54a5c-7928-45dd-8c4b-00315cfefee3}"/>
      </c:ext>
    </c:extLst>
  </c:chart>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6971</Words>
  <Characters>7432</Characters>
  <Lines>1</Lines>
  <Paragraphs>1</Paragraphs>
  <TotalTime>2</TotalTime>
  <ScaleCrop>false</ScaleCrop>
  <LinksUpToDate>false</LinksUpToDate>
  <CharactersWithSpaces>7520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user</cp:lastModifiedBy>
  <cp:lastPrinted>2026-09-01T00:11:00Z</cp:lastPrinted>
  <dcterms:modified xsi:type="dcterms:W3CDTF">2026-09-11T09:33:42Z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3BF536824C220DA3E40E8B68BA118B1C_42</vt:lpwstr>
  </property>
  <property fmtid="{D5CDD505-2E9C-101B-9397-08002B2CF9AE}" pid="4" name="KSOTemplateDocerSaveRecord">
    <vt:lpwstr>eyJoZGlkIjoiM2ZjYTg4ZWFlMmVlOTdiY2ViYTU2NjQ1ZTAxNjIyM2IiLCJ1c2VySWQiOiIxNjQ5OTI4MDcwIn0=</vt:lpwstr>
  </property>
</Properties>
</file>