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EF692">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77425"/>
      <w:bookmarkStart w:id="1" w:name="_Toc15396475"/>
      <w:bookmarkStart w:id="2" w:name="_Toc15396597"/>
      <w:bookmarkStart w:id="3" w:name="_Toc15378441"/>
      <w:bookmarkStart w:id="4" w:name="_Toc15306267"/>
      <w:bookmarkStart w:id="5" w:name="_Toc15377193"/>
    </w:p>
    <w:p w14:paraId="22CA8518">
      <w:pPr>
        <w:pStyle w:val="6"/>
        <w:rPr>
          <w:rFonts w:hint="eastAsia" w:ascii="Times New Roman" w:hAnsi="Times New Roman" w:eastAsia="方正小标宋简体" w:cs="Times New Roman"/>
          <w:color w:val="auto"/>
          <w:kern w:val="2"/>
          <w:sz w:val="72"/>
          <w:szCs w:val="72"/>
          <w:highlight w:val="none"/>
          <w:lang w:val="en-US" w:eastAsia="zh-CN" w:bidi="ar-SA"/>
        </w:rPr>
      </w:pPr>
    </w:p>
    <w:p w14:paraId="0304BC09">
      <w:pPr>
        <w:pStyle w:val="6"/>
        <w:rPr>
          <w:rFonts w:hint="eastAsia" w:ascii="Times New Roman" w:hAnsi="Times New Roman" w:eastAsia="方正小标宋简体" w:cs="Times New Roman"/>
          <w:color w:val="auto"/>
          <w:kern w:val="2"/>
          <w:sz w:val="72"/>
          <w:szCs w:val="72"/>
          <w:highlight w:val="none"/>
          <w:lang w:val="en-US" w:eastAsia="zh-CN" w:bidi="ar-SA"/>
        </w:rPr>
      </w:pPr>
    </w:p>
    <w:p w14:paraId="449A5D29">
      <w:pPr>
        <w:pStyle w:val="6"/>
        <w:rPr>
          <w:rFonts w:hint="eastAsia" w:ascii="Times New Roman" w:hAnsi="Times New Roman" w:eastAsia="方正小标宋简体" w:cs="Times New Roman"/>
          <w:color w:val="auto"/>
          <w:kern w:val="2"/>
          <w:sz w:val="72"/>
          <w:szCs w:val="72"/>
          <w:highlight w:val="none"/>
          <w:lang w:val="en-US" w:eastAsia="zh-CN" w:bidi="ar-SA"/>
        </w:rPr>
      </w:pPr>
    </w:p>
    <w:p w14:paraId="60904E1F">
      <w:pPr>
        <w:pStyle w:val="6"/>
        <w:spacing w:before="93"/>
        <w:jc w:val="center"/>
        <w:rPr>
          <w:rFonts w:hint="eastAsia" w:ascii="Times New Roman" w:eastAsia="方正小标宋简体"/>
          <w:kern w:val="2"/>
          <w:sz w:val="44"/>
          <w:szCs w:val="44"/>
        </w:rPr>
      </w:pPr>
    </w:p>
    <w:p w14:paraId="436E3992">
      <w:pPr>
        <w:pStyle w:val="6"/>
        <w:spacing w:before="93"/>
        <w:jc w:val="center"/>
        <w:rPr>
          <w:rFonts w:hint="eastAsia" w:ascii="Times New Roman" w:eastAsia="方正小标宋简体"/>
          <w:kern w:val="2"/>
          <w:sz w:val="44"/>
          <w:szCs w:val="44"/>
        </w:rPr>
      </w:pPr>
      <w:r>
        <w:rPr>
          <w:rFonts w:hint="eastAsia" w:ascii="Times New Roman" w:eastAsia="方正小标宋简体"/>
          <w:kern w:val="2"/>
          <w:sz w:val="44"/>
          <w:szCs w:val="44"/>
        </w:rPr>
        <w:t>2025年度攀枝花市生态环境局</w:t>
      </w:r>
    </w:p>
    <w:p w14:paraId="4C287DE0">
      <w:pPr>
        <w:pStyle w:val="6"/>
        <w:spacing w:before="93"/>
        <w:jc w:val="center"/>
        <w:rPr>
          <w:rFonts w:ascii="Times New Roman" w:eastAsia="方正小标宋简体"/>
          <w:kern w:val="2"/>
          <w:sz w:val="44"/>
          <w:szCs w:val="44"/>
        </w:rPr>
      </w:pPr>
      <w:r>
        <w:rPr>
          <w:rFonts w:hint="eastAsia" w:ascii="Times New Roman" w:eastAsia="方正小标宋简体"/>
          <w:kern w:val="2"/>
          <w:sz w:val="44"/>
          <w:szCs w:val="44"/>
        </w:rPr>
        <w:t>决算公开编制说明</w:t>
      </w:r>
    </w:p>
    <w:p w14:paraId="1C02DCEA">
      <w:pPr>
        <w:pStyle w:val="6"/>
        <w:spacing w:before="93"/>
        <w:jc w:val="center"/>
        <w:rPr>
          <w:rFonts w:hint="eastAsia" w:ascii="Times New Roman" w:eastAsia="方正小标宋简体"/>
          <w:kern w:val="2"/>
          <w:sz w:val="44"/>
          <w:szCs w:val="44"/>
        </w:rPr>
      </w:pPr>
    </w:p>
    <w:p w14:paraId="5BB94DC8">
      <w:pPr>
        <w:pStyle w:val="6"/>
        <w:spacing w:before="93"/>
        <w:jc w:val="center"/>
        <w:rPr>
          <w:rFonts w:hint="eastAsia" w:ascii="Times New Roman" w:eastAsia="方正小标宋简体"/>
          <w:kern w:val="2"/>
          <w:sz w:val="44"/>
          <w:szCs w:val="44"/>
        </w:rPr>
      </w:pPr>
    </w:p>
    <w:p w14:paraId="0A214C0A">
      <w:pPr>
        <w:pStyle w:val="6"/>
        <w:spacing w:before="93"/>
        <w:jc w:val="center"/>
        <w:rPr>
          <w:rFonts w:hint="eastAsia" w:ascii="Times New Roman" w:eastAsia="方正小标宋简体"/>
          <w:kern w:val="2"/>
          <w:sz w:val="44"/>
          <w:szCs w:val="44"/>
        </w:rPr>
      </w:pPr>
    </w:p>
    <w:p w14:paraId="47ED0A83">
      <w:pPr>
        <w:pStyle w:val="6"/>
        <w:spacing w:before="93"/>
        <w:jc w:val="center"/>
        <w:rPr>
          <w:rFonts w:hint="eastAsia" w:ascii="Times New Roman" w:eastAsia="方正小标宋简体"/>
          <w:kern w:val="2"/>
          <w:sz w:val="44"/>
          <w:szCs w:val="44"/>
        </w:rPr>
      </w:pPr>
    </w:p>
    <w:p w14:paraId="0592DB61">
      <w:pPr>
        <w:pStyle w:val="6"/>
        <w:spacing w:before="93"/>
        <w:jc w:val="center"/>
        <w:rPr>
          <w:rFonts w:hint="eastAsia" w:ascii="Times New Roman" w:eastAsia="方正小标宋简体"/>
          <w:kern w:val="2"/>
          <w:sz w:val="44"/>
          <w:szCs w:val="44"/>
        </w:rPr>
      </w:pPr>
    </w:p>
    <w:p w14:paraId="18421B63">
      <w:pPr>
        <w:pStyle w:val="6"/>
        <w:spacing w:before="93"/>
        <w:jc w:val="center"/>
        <w:rPr>
          <w:rFonts w:hint="eastAsia" w:ascii="Times New Roman" w:eastAsia="方正小标宋简体"/>
          <w:kern w:val="2"/>
          <w:sz w:val="44"/>
          <w:szCs w:val="44"/>
        </w:rPr>
      </w:pPr>
    </w:p>
    <w:p w14:paraId="6F20E1E9">
      <w:pPr>
        <w:pStyle w:val="6"/>
        <w:spacing w:before="93"/>
        <w:jc w:val="center"/>
        <w:rPr>
          <w:rFonts w:hint="eastAsia" w:ascii="Times New Roman" w:eastAsia="方正小标宋简体"/>
          <w:kern w:val="2"/>
          <w:sz w:val="44"/>
          <w:szCs w:val="44"/>
        </w:rPr>
      </w:pPr>
    </w:p>
    <w:p w14:paraId="5AF2B2B3">
      <w:pPr>
        <w:pStyle w:val="6"/>
        <w:spacing w:before="93"/>
        <w:jc w:val="center"/>
        <w:rPr>
          <w:rFonts w:hint="eastAsia" w:ascii="Times New Roman" w:eastAsia="方正小标宋简体"/>
          <w:kern w:val="2"/>
          <w:sz w:val="44"/>
          <w:szCs w:val="44"/>
        </w:rPr>
      </w:pPr>
    </w:p>
    <w:p w14:paraId="0CBE5FF1">
      <w:pPr>
        <w:pStyle w:val="6"/>
        <w:spacing w:before="93"/>
        <w:jc w:val="center"/>
        <w:rPr>
          <w:rFonts w:hint="eastAsia" w:ascii="Times New Roman" w:eastAsia="方正小标宋简体"/>
          <w:kern w:val="2"/>
          <w:sz w:val="44"/>
          <w:szCs w:val="44"/>
        </w:rPr>
      </w:pPr>
    </w:p>
    <w:p w14:paraId="7A9DA5C3">
      <w:pPr>
        <w:pStyle w:val="6"/>
        <w:spacing w:before="93"/>
        <w:jc w:val="center"/>
        <w:rPr>
          <w:rFonts w:hint="eastAsia" w:ascii="Times New Roman" w:eastAsia="方正小标宋简体"/>
          <w:kern w:val="2"/>
          <w:sz w:val="44"/>
          <w:szCs w:val="44"/>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49562CEE">
      <w:pPr>
        <w:pStyle w:val="6"/>
        <w:spacing w:before="93"/>
        <w:jc w:val="center"/>
        <w:rPr>
          <w:rFonts w:hint="eastAsia" w:ascii="Times New Roman" w:eastAsia="方正小标宋简体"/>
          <w:kern w:val="2"/>
          <w:sz w:val="44"/>
          <w:szCs w:val="44"/>
        </w:rPr>
      </w:pPr>
    </w:p>
    <w:p w14:paraId="3C200052">
      <w:pPr>
        <w:pStyle w:val="6"/>
        <w:spacing w:before="93"/>
        <w:jc w:val="center"/>
        <w:rPr>
          <w:rFonts w:hint="eastAsia" w:ascii="Times New Roman" w:eastAsia="方正小标宋简体"/>
          <w:kern w:val="2"/>
          <w:sz w:val="44"/>
          <w:szCs w:val="44"/>
        </w:rPr>
      </w:pPr>
    </w:p>
    <w:p w14:paraId="75DCF832">
      <w:pPr>
        <w:pStyle w:val="6"/>
        <w:spacing w:before="93"/>
        <w:jc w:val="center"/>
        <w:rPr>
          <w:rFonts w:hint="eastAsia" w:ascii="Times New Roman" w:eastAsia="方正小标宋简体"/>
          <w:kern w:val="2"/>
          <w:sz w:val="44"/>
          <w:szCs w:val="44"/>
        </w:rPr>
      </w:pPr>
    </w:p>
    <w:p w14:paraId="3F95C89A">
      <w:pPr>
        <w:pStyle w:val="6"/>
        <w:spacing w:before="93"/>
        <w:jc w:val="center"/>
        <w:rPr>
          <w:rFonts w:hint="eastAsia" w:ascii="Times New Roman" w:eastAsia="方正小标宋简体"/>
          <w:kern w:val="2"/>
          <w:sz w:val="44"/>
          <w:szCs w:val="44"/>
        </w:rPr>
      </w:pPr>
    </w:p>
    <w:p w14:paraId="2AC391BE">
      <w:pPr>
        <w:pStyle w:val="6"/>
        <w:spacing w:before="93"/>
        <w:jc w:val="center"/>
        <w:rPr>
          <w:rFonts w:hint="eastAsia" w:ascii="Times New Roman" w:eastAsia="方正小标宋简体"/>
          <w:kern w:val="2"/>
          <w:sz w:val="44"/>
          <w:szCs w:val="44"/>
        </w:rPr>
      </w:pPr>
    </w:p>
    <w:p w14:paraId="508D21C8">
      <w:pPr>
        <w:pStyle w:val="6"/>
        <w:spacing w:before="93"/>
        <w:jc w:val="center"/>
        <w:rPr>
          <w:rFonts w:hint="eastAsia" w:ascii="Times New Roman" w:eastAsia="方正小标宋简体"/>
          <w:kern w:val="2"/>
          <w:sz w:val="44"/>
          <w:szCs w:val="44"/>
        </w:rPr>
      </w:pPr>
    </w:p>
    <w:p w14:paraId="067CA3B9">
      <w:pPr>
        <w:pStyle w:val="6"/>
        <w:spacing w:before="93"/>
        <w:jc w:val="both"/>
        <w:rPr>
          <w:rFonts w:hint="eastAsia" w:ascii="Times New Roman" w:eastAsia="方正小标宋简体"/>
          <w:kern w:val="2"/>
          <w:sz w:val="44"/>
          <w:szCs w:val="44"/>
        </w:rPr>
      </w:pPr>
    </w:p>
    <w:p w14:paraId="598B9DA1">
      <w:pPr>
        <w:pStyle w:val="6"/>
        <w:spacing w:before="93"/>
        <w:jc w:val="center"/>
        <w:rPr>
          <w:rFonts w:hint="eastAsia" w:ascii="Times New Roman" w:eastAsia="方正小标宋简体"/>
          <w:kern w:val="2"/>
          <w:sz w:val="44"/>
          <w:szCs w:val="44"/>
        </w:rPr>
      </w:pPr>
    </w:p>
    <w:p w14:paraId="21B42BAC">
      <w:pPr>
        <w:pStyle w:val="6"/>
        <w:spacing w:before="93"/>
        <w:jc w:val="center"/>
        <w:rPr>
          <w:rFonts w:ascii="Times New Roman" w:eastAsia="方正小标宋简体"/>
          <w:kern w:val="2"/>
          <w:sz w:val="44"/>
          <w:szCs w:val="44"/>
        </w:rPr>
      </w:pPr>
      <w:r>
        <w:rPr>
          <w:rFonts w:hint="eastAsia" w:ascii="Times New Roman" w:eastAsia="方正小标宋简体"/>
          <w:kern w:val="2"/>
          <w:sz w:val="44"/>
          <w:szCs w:val="44"/>
        </w:rPr>
        <w:t>2025年度攀枝花市</w:t>
      </w:r>
      <w:r>
        <w:rPr>
          <w:rFonts w:hint="eastAsia" w:ascii="Times New Roman" w:eastAsia="方正小标宋简体"/>
          <w:kern w:val="2"/>
          <w:sz w:val="44"/>
          <w:szCs w:val="44"/>
          <w:lang w:eastAsia="zh-CN"/>
        </w:rPr>
        <w:t>生态环境局</w:t>
      </w:r>
      <w:r>
        <w:rPr>
          <w:rFonts w:hint="eastAsia" w:ascii="Times New Roman" w:eastAsia="方正小标宋简体"/>
          <w:kern w:val="2"/>
          <w:sz w:val="44"/>
          <w:szCs w:val="44"/>
        </w:rPr>
        <w:t>部门决算</w:t>
      </w:r>
    </w:p>
    <w:p w14:paraId="2F02DF36">
      <w:pPr>
        <w:spacing w:line="600" w:lineRule="exact"/>
        <w:jc w:val="center"/>
        <w:outlineLvl w:val="0"/>
        <w:rPr>
          <w:rFonts w:ascii="Times New Roman" w:hAnsi="Times New Roman" w:eastAsia="方正小标宋简体"/>
          <w:color w:val="auto"/>
          <w:sz w:val="72"/>
          <w:szCs w:val="72"/>
          <w:highlight w:val="none"/>
        </w:rPr>
      </w:pPr>
    </w:p>
    <w:p w14:paraId="162FC38C">
      <w:pPr>
        <w:pStyle w:val="20"/>
        <w:rPr>
          <w:rFonts w:ascii="Times New Roman" w:hAnsi="Times New Roman"/>
        </w:rPr>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pPr>
    </w:p>
    <w:bookmarkEnd w:id="0"/>
    <w:bookmarkEnd w:id="1"/>
    <w:bookmarkEnd w:id="2"/>
    <w:bookmarkEnd w:id="3"/>
    <w:bookmarkEnd w:id="4"/>
    <w:bookmarkEnd w:id="5"/>
    <w:p w14:paraId="2313A639">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20968E1E">
      <w:pPr>
        <w:widowControl/>
        <w:jc w:val="center"/>
        <w:rPr>
          <w:rFonts w:ascii="Times New Roman" w:hAnsi="Times New Roman" w:eastAsia="黑体" w:cstheme="minorBidi"/>
          <w:color w:val="auto"/>
          <w:sz w:val="28"/>
          <w:szCs w:val="28"/>
          <w:highlight w:val="none"/>
        </w:rPr>
      </w:pPr>
    </w:p>
    <w:p w14:paraId="12EA5E7B">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11</w:t>
      </w:r>
      <w:bookmarkStart w:id="67" w:name="_GoBack"/>
      <w:bookmarkEnd w:id="67"/>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日</w:t>
      </w:r>
    </w:p>
    <w:p w14:paraId="0A928FD7">
      <w:pPr>
        <w:rPr>
          <w:rFonts w:ascii="Times New Roman" w:hAnsi="Times New Roman"/>
          <w:color w:val="auto"/>
          <w:highlight w:val="none"/>
        </w:rPr>
      </w:pPr>
    </w:p>
    <w:p w14:paraId="1FBC061B">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第一部分 部门概况</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w:t>
      </w:r>
    </w:p>
    <w:p w14:paraId="6023DD5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color w:val="auto"/>
          <w:sz w:val="32"/>
          <w:szCs w:val="32"/>
          <w:highlight w:val="none"/>
          <w:lang w:eastAsia="zh-CN"/>
        </w:rPr>
        <w:t>部门职责</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w:t>
      </w:r>
    </w:p>
    <w:p w14:paraId="26B3C08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二、机构设置</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5</w:t>
      </w:r>
    </w:p>
    <w:p w14:paraId="43D37EEA">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第二部分</w:t>
      </w:r>
      <w:r>
        <w:rPr>
          <w:rFonts w:hint="eastAsia" w:ascii="仿宋_GB2312" w:hAnsi="仿宋_GB2312" w:eastAsia="仿宋_GB2312" w:cs="仿宋_GB2312"/>
          <w:color w:val="auto"/>
          <w:sz w:val="32"/>
          <w:szCs w:val="32"/>
          <w:highlight w:val="none"/>
          <w:lang w:val="en-US" w:eastAsia="zh-CN"/>
        </w:rPr>
        <w:t xml:space="preserve"> 2025年度</w:t>
      </w:r>
      <w:r>
        <w:rPr>
          <w:rFonts w:hint="eastAsia" w:ascii="仿宋_GB2312" w:hAnsi="仿宋_GB2312" w:eastAsia="仿宋_GB2312" w:cs="仿宋_GB2312"/>
          <w:color w:val="auto"/>
          <w:sz w:val="32"/>
          <w:szCs w:val="32"/>
          <w:highlight w:val="none"/>
        </w:rPr>
        <w:t>部门决算情况说明</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w:t>
      </w:r>
    </w:p>
    <w:p w14:paraId="57267F5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一、收入支出决算总体情况说明</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w:t>
      </w:r>
    </w:p>
    <w:p w14:paraId="5768132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二、收入决算情况说明</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7</w:t>
      </w:r>
    </w:p>
    <w:p w14:paraId="3BE890D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三、支出决算情况说明</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8</w:t>
      </w:r>
    </w:p>
    <w:p w14:paraId="6830B79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四、财政拨款收入支出决算总体情况说明</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8</w:t>
      </w:r>
    </w:p>
    <w:p w14:paraId="7390955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五、一般公共预算财政拨款支出决算情况说明</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9</w:t>
      </w:r>
    </w:p>
    <w:p w14:paraId="38A5EF9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六、一般公共预算财政拨款基本支出决算情况说明</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12</w:t>
      </w:r>
    </w:p>
    <w:p w14:paraId="05FD419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七、财政拨款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三公”经费支出决算情况说明</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12</w:t>
      </w:r>
    </w:p>
    <w:p w14:paraId="2BC52D4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八、政府性基金预算支出决算情况说明</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15</w:t>
      </w:r>
    </w:p>
    <w:p w14:paraId="7882BC3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九、</w:t>
      </w:r>
      <w:r>
        <w:rPr>
          <w:rFonts w:hint="eastAsia" w:ascii="仿宋_GB2312" w:hAnsi="仿宋_GB2312" w:eastAsia="仿宋_GB2312" w:cs="仿宋_GB2312"/>
          <w:color w:val="auto"/>
          <w:sz w:val="32"/>
          <w:szCs w:val="32"/>
          <w:highlight w:val="none"/>
          <w:lang w:eastAsia="zh-CN"/>
        </w:rPr>
        <w:t>国</w:t>
      </w:r>
      <w:r>
        <w:rPr>
          <w:rFonts w:hint="eastAsia" w:ascii="仿宋_GB2312" w:hAnsi="仿宋_GB2312" w:eastAsia="仿宋_GB2312" w:cs="仿宋_GB2312"/>
          <w:color w:val="auto"/>
          <w:sz w:val="32"/>
          <w:szCs w:val="32"/>
          <w:highlight w:val="none"/>
        </w:rPr>
        <w:t>有资本经营预算支出决算情况说明</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15</w:t>
      </w:r>
    </w:p>
    <w:p w14:paraId="267A21A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lang w:eastAsia="zh-CN"/>
        </w:rPr>
        <w:t>十</w:t>
      </w:r>
      <w:r>
        <w:rPr>
          <w:rFonts w:hint="eastAsia" w:ascii="仿宋_GB2312" w:hAnsi="仿宋_GB2312" w:eastAsia="仿宋_GB2312" w:cs="仿宋_GB2312"/>
          <w:color w:val="auto"/>
          <w:sz w:val="32"/>
          <w:szCs w:val="32"/>
          <w:highlight w:val="none"/>
        </w:rPr>
        <w:t>、其他重要事项的情况说明</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15</w:t>
      </w:r>
    </w:p>
    <w:p w14:paraId="15971409">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第三部分 名词解释</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18</w:t>
      </w:r>
    </w:p>
    <w:p w14:paraId="4459F45D">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第四部分 附件</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23</w:t>
      </w:r>
    </w:p>
    <w:p w14:paraId="08CF1E0D">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第五部分 附表</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31</w:t>
      </w:r>
    </w:p>
    <w:p w14:paraId="691E797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一、收入支出决算总表</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31</w:t>
      </w:r>
    </w:p>
    <w:p w14:paraId="13EC30C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二、收入决算表</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31</w:t>
      </w:r>
    </w:p>
    <w:p w14:paraId="57EF984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sectPr>
          <w:footerReference r:id="rId8" w:type="first"/>
          <w:footerReference r:id="rId7" w:type="default"/>
          <w:pgSz w:w="11906" w:h="16838"/>
          <w:pgMar w:top="1440" w:right="1800" w:bottom="1440" w:left="1800" w:header="851" w:footer="992" w:gutter="0"/>
          <w:pgNumType w:fmt="decimal" w:start="1"/>
          <w:cols w:space="425" w:num="1"/>
          <w:docGrid w:type="lines" w:linePitch="312" w:charSpace="0"/>
        </w:sectPr>
      </w:pPr>
      <w:r>
        <w:rPr>
          <w:rFonts w:hint="eastAsia" w:ascii="仿宋_GB2312" w:hAnsi="仿宋_GB2312" w:eastAsia="仿宋_GB2312" w:cs="仿宋_GB2312"/>
          <w:color w:val="auto"/>
          <w:sz w:val="32"/>
          <w:szCs w:val="32"/>
          <w:highlight w:val="none"/>
        </w:rPr>
        <w:t>三、支出决算表</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31</w:t>
      </w:r>
    </w:p>
    <w:p w14:paraId="2325A99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四、财政拨款收入支出决算总表</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31</w:t>
      </w:r>
    </w:p>
    <w:p w14:paraId="1B9DF8F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五、财政拨款支出决算明细表</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31</w:t>
      </w:r>
    </w:p>
    <w:p w14:paraId="19095AB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六、一般公共预算财政拨款支出决算表</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31</w:t>
      </w:r>
    </w:p>
    <w:p w14:paraId="116A311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七、一般公共预算财政拨款支出决算明细表</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31</w:t>
      </w:r>
    </w:p>
    <w:p w14:paraId="7CE98A1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八、一般公共预算财政拨款基本支出决算</w:t>
      </w:r>
      <w:r>
        <w:rPr>
          <w:rFonts w:hint="eastAsia" w:ascii="仿宋_GB2312" w:hAnsi="仿宋_GB2312" w:eastAsia="仿宋_GB2312" w:cs="仿宋_GB2312"/>
          <w:color w:val="auto"/>
          <w:sz w:val="32"/>
          <w:szCs w:val="32"/>
          <w:highlight w:val="none"/>
          <w:lang w:eastAsia="zh-CN"/>
        </w:rPr>
        <w:t>明细</w:t>
      </w:r>
      <w:r>
        <w:rPr>
          <w:rFonts w:hint="eastAsia" w:ascii="仿宋_GB2312" w:hAnsi="仿宋_GB2312" w:eastAsia="仿宋_GB2312" w:cs="仿宋_GB2312"/>
          <w:color w:val="auto"/>
          <w:sz w:val="32"/>
          <w:szCs w:val="32"/>
          <w:highlight w:val="none"/>
        </w:rPr>
        <w:t>表</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31</w:t>
      </w:r>
    </w:p>
    <w:p w14:paraId="231C112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九、一般公共预算财政拨款项目支出决算表</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31</w:t>
      </w:r>
    </w:p>
    <w:p w14:paraId="440EF0B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十、政府性基金预算财政拨款收入支出决算表</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31</w:t>
      </w:r>
    </w:p>
    <w:p w14:paraId="405790B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十一、国有资本经营预算财政拨款收入支出决算表</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31</w:t>
      </w:r>
    </w:p>
    <w:p w14:paraId="5FEA1D9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十二、</w:t>
      </w:r>
      <w:r>
        <w:rPr>
          <w:rFonts w:hint="eastAsia" w:ascii="仿宋_GB2312" w:hAnsi="仿宋_GB2312" w:eastAsia="仿宋_GB2312" w:cs="仿宋_GB2312"/>
          <w:color w:val="auto"/>
          <w:sz w:val="32"/>
          <w:szCs w:val="32"/>
          <w:highlight w:val="none"/>
          <w:lang w:val="en-US" w:eastAsia="zh-CN"/>
        </w:rPr>
        <w:t>国有资本经营预算财政拨款支出决算表</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31</w:t>
      </w:r>
    </w:p>
    <w:p w14:paraId="3CF1A22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十三、财政拨款“三公”经费支出决算表</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31</w:t>
      </w:r>
    </w:p>
    <w:p w14:paraId="2296C0F5">
      <w:pPr>
        <w:pStyle w:val="2"/>
        <w:jc w:val="center"/>
        <w:rPr>
          <w:rFonts w:hint="eastAsia" w:ascii="仿宋_GB2312" w:hAnsi="仿宋_GB2312" w:eastAsia="仿宋_GB2312" w:cs="仿宋_GB2312"/>
          <w:b w:val="0"/>
          <w:color w:val="auto"/>
          <w:sz w:val="32"/>
          <w:szCs w:val="32"/>
          <w:highlight w:val="none"/>
        </w:rPr>
        <w:sectPr>
          <w:footerReference r:id="rId9" w:type="default"/>
          <w:pgSz w:w="11906" w:h="16838"/>
          <w:pgMar w:top="1440" w:right="1800" w:bottom="1440" w:left="1800" w:header="851" w:footer="992" w:gutter="0"/>
          <w:pgNumType w:fmt="decimal" w:start="1"/>
          <w:cols w:space="425" w:num="1"/>
          <w:docGrid w:type="lines" w:linePitch="312" w:charSpace="0"/>
        </w:sectPr>
      </w:pPr>
      <w:bookmarkStart w:id="6" w:name="_Toc15396599"/>
      <w:bookmarkStart w:id="7" w:name="_Toc15377196"/>
      <w:r>
        <w:rPr>
          <w:rFonts w:hint="eastAsia" w:ascii="仿宋_GB2312" w:hAnsi="仿宋_GB2312" w:eastAsia="仿宋_GB2312" w:cs="仿宋_GB2312"/>
          <w:color w:val="auto"/>
          <w:sz w:val="32"/>
          <w:szCs w:val="32"/>
          <w:lang w:val="en-US" w:eastAsia="zh-CN"/>
        </w:rPr>
        <w:tab/>
      </w:r>
    </w:p>
    <w:p w14:paraId="4BDC4754">
      <w:pPr>
        <w:pStyle w:val="2"/>
        <w:jc w:val="center"/>
        <w:rPr>
          <w:rStyle w:val="29"/>
          <w:rFonts w:hint="eastAsia" w:ascii="方正小标宋_GBK" w:hAnsi="方正小标宋_GBK" w:eastAsia="方正小标宋_GBK" w:cs="方正小标宋_GBK"/>
          <w:b/>
          <w:bCs w:val="0"/>
          <w:color w:val="auto"/>
          <w:highlight w:val="none"/>
        </w:rPr>
      </w:pPr>
      <w:r>
        <w:rPr>
          <w:rFonts w:hint="eastAsia" w:ascii="方正小标宋_GBK" w:hAnsi="方正小标宋_GBK" w:eastAsia="方正小标宋_GBK" w:cs="方正小标宋_GBK"/>
          <w:b w:val="0"/>
          <w:color w:val="auto"/>
          <w:highlight w:val="none"/>
        </w:rPr>
        <w:t>第一部分</w:t>
      </w:r>
      <w:r>
        <w:rPr>
          <w:rFonts w:hint="eastAsia" w:ascii="方正小标宋_GBK" w:hAnsi="方正小标宋_GBK" w:eastAsia="方正小标宋_GBK" w:cs="方正小标宋_GBK"/>
          <w:b w:val="0"/>
          <w:color w:val="auto"/>
          <w:highlight w:val="none"/>
          <w:lang w:val="en-US" w:eastAsia="zh-CN"/>
        </w:rPr>
        <w:t xml:space="preserve"> </w:t>
      </w:r>
      <w:r>
        <w:rPr>
          <w:rFonts w:hint="eastAsia" w:ascii="方正小标宋_GBK" w:hAnsi="方正小标宋_GBK" w:eastAsia="方正小标宋_GBK" w:cs="方正小标宋_GBK"/>
          <w:b w:val="0"/>
          <w:color w:val="auto"/>
          <w:highlight w:val="none"/>
        </w:rPr>
        <w:t xml:space="preserve"> </w:t>
      </w:r>
      <w:r>
        <w:rPr>
          <w:rStyle w:val="29"/>
          <w:rFonts w:hint="eastAsia" w:ascii="方正小标宋_GBK" w:hAnsi="方正小标宋_GBK" w:eastAsia="方正小标宋_GBK" w:cs="方正小标宋_GBK"/>
          <w:b w:val="0"/>
          <w:bCs w:val="0"/>
          <w:color w:val="auto"/>
          <w:highlight w:val="none"/>
        </w:rPr>
        <w:t>部门概况</w:t>
      </w:r>
      <w:bookmarkEnd w:id="6"/>
      <w:bookmarkEnd w:id="7"/>
    </w:p>
    <w:p w14:paraId="2A749846">
      <w:pPr>
        <w:pStyle w:val="3"/>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黑体"/>
          <w:b w:val="0"/>
          <w:color w:val="auto"/>
          <w:highlight w:val="none"/>
          <w:lang w:eastAsia="zh-CN"/>
        </w:rPr>
      </w:pPr>
      <w:bookmarkStart w:id="8" w:name="_Toc15396600"/>
      <w:bookmarkStart w:id="9" w:name="_Toc15377197"/>
      <w:r>
        <w:rPr>
          <w:rFonts w:hint="eastAsia" w:ascii="Times New Roman" w:hAnsi="Times New Roman" w:eastAsia="黑体"/>
          <w:b w:val="0"/>
          <w:color w:val="auto"/>
          <w:highlight w:val="none"/>
        </w:rPr>
        <w:t>一、</w:t>
      </w:r>
      <w:bookmarkEnd w:id="8"/>
      <w:bookmarkEnd w:id="9"/>
      <w:r>
        <w:rPr>
          <w:rFonts w:hint="eastAsia" w:ascii="Times New Roman" w:hAnsi="Times New Roman" w:eastAsia="黑体"/>
          <w:b w:val="0"/>
          <w:color w:val="auto"/>
          <w:highlight w:val="none"/>
          <w:lang w:eastAsia="zh-CN"/>
        </w:rPr>
        <w:t>部门职责</w:t>
      </w:r>
      <w:bookmarkStart w:id="10" w:name="_Toc15396601"/>
      <w:bookmarkStart w:id="11" w:name="_Toc15377200"/>
    </w:p>
    <w:p w14:paraId="14AECF5A">
      <w:pPr>
        <w:pStyle w:val="3"/>
        <w:keepNext/>
        <w:keepLines/>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负责建立健全全市生态环境基本制度。会同有关部门拟订并组织实施全市生态环境政策、规划，起草生态环境保护的地方性法规、规章草案，并依法组织实施和监督检查。组织编制环境功能区划，会同有关部门编制并监督实施重点区域、流域、饮用水水源地生态环境规划和水功能区划，组织拟订生态环境地方标准、技术规范。参与制定与全市生态环境相关的经济、技术、资源配置和产业政策。参与拟订全市主体功能区划。</w:t>
      </w:r>
    </w:p>
    <w:p w14:paraId="33B11403">
      <w:pPr>
        <w:pStyle w:val="3"/>
        <w:keepNext/>
        <w:keepLines/>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（二）负责全市重大生态环境问题的统筹协调和监督管理。牵头协调全市重特大突发生态环境事件和生态破坏事件的调查处理，指导协调各县（区）对重特大突发生态环境事件的应急、预警工作</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牵头指导实施生态环境损害赔偿制度，协调解决有关跨区域环境污染纠纷，统筹协调全市重点区域、流域的生态环境保护工作。</w:t>
      </w:r>
    </w:p>
    <w:p w14:paraId="6FEF2D6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（三）负责监督管理全市减排目标的落实。组织制定并监督实施全市各类污染物排放总量控制和排污许可证制度，确定大气、水等环境纳污能力，提出实施总量控制的污染物名称和控制指标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监督检查各县（区）、园区、企业污染物减排任务完成情况，实施生态环境目标责任制。</w:t>
      </w:r>
    </w:p>
    <w:p w14:paraId="620BED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负责提出全市生态环境领域固定资产投资规模和方向、市级财政性资金安排的意见，按市政府规定权限审批、核准全市规划内和年度计划规模内固定资产投资项目，配合有关部门做好组织实施和监督工作。参与指导推动全市循环经济和生态环保产业发展。</w:t>
      </w:r>
    </w:p>
    <w:p w14:paraId="01F628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负责全市环境污染防治的监督管理。组织制定并监督实施全市大气、水、土壤、噪声、光、恶臭、固体废物、化学品、机动车等的污染防治管理制度。会同有关部门监督管理饮用水水源地生态环境保护工作，组织指导城乡生态环境综合整治工作，监督指导农业面源污染治理工作。监督指导区域大气环境保护工作，牵头建立区域大气污染联防联控协作机制并监督实施。按职责分工组织开展全市强制性清洁生产审核工作。</w:t>
      </w:r>
    </w:p>
    <w:p w14:paraId="24DF1D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指导协调和监督全市生态保护修复工作。组织编制和监督实施生态保护规划，监督对生态环境有影响的自然资源开发利用活动、重要生态环境建设和生态破坏恢复工作。组织、指导生态示范创建工作。组织制定全市各类自然保护地生态环境监管制度并监督执法，承担自然保护地、生态保护红线相关监管工作。监督野生动植物保护、湿地生态环境保护、荒漠化防治等工作。指导协调和监督全市农村生态环境保护，监督生物技术环境安全，牵头生物物种（含遗传资源）工作，组织协调生物多样性保护工作，参与生态保护补偿工作。</w:t>
      </w:r>
    </w:p>
    <w:p w14:paraId="678710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负责全市核与辐射安全的监督管理。贯彻执行国家、省核与辐射安全法律、法规、规章、政策、规划和技术标准。负责辐射环境事故应急处理工作，参与核事故应急处理。监督管理放射源与射线装置安全，监督管理全市核技术应用、电磁辐射、伴有放射性矿产资源开发利用中的污染防治。负责核与辐射建设项目“三同时”（同时设计、同时施工、同时投产使用）管理工作，参与核设施安全、核设施污染防治监督管理相关工作，参与对核材料的管制和民用核安全设备的设计、制造、安装和无损检验活动的监督管理。负责核与辐射环境监测和执法工作。参与反生化、核与辐射恐怖事件的防范和处理。</w:t>
      </w:r>
    </w:p>
    <w:p w14:paraId="54D6A32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负责全市生态环境准入的监督管理。受市政府委托对重大经济和技术政策、发展规划以及重大经济开发计划进行环境影响评价。按规定审批或审查重大开发建设区域、规划、项目环境影响评价文件。拟订并组织实施全市生态环境准入清单。</w:t>
      </w:r>
    </w:p>
    <w:p w14:paraId="071CC1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负责全市生态环境监测、统计和信息发布工作。监督执行国家、省颁布的各类环境标准，负责全市环境监测制度和规范相关工作。会同有关部门统一规划全市生态环境质量监测站点设置，组织实施生态环境质量监测、污染源监督性监测、温室气体减排监测、应急监测。组织对全市生态环境质量状况进行调查评价、预警预测，组织建设和管理全市生态环境监测网和生态环境信息网。负责全市生态环境质量考核和生态环境统计工作。建立和实行生态环境质量公告制度，统一发布全市生态环境综合性报告和重大环境信息。</w:t>
      </w:r>
    </w:p>
    <w:p w14:paraId="3127AD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（十）负责应对气候变化工作。组织实施国家、省应对气候变化及温室气体减排重大战略、规划和政策，组织拟订全市应对气候变化的规划和政策措施。</w:t>
      </w:r>
    </w:p>
    <w:p w14:paraId="4A90BB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负责生态环境保护领域的综合行政执法工作。组织开展全市生态环境保护执法检查。监督实施全市建设项目生态环境保护设施“三同时”制度。查处全市重大生态环境违法问题。负责全市生态环境保护综合执法队伍建设并指导开展业务工作。</w:t>
      </w:r>
    </w:p>
    <w:p w14:paraId="19FAA4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组织指导和协调全市生态环境宣传教育工作。制定并组织实施全市生态环境保护宣传教育有关规划和计划。推动社会组织和公众参与生态环境保护。会同有关部门依法对全市保护和改善生态环境有显著成绩的单位和个人给予表彰和奖励。</w:t>
      </w:r>
    </w:p>
    <w:p w14:paraId="79C7B65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（十三）开展全市生态环境科技工作。管理全市生态环境保护科技成果并推广应用。组织开展全市生态环境重大科学研究和技术工程示范，推动生态环境技术管理体系建设。</w:t>
      </w:r>
    </w:p>
    <w:p w14:paraId="7D3E42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（十四）开展生态环境对外交流与合作。参与协调市内重要生态环境保护国际活动和区域合作，管理全市生态环境系统对外经济合作，参与处理涉外生态环境保护事务，负责与环境保护国际组织的联系工作。</w:t>
      </w:r>
    </w:p>
    <w:p w14:paraId="219DDB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（十五）负责职责范围内安全生产和职业健康、审批服务便民化等工作。</w:t>
      </w:r>
    </w:p>
    <w:p w14:paraId="47A1DD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（十六）完成市委、市政府和省生态环境厅交办的其他任务。</w:t>
      </w:r>
    </w:p>
    <w:p w14:paraId="28165B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七）职能转变。统一行使全市生态和城乡各类污染排放监管职责，按照国家、省确定的综合行政执法改革要求实施与此对应的行政执法职责，统一负责全市生态环境质量监测、调查评价和考核，切实履行监管责任，加强事中事后监管，全面落实大气、水、土壤污染防治行动计划，强化固体废物、化学品、重金属污染防治监督管理。构建政府为主导、企业为主体、社会组织和公众共同参与的生态环境治理体系，实施最严格的生态环境保护制度，严守生态保护红线和环境质量底线，坚决打好污染防治攻坚战，筑牢长江上游生态屏障，保障生态安全。</w:t>
      </w:r>
    </w:p>
    <w:p w14:paraId="43AAD81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30"/>
          <w:rFonts w:ascii="Times New Roman" w:hAnsi="Times New Roman"/>
          <w:b w:val="0"/>
          <w:bCs w:val="0"/>
          <w:color w:val="auto"/>
          <w:sz w:val="32"/>
          <w:szCs w:val="32"/>
          <w:highlight w:val="none"/>
        </w:rPr>
      </w:pPr>
      <w:r>
        <w:rPr>
          <w:rFonts w:hint="eastAsia" w:ascii="Times New Roman" w:hAnsi="Times New Roman" w:eastAsia="黑体"/>
          <w:b w:val="0"/>
          <w:color w:val="auto"/>
          <w:sz w:val="32"/>
          <w:szCs w:val="32"/>
          <w:highlight w:val="none"/>
        </w:rPr>
        <w:t>二、机</w:t>
      </w:r>
      <w:r>
        <w:rPr>
          <w:rStyle w:val="30"/>
          <w:rFonts w:hint="eastAsia" w:ascii="Times New Roman" w:hAnsi="Times New Roman" w:eastAsia="黑体"/>
          <w:b w:val="0"/>
          <w:bCs w:val="0"/>
          <w:color w:val="auto"/>
          <w:sz w:val="32"/>
          <w:szCs w:val="32"/>
          <w:highlight w:val="none"/>
        </w:rPr>
        <w:t>构设置</w:t>
      </w:r>
      <w:bookmarkEnd w:id="10"/>
      <w:bookmarkEnd w:id="11"/>
    </w:p>
    <w:p w14:paraId="422A605A">
      <w:pPr>
        <w:keepNext w:val="0"/>
        <w:keepLines w:val="0"/>
        <w:pageBreakBefore w:val="0"/>
        <w:widowControl w:val="0"/>
        <w:kinsoku/>
        <w:wordWrap/>
        <w:overflowPunct/>
        <w:topLinePunct w:val="0"/>
        <w:autoSpaceDE/>
        <w:autoSpaceDN/>
        <w:bidi w:val="0"/>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攀枝花市生态环境局下属二级</w:t>
      </w:r>
      <w:r>
        <w:rPr>
          <w:rFonts w:hint="eastAsia" w:ascii="仿宋_GB2312" w:hAnsi="仿宋_GB2312" w:eastAsia="仿宋_GB2312" w:cs="仿宋_GB2312"/>
          <w:color w:val="auto"/>
          <w:sz w:val="32"/>
          <w:szCs w:val="32"/>
          <w:highlight w:val="none"/>
          <w:lang w:eastAsia="zh-CN"/>
        </w:rPr>
        <w:t>预算</w:t>
      </w:r>
      <w:r>
        <w:rPr>
          <w:rFonts w:hint="eastAsia" w:ascii="仿宋_GB2312" w:hAnsi="仿宋_GB2312" w:eastAsia="仿宋_GB2312" w:cs="仿宋_GB2312"/>
          <w:color w:val="auto"/>
          <w:sz w:val="32"/>
          <w:szCs w:val="32"/>
          <w:highlight w:val="none"/>
        </w:rPr>
        <w:t>单位</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个，其中行政单位</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个，参照公务员法管理的事业单位</w:t>
      </w:r>
      <w:r>
        <w:rPr>
          <w:rFonts w:hint="eastAsia" w:ascii="仿宋_GB2312" w:hAnsi="仿宋_GB2312" w:eastAsia="仿宋_GB2312" w:cs="仿宋_GB2312"/>
          <w:bCs/>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个，其他事业单位</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个。</w:t>
      </w:r>
    </w:p>
    <w:p w14:paraId="33F20FB6">
      <w:pPr>
        <w:pStyle w:val="6"/>
        <w:keepNext w:val="0"/>
        <w:keepLines w:val="0"/>
        <w:pageBreakBefore w:val="0"/>
        <w:widowControl w:val="0"/>
        <w:kinsoku/>
        <w:wordWrap/>
        <w:overflowPunct/>
        <w:topLinePunct w:val="0"/>
        <w:autoSpaceDE/>
        <w:autoSpaceDN/>
        <w:bidi w:val="0"/>
        <w:adjustRightInd w:val="0"/>
        <w:snapToGrid w:val="0"/>
        <w:spacing w:before="93" w:line="600" w:lineRule="exact"/>
        <w:ind w:firstLine="672" w:firstLineChars="21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纳入攀枝花市生态环境局</w:t>
      </w:r>
      <w:r>
        <w:rPr>
          <w:rFonts w:hint="eastAsia" w:ascii="仿宋_GB2312" w:hAnsi="仿宋_GB2312" w:eastAsia="仿宋_GB2312" w:cs="仿宋_GB2312"/>
          <w:color w:val="auto"/>
          <w:sz w:val="32"/>
          <w:szCs w:val="32"/>
          <w:highlight w:val="none"/>
          <w:lang w:eastAsia="zh-CN"/>
        </w:rPr>
        <w:t>2025年度</w:t>
      </w:r>
      <w:r>
        <w:rPr>
          <w:rFonts w:hint="eastAsia" w:ascii="仿宋_GB2312" w:hAnsi="仿宋_GB2312" w:eastAsia="仿宋_GB2312" w:cs="仿宋_GB2312"/>
          <w:color w:val="auto"/>
          <w:sz w:val="32"/>
          <w:szCs w:val="32"/>
          <w:highlight w:val="none"/>
        </w:rPr>
        <w:t>部门决算编制范围的二级预算单位包括：</w:t>
      </w:r>
    </w:p>
    <w:p w14:paraId="3D50F5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bookmarkStart w:id="12" w:name="_Toc15377434"/>
      <w:bookmarkStart w:id="13" w:name="_Toc15306277"/>
      <w:bookmarkStart w:id="14" w:name="_Toc15378450"/>
      <w:bookmarkStart w:id="15" w:name="_Toc15377203"/>
      <w:r>
        <w:rPr>
          <w:rFonts w:hint="eastAsia" w:ascii="仿宋_GB2312" w:hAnsi="仿宋_GB2312" w:eastAsia="仿宋_GB2312" w:cs="仿宋_GB2312"/>
          <w:sz w:val="32"/>
          <w:szCs w:val="32"/>
        </w:rPr>
        <w:t>1.攀枝花市生态环境局</w:t>
      </w:r>
    </w:p>
    <w:p w14:paraId="56A365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2.攀枝花市东区生态环境局</w:t>
      </w:r>
    </w:p>
    <w:p w14:paraId="7094CE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3.攀枝花市西区生态环境局</w:t>
      </w:r>
    </w:p>
    <w:p w14:paraId="553179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4.攀枝花市仁和生态环境局</w:t>
      </w:r>
    </w:p>
    <w:p w14:paraId="0DB089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5.攀枝花市米易生态环境局</w:t>
      </w:r>
    </w:p>
    <w:p w14:paraId="625D6C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6.攀枝花市盐边生态环境局</w:t>
      </w:r>
    </w:p>
    <w:p w14:paraId="626CBC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7.攀枝花市西区生态环境监测站</w:t>
      </w:r>
    </w:p>
    <w:p w14:paraId="65F45E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8.攀枝花市仁和生态环境监测站</w:t>
      </w:r>
    </w:p>
    <w:p w14:paraId="51AAE21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9.攀枝花市米易生态环境监测站</w:t>
      </w:r>
    </w:p>
    <w:p w14:paraId="1A3C5A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
          <w:color w:val="auto"/>
          <w:kern w:val="0"/>
          <w:sz w:val="32"/>
          <w:szCs w:val="32"/>
          <w:highlight w:val="none"/>
        </w:rPr>
      </w:pPr>
      <w:r>
        <w:rPr>
          <w:rFonts w:hint="eastAsia" w:ascii="仿宋_GB2312" w:hAnsi="仿宋_GB2312" w:eastAsia="仿宋_GB2312" w:cs="仿宋_GB2312"/>
          <w:sz w:val="32"/>
          <w:szCs w:val="32"/>
          <w:lang w:val="en-US" w:eastAsia="zh-CN"/>
        </w:rPr>
        <w:t>10.攀枝花市盐边生态环境监测站</w:t>
      </w:r>
      <w:bookmarkEnd w:id="12"/>
      <w:bookmarkEnd w:id="13"/>
      <w:bookmarkEnd w:id="14"/>
      <w:bookmarkEnd w:id="15"/>
      <w:r>
        <w:rPr>
          <w:rFonts w:ascii="Times New Roman" w:hAnsi="Times New Roman" w:eastAsia="仿宋"/>
          <w:color w:val="auto"/>
          <w:sz w:val="32"/>
          <w:szCs w:val="32"/>
          <w:highlight w:val="none"/>
        </w:rPr>
        <w:br w:type="page"/>
      </w:r>
    </w:p>
    <w:p w14:paraId="5BC283AB">
      <w:pPr>
        <w:pStyle w:val="2"/>
        <w:pageBreakBefore w:val="0"/>
        <w:kinsoku/>
        <w:wordWrap/>
        <w:overflowPunct/>
        <w:topLinePunct w:val="0"/>
        <w:autoSpaceDE/>
        <w:autoSpaceDN/>
        <w:bidi w:val="0"/>
        <w:spacing w:line="600" w:lineRule="exact"/>
        <w:jc w:val="center"/>
        <w:textAlignment w:val="auto"/>
        <w:rPr>
          <w:rFonts w:ascii="Times New Roman" w:hAnsi="Times New Roman"/>
          <w:color w:val="auto"/>
          <w:highlight w:val="none"/>
        </w:rPr>
      </w:pPr>
      <w:bookmarkStart w:id="16" w:name="_Toc15396602"/>
      <w:bookmarkStart w:id="17" w:name="_Toc15377204"/>
      <w:r>
        <w:rPr>
          <w:rFonts w:hint="eastAsia" w:ascii="方正小标宋_GBK" w:hAnsi="方正小标宋_GBK" w:eastAsia="方正小标宋_GBK" w:cs="方正小标宋_GBK"/>
          <w:b w:val="0"/>
          <w:color w:val="auto"/>
          <w:highlight w:val="none"/>
        </w:rPr>
        <w:t>第二部分</w:t>
      </w:r>
      <w:r>
        <w:rPr>
          <w:rFonts w:hint="eastAsia" w:ascii="方正小标宋_GBK" w:hAnsi="方正小标宋_GBK" w:eastAsia="方正小标宋_GBK" w:cs="方正小标宋_GBK"/>
          <w:b w:val="0"/>
          <w:color w:val="auto"/>
          <w:highlight w:val="none"/>
          <w:lang w:val="en-US" w:eastAsia="zh-CN"/>
        </w:rPr>
        <w:t xml:space="preserve"> </w:t>
      </w:r>
      <w:r>
        <w:rPr>
          <w:rFonts w:hint="eastAsia" w:ascii="方正小标宋_GBK" w:hAnsi="方正小标宋_GBK" w:eastAsia="方正小标宋_GBK" w:cs="方正小标宋_GBK"/>
          <w:b w:val="0"/>
          <w:color w:val="auto"/>
          <w:highlight w:val="none"/>
        </w:rPr>
        <w:t xml:space="preserve"> </w:t>
      </w:r>
      <w:r>
        <w:rPr>
          <w:rFonts w:hint="eastAsia" w:ascii="方正小标宋_GBK" w:hAnsi="方正小标宋_GBK" w:eastAsia="方正小标宋_GBK" w:cs="方正小标宋_GBK"/>
          <w:b w:val="0"/>
          <w:color w:val="auto"/>
          <w:highlight w:val="none"/>
          <w:lang w:val="en-US" w:eastAsia="zh-CN"/>
        </w:rPr>
        <w:t>2025年度</w:t>
      </w:r>
      <w:r>
        <w:rPr>
          <w:rFonts w:hint="eastAsia" w:ascii="方正小标宋_GBK" w:hAnsi="方正小标宋_GBK" w:eastAsia="方正小标宋_GBK" w:cs="方正小标宋_GBK"/>
          <w:b w:val="0"/>
          <w:color w:val="auto"/>
          <w:highlight w:val="none"/>
        </w:rPr>
        <w:t>部门决算情况说明</w:t>
      </w:r>
      <w:bookmarkEnd w:id="16"/>
      <w:bookmarkEnd w:id="17"/>
    </w:p>
    <w:p w14:paraId="46D3CDC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8" w:name="_Toc15396603"/>
      <w:bookmarkStart w:id="19"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8"/>
      <w:bookmarkEnd w:id="19"/>
    </w:p>
    <w:p w14:paraId="0171E21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textAlignment w:val="auto"/>
        <w:outlineLvl w:val="1"/>
        <w:rPr>
          <w:rFonts w:hint="eastAsia" w:ascii="仿宋_GB2312" w:hAnsi="仿宋_GB2312" w:eastAsia="仿宋_GB2312" w:cs="仿宋_GB2312"/>
          <w:color w:val="auto"/>
          <w:sz w:val="30"/>
          <w:szCs w:val="30"/>
          <w:highlight w:val="none"/>
          <w:lang w:eastAsia="zh-CN"/>
        </w:rPr>
      </w:pPr>
      <w:r>
        <w:rPr>
          <w:rFonts w:hint="eastAsia" w:ascii="仿宋_GB2312" w:hAnsi="仿宋_GB2312" w:eastAsia="仿宋_GB2312" w:cs="仿宋_GB2312"/>
          <w:color w:val="auto"/>
          <w:sz w:val="30"/>
          <w:szCs w:val="30"/>
          <w:highlight w:val="none"/>
          <w:lang w:eastAsia="zh-CN"/>
        </w:rPr>
        <w:t>2025年度收入</w:t>
      </w:r>
      <w:r>
        <w:rPr>
          <w:rFonts w:hint="eastAsia" w:ascii="仿宋_GB2312" w:hAnsi="仿宋_GB2312" w:eastAsia="仿宋_GB2312" w:cs="仿宋_GB2312"/>
          <w:color w:val="auto"/>
          <w:sz w:val="30"/>
          <w:szCs w:val="30"/>
          <w:highlight w:val="none"/>
        </w:rPr>
        <w:t>、</w:t>
      </w:r>
      <w:r>
        <w:rPr>
          <w:rFonts w:hint="eastAsia" w:ascii="仿宋_GB2312" w:hAnsi="仿宋_GB2312" w:eastAsia="仿宋_GB2312" w:cs="仿宋_GB2312"/>
          <w:color w:val="auto"/>
          <w:sz w:val="30"/>
          <w:szCs w:val="30"/>
          <w:highlight w:val="none"/>
          <w:lang w:eastAsia="zh-CN"/>
        </w:rPr>
        <w:t>支出</w:t>
      </w:r>
      <w:r>
        <w:rPr>
          <w:rFonts w:hint="eastAsia" w:ascii="仿宋_GB2312" w:hAnsi="仿宋_GB2312" w:eastAsia="仿宋_GB2312" w:cs="仿宋_GB2312"/>
          <w:color w:val="auto"/>
          <w:sz w:val="30"/>
          <w:szCs w:val="30"/>
          <w:highlight w:val="none"/>
        </w:rPr>
        <w:t>总计</w:t>
      </w:r>
      <w:r>
        <w:rPr>
          <w:rFonts w:hint="eastAsia" w:ascii="仿宋_GB2312" w:hAnsi="仿宋_GB2312" w:eastAsia="仿宋_GB2312" w:cs="仿宋_GB2312"/>
          <w:color w:val="auto"/>
          <w:sz w:val="30"/>
          <w:szCs w:val="30"/>
          <w:highlight w:val="none"/>
          <w:lang w:eastAsia="zh-CN"/>
        </w:rPr>
        <w:t>均为</w:t>
      </w:r>
      <w:r>
        <w:rPr>
          <w:rFonts w:hint="eastAsia" w:ascii="仿宋_GB2312" w:hAnsi="仿宋_GB2312" w:eastAsia="仿宋_GB2312" w:cs="仿宋_GB2312"/>
          <w:sz w:val="30"/>
          <w:szCs w:val="30"/>
        </w:rPr>
        <w:t>12091.07</w:t>
      </w:r>
      <w:r>
        <w:rPr>
          <w:rFonts w:hint="eastAsia" w:ascii="仿宋_GB2312" w:hAnsi="仿宋_GB2312" w:eastAsia="仿宋_GB2312" w:cs="仿宋_GB2312"/>
          <w:color w:val="auto"/>
          <w:sz w:val="30"/>
          <w:szCs w:val="30"/>
          <w:highlight w:val="none"/>
        </w:rPr>
        <w:t>万元。与</w:t>
      </w:r>
      <w:r>
        <w:rPr>
          <w:rFonts w:hint="eastAsia" w:ascii="仿宋_GB2312" w:hAnsi="仿宋_GB2312" w:eastAsia="仿宋_GB2312" w:cs="仿宋_GB2312"/>
          <w:color w:val="auto"/>
          <w:sz w:val="30"/>
          <w:szCs w:val="30"/>
          <w:highlight w:val="none"/>
          <w:lang w:eastAsia="zh-CN"/>
        </w:rPr>
        <w:t>上</w:t>
      </w:r>
      <w:r>
        <w:rPr>
          <w:rFonts w:hint="eastAsia" w:ascii="仿宋_GB2312" w:hAnsi="仿宋_GB2312" w:eastAsia="仿宋_GB2312" w:cs="仿宋_GB2312"/>
          <w:color w:val="auto"/>
          <w:sz w:val="30"/>
          <w:szCs w:val="30"/>
          <w:highlight w:val="none"/>
        </w:rPr>
        <w:t>年</w:t>
      </w:r>
      <w:r>
        <w:rPr>
          <w:rFonts w:hint="eastAsia" w:ascii="仿宋_GB2312" w:hAnsi="仿宋_GB2312" w:eastAsia="仿宋_GB2312" w:cs="仿宋_GB2312"/>
          <w:color w:val="auto"/>
          <w:sz w:val="30"/>
          <w:szCs w:val="30"/>
          <w:highlight w:val="none"/>
          <w:lang w:eastAsia="zh-CN"/>
        </w:rPr>
        <w:t>度</w:t>
      </w:r>
      <w:r>
        <w:rPr>
          <w:rFonts w:hint="eastAsia" w:ascii="仿宋_GB2312" w:hAnsi="仿宋_GB2312" w:eastAsia="仿宋_GB2312" w:cs="仿宋_GB2312"/>
          <w:color w:val="auto"/>
          <w:sz w:val="30"/>
          <w:szCs w:val="30"/>
          <w:highlight w:val="none"/>
        </w:rPr>
        <w:t>相比，</w:t>
      </w:r>
      <w:r>
        <w:rPr>
          <w:rFonts w:hint="eastAsia" w:ascii="仿宋_GB2312" w:hAnsi="仿宋_GB2312" w:eastAsia="仿宋_GB2312" w:cs="仿宋_GB2312"/>
          <w:color w:val="auto"/>
          <w:sz w:val="30"/>
          <w:szCs w:val="30"/>
          <w:highlight w:val="none"/>
          <w:lang w:eastAsia="zh-CN"/>
        </w:rPr>
        <w:t>收入</w:t>
      </w:r>
      <w:r>
        <w:rPr>
          <w:rFonts w:hint="eastAsia" w:ascii="仿宋_GB2312" w:hAnsi="仿宋_GB2312" w:eastAsia="仿宋_GB2312" w:cs="仿宋_GB2312"/>
          <w:color w:val="auto"/>
          <w:sz w:val="30"/>
          <w:szCs w:val="30"/>
          <w:highlight w:val="none"/>
        </w:rPr>
        <w:t>、</w:t>
      </w:r>
      <w:r>
        <w:rPr>
          <w:rFonts w:hint="eastAsia" w:ascii="仿宋_GB2312" w:hAnsi="仿宋_GB2312" w:eastAsia="仿宋_GB2312" w:cs="仿宋_GB2312"/>
          <w:color w:val="auto"/>
          <w:sz w:val="30"/>
          <w:szCs w:val="30"/>
          <w:highlight w:val="none"/>
          <w:lang w:eastAsia="zh-CN"/>
        </w:rPr>
        <w:t>支出</w:t>
      </w:r>
      <w:r>
        <w:rPr>
          <w:rFonts w:hint="eastAsia" w:ascii="仿宋_GB2312" w:hAnsi="仿宋_GB2312" w:eastAsia="仿宋_GB2312" w:cs="仿宋_GB2312"/>
          <w:color w:val="auto"/>
          <w:sz w:val="30"/>
          <w:szCs w:val="30"/>
          <w:highlight w:val="none"/>
        </w:rPr>
        <w:t>总计各减少</w:t>
      </w:r>
      <w:r>
        <w:rPr>
          <w:rFonts w:hint="eastAsia" w:ascii="仿宋_GB2312" w:hAnsi="仿宋_GB2312" w:eastAsia="仿宋_GB2312" w:cs="仿宋_GB2312"/>
          <w:color w:val="auto"/>
          <w:sz w:val="30"/>
          <w:szCs w:val="30"/>
          <w:highlight w:val="none"/>
          <w:lang w:val="en-US" w:eastAsia="zh-CN"/>
        </w:rPr>
        <w:t>2933.8</w:t>
      </w:r>
      <w:r>
        <w:rPr>
          <w:rFonts w:hint="eastAsia" w:ascii="仿宋_GB2312" w:hAnsi="仿宋_GB2312" w:eastAsia="仿宋_GB2312" w:cs="仿宋_GB2312"/>
          <w:color w:val="auto"/>
          <w:sz w:val="30"/>
          <w:szCs w:val="30"/>
          <w:highlight w:val="none"/>
        </w:rPr>
        <w:t>万元，下降</w:t>
      </w:r>
      <w:r>
        <w:rPr>
          <w:rFonts w:hint="eastAsia" w:ascii="仿宋_GB2312" w:hAnsi="仿宋_GB2312" w:eastAsia="仿宋_GB2312" w:cs="仿宋_GB2312"/>
          <w:color w:val="auto"/>
          <w:sz w:val="30"/>
          <w:szCs w:val="30"/>
          <w:highlight w:val="none"/>
          <w:lang w:val="en-US" w:eastAsia="zh-CN"/>
        </w:rPr>
        <w:t>19.5</w:t>
      </w:r>
      <w:r>
        <w:rPr>
          <w:rFonts w:hint="eastAsia" w:ascii="仿宋_GB2312" w:hAnsi="仿宋_GB2312" w:eastAsia="仿宋_GB2312" w:cs="仿宋_GB2312"/>
          <w:color w:val="auto"/>
          <w:sz w:val="30"/>
          <w:szCs w:val="30"/>
          <w:highlight w:val="none"/>
        </w:rPr>
        <w:t>%。主要变动原因是</w:t>
      </w:r>
      <w:r>
        <w:rPr>
          <w:rFonts w:hint="eastAsia" w:ascii="仿宋_GB2312" w:hAnsi="仿宋_GB2312" w:eastAsia="仿宋_GB2312" w:cs="仿宋_GB2312"/>
          <w:color w:val="auto"/>
          <w:sz w:val="30"/>
          <w:szCs w:val="30"/>
          <w:highlight w:val="none"/>
          <w:lang w:eastAsia="zh-CN"/>
        </w:rPr>
        <w:t>本年度项目支出安排的经费减少。</w:t>
      </w:r>
    </w:p>
    <w:p w14:paraId="76CD310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p>
    <w:p w14:paraId="098D655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p>
    <w:p w14:paraId="4EFFA00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p>
    <w:p w14:paraId="16EC24A4">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p>
    <w:p w14:paraId="3FA7105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p>
    <w:p w14:paraId="19D5E25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p>
    <w:p w14:paraId="37BDC6DD">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sz w:val="32"/>
          <w:szCs w:val="32"/>
          <w:highlight w:val="none"/>
        </w:rPr>
      </w:pPr>
    </w:p>
    <w:p w14:paraId="69F60EFB">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1"/>
        <w:rPr>
          <w:rFonts w:hint="eastAsia" w:ascii="仿宋_GB2312" w:hAnsi="仿宋_GB2312" w:eastAsia="仿宋_GB2312" w:cs="仿宋_GB2312"/>
          <w:color w:val="auto"/>
          <w:sz w:val="32"/>
          <w:szCs w:val="32"/>
          <w:highlight w:val="none"/>
        </w:rPr>
      </w:pPr>
      <w:r>
        <w:rPr>
          <w:rFonts w:hint="eastAsia"/>
          <w:lang w:val="en-US" w:eastAsia="zh-CN"/>
        </w:rPr>
        <w:t xml:space="preserve">    </w:t>
      </w:r>
      <w:r>
        <w:drawing>
          <wp:anchor distT="0" distB="0" distL="114300" distR="114300" simplePos="0" relativeHeight="251659264" behindDoc="0" locked="0" layoutInCell="1" allowOverlap="1">
            <wp:simplePos x="0" y="0"/>
            <wp:positionH relativeFrom="column">
              <wp:posOffset>537845</wp:posOffset>
            </wp:positionH>
            <wp:positionV relativeFrom="paragraph">
              <wp:posOffset>-2338705</wp:posOffset>
            </wp:positionV>
            <wp:extent cx="4086225" cy="2628900"/>
            <wp:effectExtent l="4445" t="4445" r="5080" b="14605"/>
            <wp:wrapNone/>
            <wp:docPr id="83700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273DD7C1">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图1：</w:t>
      </w:r>
      <w:r>
        <w:rPr>
          <w:rFonts w:hint="eastAsia" w:ascii="仿宋_GB2312" w:hAnsi="仿宋_GB2312" w:eastAsia="仿宋_GB2312" w:cs="仿宋_GB2312"/>
          <w:color w:val="auto"/>
          <w:sz w:val="32"/>
          <w:szCs w:val="32"/>
          <w:highlight w:val="none"/>
          <w:lang w:eastAsia="zh-CN"/>
        </w:rPr>
        <w:t>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决算总计变动情况图</w:t>
      </w:r>
      <w:r>
        <w:rPr>
          <w:rFonts w:hint="eastAsia" w:ascii="仿宋_GB2312" w:hAnsi="仿宋_GB2312" w:eastAsia="仿宋_GB2312" w:cs="仿宋_GB2312"/>
          <w:color w:val="auto"/>
          <w:sz w:val="32"/>
          <w:szCs w:val="32"/>
          <w:highlight w:val="none"/>
          <w:lang w:eastAsia="zh-CN"/>
        </w:rPr>
        <w:t>（单位：万元）</w:t>
      </w:r>
    </w:p>
    <w:p w14:paraId="7D14467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0" w:name="_Toc15396604"/>
      <w:bookmarkStart w:id="21" w:name="_Toc15377206"/>
      <w:r>
        <w:rPr>
          <w:rFonts w:hint="eastAsia" w:ascii="Times New Roman" w:hAnsi="Times New Roman" w:eastAsia="黑体"/>
          <w:color w:val="auto"/>
          <w:sz w:val="32"/>
          <w:szCs w:val="32"/>
          <w:highlight w:val="none"/>
          <w:lang w:eastAsia="zh-CN"/>
        </w:rPr>
        <w:t>二、收入决算情况说明</w:t>
      </w:r>
      <w:bookmarkEnd w:id="20"/>
      <w:bookmarkEnd w:id="21"/>
    </w:p>
    <w:p w14:paraId="1BBCA1E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2025年度本年收入合计</w:t>
      </w:r>
      <w:r>
        <w:rPr>
          <w:rFonts w:hint="eastAsia" w:ascii="仿宋_GB2312" w:hAnsi="仿宋_GB2312" w:eastAsia="仿宋_GB2312" w:cs="仿宋_GB2312"/>
          <w:sz w:val="32"/>
          <w:szCs w:val="32"/>
        </w:rPr>
        <w:t>11920.66</w:t>
      </w:r>
      <w:r>
        <w:rPr>
          <w:rFonts w:hint="eastAsia" w:ascii="仿宋_GB2312" w:hAnsi="仿宋_GB2312" w:eastAsia="仿宋_GB2312" w:cs="仿宋_GB2312"/>
          <w:color w:val="auto"/>
          <w:sz w:val="32"/>
          <w:szCs w:val="32"/>
          <w:highlight w:val="none"/>
          <w:lang w:eastAsia="zh-CN"/>
        </w:rPr>
        <w:t>万元，其中：一般公共预算财政拨款收入</w:t>
      </w:r>
      <w:r>
        <w:rPr>
          <w:rFonts w:hint="eastAsia" w:ascii="仿宋_GB2312" w:hAnsi="仿宋_GB2312" w:eastAsia="仿宋_GB2312" w:cs="仿宋_GB2312"/>
          <w:sz w:val="32"/>
          <w:szCs w:val="32"/>
        </w:rPr>
        <w:t>6311.58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52.9</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5609.08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47.</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auto"/>
          <w:sz w:val="32"/>
          <w:szCs w:val="32"/>
          <w:highlight w:val="none"/>
          <w:lang w:eastAsia="zh-CN"/>
        </w:rPr>
        <w:t>%。</w:t>
      </w:r>
    </w:p>
    <w:p w14:paraId="41A5D07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p>
    <w:p w14:paraId="2B40635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p>
    <w:p w14:paraId="752F988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p>
    <w:p w14:paraId="2AB80A9B">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仿宋_GB2312" w:hAnsi="仿宋_GB2312" w:eastAsia="仿宋_GB2312" w:cs="仿宋_GB2312"/>
          <w:color w:val="auto"/>
          <w:sz w:val="32"/>
          <w:szCs w:val="32"/>
          <w:highlight w:val="none"/>
          <w:lang w:eastAsia="zh-CN"/>
        </w:rPr>
      </w:pPr>
    </w:p>
    <w:p w14:paraId="308BF4F1">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183FC2B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527D862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3087DFF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663A757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48DAC338">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628B4548">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01EF1BC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1"/>
        <w:rPr>
          <w:rFonts w:hint="eastAsia" w:ascii="Times New Roman" w:hAnsi="Times New Roman" w:eastAsia="仿宋_GB2312" w:cs="仿宋_GB2312"/>
          <w:color w:val="auto"/>
          <w:sz w:val="32"/>
          <w:szCs w:val="32"/>
          <w:highlight w:val="none"/>
          <w:lang w:eastAsia="zh-CN"/>
        </w:rPr>
      </w:pPr>
      <w:r>
        <w:drawing>
          <wp:anchor distT="0" distB="0" distL="114300" distR="114300" simplePos="0" relativeHeight="251660288"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None/>
            <wp:docPr id="83700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3C0957C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1280" w:firstLineChars="400"/>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图2：收入决算结构图（单位：万元）</w:t>
      </w:r>
    </w:p>
    <w:p w14:paraId="53E25418">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2" w:name="_Toc15377207"/>
      <w:bookmarkStart w:id="23"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22"/>
      <w:bookmarkEnd w:id="23"/>
    </w:p>
    <w:p w14:paraId="435F405A">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2025年度本年支出合计</w:t>
      </w:r>
      <w:r>
        <w:rPr>
          <w:rFonts w:hint="eastAsia" w:ascii="仿宋_GB2312" w:hAnsi="仿宋_GB2312" w:eastAsia="仿宋_GB2312" w:cs="仿宋_GB2312"/>
          <w:sz w:val="32"/>
          <w:szCs w:val="32"/>
        </w:rPr>
        <w:t>12071.15</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5056.15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7014.99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58.1</w:t>
      </w:r>
      <w:r>
        <w:rPr>
          <w:rFonts w:hint="eastAsia" w:ascii="仿宋_GB2312" w:hAnsi="仿宋_GB2312" w:eastAsia="仿宋_GB2312" w:cs="仿宋_GB2312"/>
          <w:color w:val="auto"/>
          <w:sz w:val="32"/>
          <w:szCs w:val="32"/>
          <w:highlight w:val="none"/>
          <w:lang w:eastAsia="zh-CN"/>
        </w:rPr>
        <w:t>%。</w:t>
      </w:r>
    </w:p>
    <w:p w14:paraId="3223F8EA">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eastAsia="zh-CN"/>
        </w:rPr>
      </w:pPr>
    </w:p>
    <w:p w14:paraId="441BBC7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eastAsia="zh-CN"/>
        </w:rPr>
      </w:pPr>
    </w:p>
    <w:p w14:paraId="1A851B9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eastAsia="zh-CN"/>
        </w:rPr>
      </w:pPr>
    </w:p>
    <w:p w14:paraId="4084B6C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eastAsia="zh-CN"/>
        </w:rPr>
      </w:pPr>
    </w:p>
    <w:p w14:paraId="6A410A6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eastAsia="zh-CN"/>
        </w:rPr>
      </w:pPr>
    </w:p>
    <w:p w14:paraId="102678C4">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1"/>
        <w:rPr>
          <w:rFonts w:hint="eastAsia" w:eastAsia="仿宋_GB2312" w:cs="仿宋_GB2312"/>
          <w:color w:val="auto"/>
          <w:sz w:val="32"/>
          <w:szCs w:val="32"/>
          <w:highlight w:val="none"/>
          <w:lang w:eastAsia="zh-CN"/>
        </w:rPr>
      </w:pPr>
      <w:r>
        <w:drawing>
          <wp:anchor distT="0" distB="0" distL="114300" distR="114300" simplePos="0" relativeHeight="251661312" behindDoc="0" locked="0" layoutInCell="1" allowOverlap="1">
            <wp:simplePos x="0" y="0"/>
            <wp:positionH relativeFrom="column">
              <wp:posOffset>271145</wp:posOffset>
            </wp:positionH>
            <wp:positionV relativeFrom="paragraph">
              <wp:posOffset>-1767205</wp:posOffset>
            </wp:positionV>
            <wp:extent cx="4286885" cy="2057400"/>
            <wp:effectExtent l="4445" t="4445" r="13970" b="14605"/>
            <wp:wrapNone/>
            <wp:docPr id="83701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456C59B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1280" w:firstLineChars="4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图3：支出决算结构图（单位：万元）</w:t>
      </w:r>
    </w:p>
    <w:p w14:paraId="42AC77D4">
      <w:pPr>
        <w:pageBreakBefore w:val="0"/>
        <w:kinsoku/>
        <w:wordWrap/>
        <w:overflowPunct/>
        <w:topLinePunct w:val="0"/>
        <w:autoSpaceDE/>
        <w:autoSpaceDN/>
        <w:bidi w:val="0"/>
        <w:spacing w:line="600" w:lineRule="exact"/>
        <w:ind w:firstLine="640" w:firstLineChars="200"/>
        <w:textAlignment w:val="auto"/>
        <w:outlineLvl w:val="1"/>
        <w:rPr>
          <w:rStyle w:val="30"/>
          <w:rFonts w:ascii="Times New Roman" w:hAnsi="Times New Roman" w:eastAsia="黑体"/>
          <w:b w:val="0"/>
          <w:color w:val="auto"/>
          <w:highlight w:val="none"/>
        </w:rPr>
      </w:pPr>
      <w:bookmarkStart w:id="24" w:name="_Toc15377208"/>
      <w:bookmarkStart w:id="25" w:name="_Toc15396606"/>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24"/>
      <w:bookmarkEnd w:id="25"/>
    </w:p>
    <w:p w14:paraId="7B5BD884">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2025年度财政拨款收入、支出总计均为</w:t>
      </w:r>
      <w:r>
        <w:rPr>
          <w:rFonts w:hint="eastAsia" w:ascii="仿宋_GB2312" w:hAnsi="仿宋_GB2312" w:eastAsia="仿宋_GB2312" w:cs="仿宋_GB2312"/>
          <w:sz w:val="32"/>
          <w:szCs w:val="32"/>
        </w:rPr>
        <w:t>6311.58</w:t>
      </w:r>
      <w:r>
        <w:rPr>
          <w:rFonts w:hint="eastAsia" w:ascii="仿宋_GB2312" w:hAnsi="仿宋_GB2312" w:eastAsia="仿宋_GB2312" w:cs="仿宋_GB2312"/>
          <w:color w:val="auto"/>
          <w:kern w:val="2"/>
          <w:sz w:val="32"/>
          <w:szCs w:val="32"/>
          <w:highlight w:val="none"/>
          <w:lang w:val="en-US" w:eastAsia="zh-CN" w:bidi="ar-SA"/>
        </w:rPr>
        <w:t>万元。与上年度相比，财政拨款收入、支出总计各减少2187.56万元，下降25.7%。主要变动原因是</w:t>
      </w:r>
      <w:r>
        <w:rPr>
          <w:rFonts w:hint="eastAsia" w:ascii="仿宋_GB2312" w:hAnsi="仿宋_GB2312" w:eastAsia="仿宋_GB2312" w:cs="仿宋_GB2312"/>
          <w:color w:val="auto"/>
          <w:sz w:val="32"/>
          <w:szCs w:val="32"/>
          <w:highlight w:val="none"/>
          <w:lang w:eastAsia="zh-CN"/>
        </w:rPr>
        <w:t>本年度项目支出安排的经费减少。</w:t>
      </w:r>
    </w:p>
    <w:p w14:paraId="17BA8B26">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p>
    <w:p w14:paraId="2D894A13">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p>
    <w:p w14:paraId="0FD3F469">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p>
    <w:p w14:paraId="54F81EC4">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p>
    <w:p w14:paraId="2DC167DC">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p>
    <w:p w14:paraId="6B25793A">
      <w:pPr>
        <w:pageBreakBefore w:val="0"/>
        <w:kinsoku/>
        <w:wordWrap/>
        <w:overflowPunct/>
        <w:topLinePunct w:val="0"/>
        <w:autoSpaceDE/>
        <w:autoSpaceDN/>
        <w:bidi w:val="0"/>
        <w:spacing w:line="600" w:lineRule="exact"/>
        <w:ind w:firstLine="420" w:firstLineChars="200"/>
        <w:textAlignment w:val="auto"/>
        <w:rPr>
          <w:rFonts w:hint="eastAsia" w:ascii="仿宋_GB2312" w:hAnsi="仿宋_GB2312" w:eastAsia="仿宋_GB2312" w:cs="仿宋_GB2312"/>
          <w:color w:val="auto"/>
          <w:kern w:val="2"/>
          <w:sz w:val="32"/>
          <w:szCs w:val="32"/>
          <w:highlight w:val="none"/>
          <w:lang w:val="en-US" w:eastAsia="zh-CN" w:bidi="ar-SA"/>
        </w:rPr>
      </w:pPr>
      <w:r>
        <w:drawing>
          <wp:anchor distT="0" distB="0" distL="114300" distR="114300" simplePos="0" relativeHeight="251662336" behindDoc="0" locked="0" layoutInCell="1" allowOverlap="1">
            <wp:simplePos x="0" y="0"/>
            <wp:positionH relativeFrom="column">
              <wp:posOffset>271145</wp:posOffset>
            </wp:positionH>
            <wp:positionV relativeFrom="paragraph">
              <wp:posOffset>-1652905</wp:posOffset>
            </wp:positionV>
            <wp:extent cx="4352925" cy="1942465"/>
            <wp:effectExtent l="4445" t="4445" r="5080" b="15240"/>
            <wp:wrapNone/>
            <wp:docPr id="83700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4DC62127">
      <w:pPr>
        <w:pageBreakBefore w:val="0"/>
        <w:kinsoku/>
        <w:wordWrap/>
        <w:overflowPunct/>
        <w:topLinePunct w:val="0"/>
        <w:autoSpaceDE/>
        <w:autoSpaceDN/>
        <w:bidi w:val="0"/>
        <w:spacing w:line="600" w:lineRule="exac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图4：财政拨款收、支决算总计变动情况（单位：万元）</w:t>
      </w:r>
    </w:p>
    <w:p w14:paraId="40FFF708">
      <w:pPr>
        <w:pageBreakBefore w:val="0"/>
        <w:kinsoku/>
        <w:wordWrap/>
        <w:overflowPunct/>
        <w:topLinePunct w:val="0"/>
        <w:autoSpaceDE/>
        <w:autoSpaceDN/>
        <w:bidi w:val="0"/>
        <w:spacing w:line="600" w:lineRule="exact"/>
        <w:ind w:firstLine="640" w:firstLineChars="200"/>
        <w:textAlignment w:val="auto"/>
        <w:outlineLvl w:val="1"/>
        <w:rPr>
          <w:rStyle w:val="30"/>
          <w:rFonts w:ascii="Times New Roman" w:hAnsi="Times New Roman" w:eastAsia="黑体"/>
          <w:b w:val="0"/>
          <w:color w:val="auto"/>
          <w:highlight w:val="none"/>
        </w:rPr>
      </w:pPr>
      <w:bookmarkStart w:id="26" w:name="_Toc15396607"/>
      <w:bookmarkStart w:id="27"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26"/>
      <w:bookmarkEnd w:id="27"/>
    </w:p>
    <w:p w14:paraId="2BC83C78">
      <w:pPr>
        <w:pageBreakBefore w:val="0"/>
        <w:kinsoku/>
        <w:wordWrap/>
        <w:overflowPunct/>
        <w:topLinePunct w:val="0"/>
        <w:autoSpaceDE/>
        <w:autoSpaceDN/>
        <w:bidi w:val="0"/>
        <w:spacing w:line="60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2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8"/>
    </w:p>
    <w:p w14:paraId="076FF8DF">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2025年度一般公共预算财政拨款支出</w:t>
      </w:r>
      <w:r>
        <w:rPr>
          <w:rFonts w:hint="eastAsia" w:ascii="仿宋_GB2312" w:hAnsi="仿宋_GB2312" w:eastAsia="仿宋_GB2312" w:cs="仿宋_GB2312"/>
          <w:sz w:val="32"/>
          <w:szCs w:val="32"/>
        </w:rPr>
        <w:t>6311.58</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52.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auto"/>
          <w:kern w:val="2"/>
          <w:sz w:val="32"/>
          <w:szCs w:val="32"/>
          <w:highlight w:val="none"/>
          <w:lang w:val="en-US" w:eastAsia="zh-CN" w:bidi="ar-SA"/>
        </w:rPr>
        <w:t>%。与上年度相比，一般公共预算财政拨款支出减少998.07万元，下降13.7%。主要变动原因是</w:t>
      </w:r>
      <w:r>
        <w:rPr>
          <w:rFonts w:hint="eastAsia" w:ascii="仿宋_GB2312" w:hAnsi="仿宋_GB2312" w:eastAsia="仿宋_GB2312" w:cs="仿宋_GB2312"/>
          <w:color w:val="auto"/>
          <w:sz w:val="32"/>
          <w:szCs w:val="32"/>
          <w:highlight w:val="none"/>
          <w:lang w:eastAsia="zh-CN"/>
        </w:rPr>
        <w:t>本年度项目支出安排的经费减少。</w:t>
      </w:r>
    </w:p>
    <w:p w14:paraId="17868A8D">
      <w:pPr>
        <w:pageBreakBefore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kern w:val="2"/>
          <w:sz w:val="32"/>
          <w:szCs w:val="32"/>
          <w:highlight w:val="none"/>
          <w:lang w:val="en-US" w:eastAsia="zh-CN" w:bidi="ar-SA"/>
        </w:rPr>
      </w:pPr>
    </w:p>
    <w:p w14:paraId="51C460A1">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p>
    <w:p w14:paraId="1E7DAAD3">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p>
    <w:p w14:paraId="17451597">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p>
    <w:p w14:paraId="7C9BEBF1">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p>
    <w:p w14:paraId="3E2FB90B">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drawing>
          <wp:anchor distT="0" distB="0" distL="114300" distR="114300" simplePos="0" relativeHeight="251663360" behindDoc="0" locked="0" layoutInCell="1" allowOverlap="1">
            <wp:simplePos x="0" y="0"/>
            <wp:positionH relativeFrom="column">
              <wp:posOffset>410845</wp:posOffset>
            </wp:positionH>
            <wp:positionV relativeFrom="paragraph">
              <wp:posOffset>-1652905</wp:posOffset>
            </wp:positionV>
            <wp:extent cx="4352925" cy="1943100"/>
            <wp:effectExtent l="4445" t="4445" r="5080" b="14605"/>
            <wp:wrapNone/>
            <wp:docPr id="8370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7215261A">
      <w:pPr>
        <w:pageBreakBefore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kern w:val="2"/>
          <w:sz w:val="30"/>
          <w:szCs w:val="30"/>
          <w:highlight w:val="none"/>
          <w:lang w:val="en-US" w:eastAsia="zh-CN" w:bidi="ar-SA"/>
        </w:rPr>
      </w:pPr>
      <w:r>
        <w:rPr>
          <w:rFonts w:hint="eastAsia" w:ascii="仿宋_GB2312" w:hAnsi="仿宋_GB2312" w:eastAsia="仿宋_GB2312" w:cs="仿宋_GB2312"/>
          <w:color w:val="auto"/>
          <w:kern w:val="2"/>
          <w:sz w:val="30"/>
          <w:szCs w:val="30"/>
          <w:highlight w:val="none"/>
          <w:lang w:val="en-US" w:eastAsia="zh-CN" w:bidi="ar-SA"/>
        </w:rPr>
        <w:t>图5：一般公共预算财政拨款支出决算变动情况（单位：万元）</w:t>
      </w:r>
    </w:p>
    <w:p w14:paraId="3B750F33">
      <w:pPr>
        <w:pageBreakBefore w:val="0"/>
        <w:kinsoku/>
        <w:wordWrap/>
        <w:overflowPunct/>
        <w:topLinePunct w:val="0"/>
        <w:autoSpaceDE/>
        <w:autoSpaceDN/>
        <w:bidi w:val="0"/>
        <w:spacing w:line="60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6BE2CE77">
      <w:pPr>
        <w:pageBreakBefore w:val="0"/>
        <w:kinsoku/>
        <w:wordWrap/>
        <w:overflowPunct/>
        <w:topLinePunct w:val="0"/>
        <w:autoSpaceDE/>
        <w:autoSpaceDN/>
        <w:bidi w:val="0"/>
        <w:spacing w:line="60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2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9"/>
    </w:p>
    <w:p w14:paraId="6A60DBA2">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2025年度一般公共预算财政拨款支出</w:t>
      </w:r>
      <w:r>
        <w:rPr>
          <w:rFonts w:hint="eastAsia" w:ascii="仿宋_GB2312" w:hAnsi="仿宋_GB2312" w:eastAsia="仿宋_GB2312" w:cs="仿宋_GB2312"/>
          <w:sz w:val="32"/>
          <w:szCs w:val="32"/>
        </w:rPr>
        <w:t>6311.58</w:t>
      </w:r>
      <w:r>
        <w:rPr>
          <w:rFonts w:hint="eastAsia" w:ascii="仿宋_GB2312" w:hAnsi="仿宋_GB2312" w:eastAsia="仿宋_GB2312" w:cs="仿宋_GB2312"/>
          <w:color w:val="auto"/>
          <w:kern w:val="2"/>
          <w:sz w:val="32"/>
          <w:szCs w:val="32"/>
          <w:highlight w:val="none"/>
          <w:lang w:val="en-US" w:eastAsia="zh-CN" w:bidi="ar-SA"/>
        </w:rPr>
        <w:t>万元，主要用于以下方面：一般公共服务支出1.69万元，占0.1%；社会保障和就业支出771.7万元，占12.2%；卫生健康支出267.93万元，占4.2%；节能环保支出4916.15万元，占77.9%；住房保障支出354.11万元，占5.6%。</w:t>
      </w:r>
    </w:p>
    <w:p w14:paraId="35AC09B2">
      <w:pPr>
        <w:pageBreakBefore w:val="0"/>
        <w:kinsoku/>
        <w:wordWrap/>
        <w:overflowPunct/>
        <w:topLinePunct w:val="0"/>
        <w:autoSpaceDE/>
        <w:autoSpaceDN/>
        <w:bidi w:val="0"/>
        <w:spacing w:line="60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7460DD90">
      <w:pPr>
        <w:pageBreakBefore w:val="0"/>
        <w:kinsoku/>
        <w:wordWrap/>
        <w:overflowPunct/>
        <w:topLinePunct w:val="0"/>
        <w:autoSpaceDE/>
        <w:autoSpaceDN/>
        <w:bidi w:val="0"/>
        <w:spacing w:line="60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6BD4E55D">
      <w:pPr>
        <w:pageBreakBefore w:val="0"/>
        <w:kinsoku/>
        <w:wordWrap/>
        <w:overflowPunct/>
        <w:topLinePunct w:val="0"/>
        <w:autoSpaceDE/>
        <w:autoSpaceDN/>
        <w:bidi w:val="0"/>
        <w:spacing w:line="60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332A66F3">
      <w:pPr>
        <w:pageBreakBefore w:val="0"/>
        <w:kinsoku/>
        <w:wordWrap/>
        <w:overflowPunct/>
        <w:topLinePunct w:val="0"/>
        <w:autoSpaceDE/>
        <w:autoSpaceDN/>
        <w:bidi w:val="0"/>
        <w:spacing w:line="60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794B418F">
      <w:pPr>
        <w:pageBreakBefore w:val="0"/>
        <w:kinsoku/>
        <w:wordWrap/>
        <w:overflowPunct/>
        <w:topLinePunct w:val="0"/>
        <w:autoSpaceDE/>
        <w:autoSpaceDN/>
        <w:bidi w:val="0"/>
        <w:spacing w:line="60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2845D684">
      <w:pPr>
        <w:pageBreakBefore w:val="0"/>
        <w:kinsoku/>
        <w:wordWrap/>
        <w:overflowPunct/>
        <w:topLinePunct w:val="0"/>
        <w:autoSpaceDE/>
        <w:autoSpaceDN/>
        <w:bidi w:val="0"/>
        <w:spacing w:line="60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0E8583C6">
      <w:pPr>
        <w:pageBreakBefore w:val="0"/>
        <w:kinsoku/>
        <w:wordWrap/>
        <w:overflowPunct/>
        <w:topLinePunct w:val="0"/>
        <w:autoSpaceDE/>
        <w:autoSpaceDN/>
        <w:bidi w:val="0"/>
        <w:spacing w:line="60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4384" behindDoc="0" locked="0" layoutInCell="1" allowOverlap="1">
            <wp:simplePos x="0" y="0"/>
            <wp:positionH relativeFrom="column">
              <wp:posOffset>410845</wp:posOffset>
            </wp:positionH>
            <wp:positionV relativeFrom="paragraph">
              <wp:posOffset>-2148205</wp:posOffset>
            </wp:positionV>
            <wp:extent cx="4467225" cy="2438400"/>
            <wp:effectExtent l="4445" t="4445" r="5080" b="14605"/>
            <wp:wrapNone/>
            <wp:docPr id="83700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324C016C">
      <w:pPr>
        <w:pageBreakBefore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图6：一般公共预算财政拨款支出决算结构（单位：万元）</w:t>
      </w:r>
    </w:p>
    <w:p w14:paraId="62D4E503">
      <w:pPr>
        <w:pageBreakBefore w:val="0"/>
        <w:kinsoku/>
        <w:wordWrap/>
        <w:overflowPunct/>
        <w:topLinePunct w:val="0"/>
        <w:autoSpaceDE/>
        <w:autoSpaceDN/>
        <w:bidi w:val="0"/>
        <w:spacing w:line="60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0"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0"/>
    </w:p>
    <w:p w14:paraId="6CE85592">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bookmarkStart w:id="31" w:name="_Toc15377213"/>
      <w:bookmarkStart w:id="32" w:name="_Toc15378460"/>
      <w:bookmarkStart w:id="33" w:name="_Toc15377444"/>
      <w:r>
        <w:rPr>
          <w:rFonts w:hint="eastAsia" w:ascii="仿宋_GB2312" w:hAnsi="仿宋_GB2312" w:eastAsia="仿宋_GB2312" w:cs="仿宋_GB2312"/>
          <w:color w:val="auto"/>
          <w:kern w:val="2"/>
          <w:sz w:val="32"/>
          <w:szCs w:val="32"/>
          <w:highlight w:val="none"/>
          <w:lang w:val="en-US" w:eastAsia="zh-CN" w:bidi="ar-SA"/>
        </w:rPr>
        <w:t>2025年度一般公共预算支出决算数为</w:t>
      </w:r>
      <w:r>
        <w:rPr>
          <w:rFonts w:hint="eastAsia" w:ascii="仿宋_GB2312" w:hAnsi="仿宋_GB2312" w:eastAsia="仿宋_GB2312" w:cs="仿宋_GB2312"/>
          <w:sz w:val="32"/>
          <w:szCs w:val="32"/>
        </w:rPr>
        <w:t>6311.58</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color w:val="auto"/>
          <w:kern w:val="2"/>
          <w:sz w:val="32"/>
          <w:szCs w:val="32"/>
          <w:highlight w:val="none"/>
          <w:lang w:val="en-US" w:eastAsia="zh-CN" w:bidi="ar-SA"/>
        </w:rPr>
        <w:t>，完成预算100%。其中：</w:t>
      </w:r>
      <w:bookmarkEnd w:id="31"/>
      <w:bookmarkEnd w:id="32"/>
      <w:bookmarkEnd w:id="33"/>
    </w:p>
    <w:p w14:paraId="01B2B3C5">
      <w:pPr>
        <w:pageBreakBefore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1.一般公共服务（类）组织事务（款）其他组织事务支出（项）：支出决算为1.69万元，完成预算100%。</w:t>
      </w:r>
    </w:p>
    <w:p w14:paraId="30F00C12">
      <w:pPr>
        <w:pageBreakBefore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社会保障和就业支出（类）人力资源和社会保障管理事务（款）其他人力资源和社会保障管理事务支出（项）:支出决算为28.72万元，完成预算100%。行政事业单位养老支出（款）行政单位离退休（项）：支出决算为142.47万元，完成预算100%；行政事业单位养老支出（款）事业单位离退休（项）：支出决算为133.05万元，完成预算100%；行政事业单位养老支出（款）机关事业单位基本养老保险缴费支出（项）：支出决算为429.26万元，完成预算100%；行政事业单位养老支出（款）机关事业单位职业年金缴费支出（项）：支出决算为30.55万元，完成预算100%。抚恤（款）死亡抚恤（项）：支出决算为7.64万元，完成预算100%。</w:t>
      </w:r>
    </w:p>
    <w:p w14:paraId="20E99DA5">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卫生健康支出（类）行政事业单位医疗（款）行政单位医疗（项）：支出决算为144.01万元，完成预算100%；行政事业单位医疗（款）事业单位医疗（项）：支出决算为86.45万元，完成预算100%；行政事业单位医疗（款）公务员医疗补助（项）：支出决算为31.57万元，完成预算100%；行政事业单位医疗（款）其他行政事业单位医疗支出（项）：支出决算为5.9万元，完成预算100%。</w:t>
      </w:r>
    </w:p>
    <w:p w14:paraId="48EB8E53">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4.节能环保支出（类）环境保护管理事务（款）行政运行（项）：支出决算为2093.09万元，完成预算100%；环境保护管理事务（款）其他环境保护管理事务支出（项）：支出决算为1099.92万元，完成预算100%。污染防治（款）其他污染防治支出（项）：支出决算为1564.38万元，完成预算100%。其他节能环保支出（款）其他节能环保支出（项）：支出决算为158.77万元，完成预算100%。</w:t>
      </w:r>
    </w:p>
    <w:p w14:paraId="7405B74E">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5.住房保障支出（类）住房改革支出（款）住房公积金（项）：支出决算为354.11万元，完成预算100%。</w:t>
      </w:r>
    </w:p>
    <w:p w14:paraId="02FC91A3">
      <w:pPr>
        <w:pageBreakBefore w:val="0"/>
        <w:tabs>
          <w:tab w:val="right" w:pos="8306"/>
        </w:tabs>
        <w:kinsoku/>
        <w:wordWrap/>
        <w:overflowPunct/>
        <w:topLinePunct w:val="0"/>
        <w:autoSpaceDE/>
        <w:autoSpaceDN/>
        <w:bidi w:val="0"/>
        <w:spacing w:line="600" w:lineRule="exact"/>
        <w:ind w:firstLine="640"/>
        <w:textAlignment w:val="auto"/>
        <w:outlineLvl w:val="1"/>
        <w:rPr>
          <w:rStyle w:val="30"/>
          <w:rFonts w:ascii="Times New Roman" w:hAnsi="Times New Roman"/>
          <w:color w:val="auto"/>
          <w:highlight w:val="none"/>
        </w:rPr>
      </w:pPr>
      <w:bookmarkStart w:id="34" w:name="_Toc15377214"/>
      <w:bookmarkStart w:id="35"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34"/>
      <w:bookmarkEnd w:id="35"/>
      <w:r>
        <w:rPr>
          <w:rStyle w:val="30"/>
          <w:rFonts w:ascii="Times New Roman" w:hAnsi="Times New Roman" w:eastAsia="黑体"/>
          <w:b w:val="0"/>
          <w:color w:val="auto"/>
          <w:highlight w:val="none"/>
        </w:rPr>
        <w:tab/>
      </w:r>
    </w:p>
    <w:p w14:paraId="7F19D431">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2025年度一般公共预算财政拨款基本支出</w:t>
      </w:r>
      <w:r>
        <w:rPr>
          <w:rFonts w:hint="eastAsia" w:ascii="仿宋_GB2312" w:hAnsi="仿宋_GB2312" w:eastAsia="仿宋_GB2312" w:cs="仿宋_GB2312"/>
          <w:sz w:val="32"/>
          <w:szCs w:val="32"/>
        </w:rPr>
        <w:t>4569.11</w:t>
      </w:r>
      <w:r>
        <w:rPr>
          <w:rFonts w:hint="eastAsia" w:ascii="仿宋_GB2312" w:hAnsi="仿宋_GB2312" w:eastAsia="仿宋_GB2312" w:cs="仿宋_GB2312"/>
          <w:color w:val="auto"/>
          <w:kern w:val="2"/>
          <w:sz w:val="32"/>
          <w:szCs w:val="32"/>
          <w:highlight w:val="none"/>
          <w:lang w:val="en-US" w:eastAsia="zh-CN" w:bidi="ar-SA"/>
        </w:rPr>
        <w:t>万元，其中：</w:t>
      </w:r>
    </w:p>
    <w:p w14:paraId="58EFFE02">
      <w:pPr>
        <w:pageBreakBefore w:val="0"/>
        <w:kinsoku/>
        <w:wordWrap/>
        <w:overflowPunct/>
        <w:topLinePunct w:val="0"/>
        <w:autoSpaceDE/>
        <w:autoSpaceDN/>
        <w:bidi w:val="0"/>
        <w:spacing w:line="60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4112.96</w:t>
      </w:r>
      <w:r>
        <w:rPr>
          <w:rFonts w:hint="eastAsia" w:ascii="仿宋_GB2312" w:hAnsi="仿宋_GB2312" w:eastAsia="仿宋_GB2312" w:cs="仿宋_GB2312"/>
          <w:color w:val="auto"/>
          <w:kern w:val="2"/>
          <w:sz w:val="32"/>
          <w:szCs w:val="32"/>
          <w:highlight w:val="none"/>
          <w:lang w:val="en-US" w:eastAsia="zh-CN" w:bidi="ar-SA"/>
        </w:rPr>
        <w:t>万元，主要包括：基本工资、津贴补贴、奖金、绩效工资、机关事业单位基本养老保险缴费、职业年金缴费、其他社会保障缴费、其他工资福利支出、抚恤金、生活补助、医疗费补助、奖励金、住房公积金、其他对个人和家庭的补助支出等。</w:t>
      </w:r>
      <w:r>
        <w:rPr>
          <w:rFonts w:hint="eastAsia" w:ascii="仿宋_GB2312" w:hAnsi="仿宋_GB2312" w:eastAsia="仿宋_GB2312" w:cs="仿宋_GB2312"/>
          <w:color w:val="auto"/>
          <w:kern w:val="2"/>
          <w:sz w:val="32"/>
          <w:szCs w:val="32"/>
          <w:highlight w:val="none"/>
          <w:lang w:val="en-US" w:eastAsia="zh-CN" w:bidi="ar-SA"/>
        </w:rPr>
        <w:br w:type="textWrapping"/>
      </w:r>
      <w:r>
        <w:rPr>
          <w:rFonts w:hint="eastAsia" w:ascii="仿宋_GB2312" w:hAnsi="仿宋_GB2312"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456.15</w:t>
      </w:r>
      <w:r>
        <w:rPr>
          <w:rFonts w:hint="eastAsia" w:ascii="仿宋_GB2312" w:hAnsi="仿宋_GB2312" w:eastAsia="仿宋_GB2312" w:cs="仿宋_GB2312"/>
          <w:color w:val="auto"/>
          <w:kern w:val="2"/>
          <w:sz w:val="32"/>
          <w:szCs w:val="32"/>
          <w:highlight w:val="none"/>
          <w:lang w:val="en-US" w:eastAsia="zh-CN" w:bidi="ar-SA"/>
        </w:rPr>
        <w:t>万元，主要包括：办公费、印刷费、水费、电费、邮电费、物业管理费、差旅费、维修（护）费、会议费、培训费、公务接待费、劳务费、委托业务费、工会经费、福利费、公务用车运行维护费、其他交通费、其他商品和服务支出、办公设备购置等。</w:t>
      </w:r>
    </w:p>
    <w:p w14:paraId="4ABC1737">
      <w:pPr>
        <w:pageBreakBefore w:val="0"/>
        <w:kinsoku/>
        <w:wordWrap/>
        <w:overflowPunct/>
        <w:topLinePunct w:val="0"/>
        <w:autoSpaceDE/>
        <w:autoSpaceDN/>
        <w:bidi w:val="0"/>
        <w:spacing w:line="600" w:lineRule="exact"/>
        <w:ind w:firstLine="640"/>
        <w:textAlignment w:val="auto"/>
        <w:outlineLvl w:val="1"/>
        <w:rPr>
          <w:rStyle w:val="30"/>
          <w:rFonts w:ascii="Times New Roman" w:hAnsi="Times New Roman" w:eastAsia="黑体"/>
          <w:b w:val="0"/>
          <w:color w:val="auto"/>
          <w:highlight w:val="none"/>
        </w:rPr>
      </w:pPr>
      <w:bookmarkStart w:id="36" w:name="_Toc15377215"/>
      <w:bookmarkStart w:id="37" w:name="_Toc15396609"/>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36"/>
      <w:bookmarkEnd w:id="37"/>
    </w:p>
    <w:p w14:paraId="07AD5DA9">
      <w:pPr>
        <w:pageBreakBefore w:val="0"/>
        <w:kinsoku/>
        <w:wordWrap/>
        <w:overflowPunct/>
        <w:topLinePunct w:val="0"/>
        <w:autoSpaceDE/>
        <w:autoSpaceDN/>
        <w:bidi w:val="0"/>
        <w:spacing w:line="60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8" w:name="_Toc15377216"/>
      <w:r>
        <w:rPr>
          <w:rFonts w:hint="eastAsia" w:ascii="Times New Roman" w:hAnsi="Times New Roman" w:eastAsia="楷体_GB2312" w:cs="楷体_GB2312"/>
          <w:b/>
          <w:color w:val="auto"/>
          <w:sz w:val="32"/>
          <w:szCs w:val="32"/>
          <w:highlight w:val="none"/>
        </w:rPr>
        <w:t>（一）财政拨款“三公”经费支出决算总体情况说明</w:t>
      </w:r>
      <w:bookmarkEnd w:id="38"/>
    </w:p>
    <w:p w14:paraId="5FA4CD10">
      <w:pPr>
        <w:pageBreakBefore w:val="0"/>
        <w:kinsoku/>
        <w:wordWrap/>
        <w:overflowPunct/>
        <w:topLinePunct w:val="0"/>
        <w:autoSpaceDE/>
        <w:autoSpaceDN/>
        <w:bidi w:val="0"/>
        <w:spacing w:line="600" w:lineRule="exact"/>
        <w:ind w:firstLine="640"/>
        <w:textAlignment w:val="auto"/>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2025年度财政拨款“三公”经费支出决算为</w:t>
      </w:r>
      <w:r>
        <w:rPr>
          <w:rFonts w:hint="eastAsia" w:ascii="仿宋_GB2312" w:hAnsi="仿宋_GB2312" w:eastAsia="仿宋_GB2312" w:cs="仿宋_GB2312"/>
          <w:sz w:val="32"/>
          <w:szCs w:val="32"/>
        </w:rPr>
        <w:t>83.23</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%，较上年度增加1.58万元，增长1.9%。</w:t>
      </w:r>
    </w:p>
    <w:p w14:paraId="43B59D5D">
      <w:pPr>
        <w:pageBreakBefore w:val="0"/>
        <w:kinsoku/>
        <w:wordWrap/>
        <w:overflowPunct/>
        <w:topLinePunct w:val="0"/>
        <w:autoSpaceDE/>
        <w:autoSpaceDN/>
        <w:bidi w:val="0"/>
        <w:spacing w:line="60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9" w:name="_Toc15377217"/>
      <w:r>
        <w:rPr>
          <w:rFonts w:hint="eastAsia" w:ascii="Times New Roman" w:hAnsi="Times New Roman" w:eastAsia="楷体_GB2312" w:cs="楷体_GB2312"/>
          <w:b/>
          <w:color w:val="auto"/>
          <w:sz w:val="32"/>
          <w:szCs w:val="32"/>
          <w:highlight w:val="none"/>
        </w:rPr>
        <w:t>（二）财政拨款“三公”经费支出决算具体情况说明</w:t>
      </w:r>
      <w:bookmarkEnd w:id="39"/>
    </w:p>
    <w:p w14:paraId="554FC81D">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2025年度财政拨款“三公”经费支出决算中，因公出国（境）费支出决算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79.34</w:t>
      </w:r>
      <w:r>
        <w:rPr>
          <w:rFonts w:hint="eastAsia" w:ascii="仿宋_GB2312" w:hAnsi="仿宋_GB2312" w:eastAsia="仿宋_GB2312" w:cs="仿宋_GB2312"/>
          <w:color w:val="auto"/>
          <w:kern w:val="2"/>
          <w:sz w:val="32"/>
          <w:szCs w:val="32"/>
          <w:highlight w:val="none"/>
          <w:lang w:val="en-US" w:eastAsia="zh-CN" w:bidi="ar-SA"/>
        </w:rPr>
        <w:t>万元，占95.3%；公务接待费支出决算</w:t>
      </w:r>
      <w:r>
        <w:rPr>
          <w:rFonts w:hint="eastAsia" w:ascii="仿宋_GB2312" w:hAnsi="仿宋_GB2312" w:eastAsia="仿宋_GB2312" w:cs="仿宋_GB2312"/>
          <w:sz w:val="32"/>
          <w:szCs w:val="32"/>
        </w:rPr>
        <w:t>3.89</w:t>
      </w:r>
      <w:r>
        <w:rPr>
          <w:rFonts w:hint="eastAsia" w:ascii="仿宋_GB2312" w:hAnsi="仿宋_GB2312" w:eastAsia="仿宋_GB2312" w:cs="仿宋_GB2312"/>
          <w:color w:val="auto"/>
          <w:kern w:val="2"/>
          <w:sz w:val="32"/>
          <w:szCs w:val="32"/>
          <w:highlight w:val="none"/>
          <w:lang w:val="en-US" w:eastAsia="zh-CN" w:bidi="ar-SA"/>
        </w:rPr>
        <w:t>万元，占4.7%。具体情况如下：</w:t>
      </w:r>
    </w:p>
    <w:p w14:paraId="33958BAB">
      <w:pPr>
        <w:pStyle w:val="8"/>
        <w:pageBreakBefore w:val="0"/>
        <w:kinsoku/>
        <w:wordWrap/>
        <w:overflowPunct/>
        <w:topLinePunct w:val="0"/>
        <w:autoSpaceDE/>
        <w:autoSpaceDN/>
        <w:bidi w:val="0"/>
        <w:spacing w:line="600" w:lineRule="exact"/>
        <w:ind w:left="0" w:leftChars="0" w:firstLine="0" w:firstLineChars="0"/>
        <w:textAlignment w:val="auto"/>
        <w:rPr>
          <w:rFonts w:hint="eastAsia" w:ascii="仿宋_GB2312" w:hAnsi="仿宋_GB2312" w:eastAsia="仿宋_GB2312" w:cs="仿宋_GB2312"/>
          <w:color w:val="auto"/>
          <w:kern w:val="2"/>
          <w:sz w:val="32"/>
          <w:szCs w:val="32"/>
          <w:highlight w:val="none"/>
          <w:lang w:val="en-US" w:eastAsia="zh-CN" w:bidi="ar-SA"/>
        </w:rPr>
      </w:pPr>
    </w:p>
    <w:p w14:paraId="5BD55054">
      <w:pPr>
        <w:pageBreakBefore w:val="0"/>
        <w:kinsoku/>
        <w:wordWrap/>
        <w:overflowPunct/>
        <w:topLinePunct w:val="0"/>
        <w:autoSpaceDE/>
        <w:autoSpaceDN/>
        <w:bidi w:val="0"/>
        <w:spacing w:line="600" w:lineRule="exact"/>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      </w:t>
      </w:r>
    </w:p>
    <w:p w14:paraId="19F3F85A">
      <w:pPr>
        <w:pStyle w:val="14"/>
        <w:pageBreakBefore w:val="0"/>
        <w:kinsoku/>
        <w:wordWrap/>
        <w:overflowPunct/>
        <w:topLinePunct w:val="0"/>
        <w:autoSpaceDE/>
        <w:autoSpaceDN/>
        <w:bidi w:val="0"/>
        <w:spacing w:line="600" w:lineRule="exact"/>
        <w:textAlignment w:val="auto"/>
        <w:rPr>
          <w:rFonts w:hint="eastAsia"/>
          <w:lang w:val="en-US" w:eastAsia="zh-CN"/>
        </w:rPr>
      </w:pPr>
    </w:p>
    <w:p w14:paraId="4B788F06">
      <w:pPr>
        <w:pageBreakBefore w:val="0"/>
        <w:kinsoku/>
        <w:wordWrap/>
        <w:overflowPunct/>
        <w:topLinePunct w:val="0"/>
        <w:autoSpaceDE/>
        <w:autoSpaceDN/>
        <w:bidi w:val="0"/>
        <w:spacing w:line="600" w:lineRule="exact"/>
        <w:ind w:firstLine="1612" w:firstLineChars="504"/>
        <w:textAlignment w:val="auto"/>
        <w:rPr>
          <w:rFonts w:hint="eastAsia" w:ascii="仿宋_GB2312" w:hAnsi="仿宋_GB2312" w:eastAsia="仿宋_GB2312" w:cs="仿宋_GB2312"/>
          <w:color w:val="auto"/>
          <w:kern w:val="2"/>
          <w:sz w:val="32"/>
          <w:szCs w:val="32"/>
          <w:highlight w:val="none"/>
          <w:lang w:val="en-US" w:eastAsia="zh-CN" w:bidi="ar-SA"/>
        </w:rPr>
      </w:pPr>
    </w:p>
    <w:p w14:paraId="1EC02D26">
      <w:pPr>
        <w:pageBreakBefore w:val="0"/>
        <w:kinsoku/>
        <w:wordWrap/>
        <w:overflowPunct/>
        <w:topLinePunct w:val="0"/>
        <w:autoSpaceDE/>
        <w:autoSpaceDN/>
        <w:bidi w:val="0"/>
        <w:spacing w:line="600" w:lineRule="exact"/>
        <w:ind w:firstLine="1612" w:firstLineChars="504"/>
        <w:textAlignment w:val="auto"/>
        <w:rPr>
          <w:rFonts w:hint="eastAsia" w:ascii="仿宋_GB2312" w:hAnsi="仿宋_GB2312" w:eastAsia="仿宋_GB2312" w:cs="仿宋_GB2312"/>
          <w:color w:val="auto"/>
          <w:kern w:val="2"/>
          <w:sz w:val="32"/>
          <w:szCs w:val="32"/>
          <w:highlight w:val="none"/>
          <w:lang w:val="en-US" w:eastAsia="zh-CN" w:bidi="ar-SA"/>
        </w:rPr>
      </w:pPr>
    </w:p>
    <w:p w14:paraId="1BD11A0F">
      <w:pPr>
        <w:pageBreakBefore w:val="0"/>
        <w:kinsoku/>
        <w:wordWrap/>
        <w:overflowPunct/>
        <w:topLinePunct w:val="0"/>
        <w:autoSpaceDE/>
        <w:autoSpaceDN/>
        <w:bidi w:val="0"/>
        <w:spacing w:line="600" w:lineRule="exact"/>
        <w:ind w:firstLine="1612" w:firstLineChars="504"/>
        <w:textAlignment w:val="auto"/>
        <w:rPr>
          <w:rFonts w:hint="eastAsia" w:ascii="仿宋_GB2312" w:hAnsi="仿宋_GB2312" w:eastAsia="仿宋_GB2312" w:cs="仿宋_GB2312"/>
          <w:color w:val="auto"/>
          <w:kern w:val="2"/>
          <w:sz w:val="32"/>
          <w:szCs w:val="32"/>
          <w:highlight w:val="none"/>
          <w:lang w:val="en-US" w:eastAsia="zh-CN" w:bidi="ar-SA"/>
        </w:rPr>
      </w:pPr>
    </w:p>
    <w:p w14:paraId="380FA092">
      <w:pPr>
        <w:pageBreakBefore w:val="0"/>
        <w:kinsoku/>
        <w:wordWrap/>
        <w:overflowPunct/>
        <w:topLinePunct w:val="0"/>
        <w:autoSpaceDE/>
        <w:autoSpaceDN/>
        <w:bidi w:val="0"/>
        <w:spacing w:line="600" w:lineRule="exact"/>
        <w:ind w:firstLine="1612" w:firstLineChars="504"/>
        <w:textAlignment w:val="auto"/>
        <w:rPr>
          <w:rFonts w:hint="eastAsia" w:ascii="仿宋_GB2312" w:hAnsi="仿宋_GB2312" w:eastAsia="仿宋_GB2312" w:cs="仿宋_GB2312"/>
          <w:color w:val="auto"/>
          <w:kern w:val="2"/>
          <w:sz w:val="32"/>
          <w:szCs w:val="32"/>
          <w:highlight w:val="none"/>
          <w:lang w:val="en-US" w:eastAsia="zh-CN" w:bidi="ar-SA"/>
        </w:rPr>
      </w:pPr>
    </w:p>
    <w:p w14:paraId="67B9C42B">
      <w:pPr>
        <w:pageBreakBefore w:val="0"/>
        <w:kinsoku/>
        <w:wordWrap/>
        <w:overflowPunct/>
        <w:topLinePunct w:val="0"/>
        <w:autoSpaceDE/>
        <w:autoSpaceDN/>
        <w:bidi w:val="0"/>
        <w:spacing w:line="600" w:lineRule="exact"/>
        <w:ind w:firstLine="1058" w:firstLineChars="504"/>
        <w:textAlignment w:val="auto"/>
        <w:rPr>
          <w:rFonts w:hint="eastAsia" w:ascii="仿宋_GB2312" w:hAnsi="仿宋_GB2312" w:eastAsia="仿宋_GB2312" w:cs="仿宋_GB2312"/>
          <w:color w:val="auto"/>
          <w:kern w:val="2"/>
          <w:sz w:val="32"/>
          <w:szCs w:val="32"/>
          <w:highlight w:val="none"/>
          <w:lang w:val="en-US" w:eastAsia="zh-CN" w:bidi="ar-SA"/>
        </w:rPr>
      </w:pPr>
      <w:r>
        <w:drawing>
          <wp:anchor distT="0" distB="0" distL="114300" distR="114300" simplePos="0" relativeHeight="251665408" behindDoc="0" locked="0" layoutInCell="1" allowOverlap="1">
            <wp:simplePos x="0" y="0"/>
            <wp:positionH relativeFrom="column">
              <wp:posOffset>676275</wp:posOffset>
            </wp:positionH>
            <wp:positionV relativeFrom="paragraph">
              <wp:posOffset>-2129155</wp:posOffset>
            </wp:positionV>
            <wp:extent cx="4181475" cy="2428875"/>
            <wp:effectExtent l="4445" t="4445" r="5080" b="5080"/>
            <wp:wrapNone/>
            <wp:docPr id="83734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5DA95EC2">
      <w:pPr>
        <w:pageBreakBefore w:val="0"/>
        <w:kinsoku/>
        <w:wordWrap/>
        <w:overflowPunct/>
        <w:topLinePunct w:val="0"/>
        <w:autoSpaceDE/>
        <w:autoSpaceDN/>
        <w:bidi w:val="0"/>
        <w:spacing w:line="600" w:lineRule="exact"/>
        <w:ind w:firstLine="320" w:firstLineChars="1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图7：财政拨款“三公”经费支出结构（单位：万元）</w:t>
      </w:r>
    </w:p>
    <w:p w14:paraId="1870C96F">
      <w:pPr>
        <w:pageBreakBefore w:val="0"/>
        <w:numPr>
          <w:ilvl w:val="0"/>
          <w:numId w:val="0"/>
        </w:numPr>
        <w:kinsoku/>
        <w:wordWrap/>
        <w:overflowPunct/>
        <w:topLinePunct w:val="0"/>
        <w:autoSpaceDE/>
        <w:autoSpaceDN/>
        <w:bidi w:val="0"/>
        <w:spacing w:line="600"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1.因公出国（境）经费支出</w:t>
      </w:r>
      <w:r>
        <w:rPr>
          <w:rFonts w:hint="eastAsia" w:ascii="仿宋_GB2312" w:hAnsi="仿宋_GB2312" w:eastAsia="仿宋_GB2312" w:cs="仿宋_GB2312"/>
          <w:sz w:val="32"/>
          <w:szCs w:val="32"/>
        </w:rPr>
        <w:t>0</w:t>
      </w:r>
      <w:r>
        <w:rPr>
          <w:rFonts w:hint="eastAsia" w:ascii="仿宋_GB2312" w:hAnsi="仿宋_GB2312" w:eastAsia="仿宋_GB2312" w:cs="仿宋_GB2312"/>
          <w:b/>
          <w:bCs/>
          <w:color w:val="auto"/>
          <w:kern w:val="2"/>
          <w:sz w:val="32"/>
          <w:szCs w:val="32"/>
          <w:highlight w:val="none"/>
          <w:lang w:val="en-US" w:eastAsia="zh-CN" w:bidi="ar-SA"/>
        </w:rPr>
        <w:t>万元，完成预算100%。</w:t>
      </w:r>
      <w:r>
        <w:rPr>
          <w:rFonts w:hint="eastAsia" w:ascii="仿宋_GB2312" w:hAnsi="仿宋_GB2312" w:eastAsia="仿宋_GB2312" w:cs="仿宋_GB2312"/>
          <w:color w:val="auto"/>
          <w:kern w:val="2"/>
          <w:sz w:val="32"/>
          <w:szCs w:val="32"/>
          <w:highlight w:val="none"/>
          <w:lang w:val="en-US" w:eastAsia="zh-CN" w:bidi="ar-SA"/>
        </w:rPr>
        <w:t>全年安排因公出国（境）团组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人。因公出国（境）支出决算与上年持平。</w:t>
      </w:r>
    </w:p>
    <w:p w14:paraId="279C6096">
      <w:pPr>
        <w:pageBreakBefore w:val="0"/>
        <w:numPr>
          <w:ilvl w:val="0"/>
          <w:numId w:val="0"/>
        </w:numPr>
        <w:kinsoku/>
        <w:wordWrap/>
        <w:overflowPunct/>
        <w:topLinePunct w:val="0"/>
        <w:autoSpaceDE/>
        <w:autoSpaceDN/>
        <w:bidi w:val="0"/>
        <w:spacing w:line="600"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2.公务用车购置及运行维护费支出79.34万元，完成预算100%。</w:t>
      </w:r>
      <w:r>
        <w:rPr>
          <w:rFonts w:hint="eastAsia" w:ascii="仿宋_GB2312" w:hAnsi="仿宋_GB2312" w:eastAsia="仿宋_GB2312" w:cs="仿宋_GB2312"/>
          <w:color w:val="auto"/>
          <w:kern w:val="2"/>
          <w:sz w:val="32"/>
          <w:szCs w:val="32"/>
          <w:highlight w:val="none"/>
          <w:lang w:val="en-US" w:eastAsia="zh-CN" w:bidi="ar-SA"/>
        </w:rPr>
        <w:t>公务用车购置及运行维护费支出决算比上年度增加2.12万元，增长2.7%。主要原因是外出公务增多，派车次数增加。</w:t>
      </w:r>
    </w:p>
    <w:p w14:paraId="15475886">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highlight w:val="none"/>
          <w:lang w:val="en-US" w:eastAsia="zh-CN" w:bidi="ar-SA"/>
        </w:rPr>
        <w:t>其中：公务用车购置支出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万元。全年按规定更新购置公务用车0辆，其中：轿车0辆、金额0万元，越野车0辆、金额0万元，载客汽车0辆、金额0万元。截至2025年12月31日，单位共有公务用车35辆，其中：轿车4辆、越野车28辆、</w:t>
      </w:r>
      <w:r>
        <w:rPr>
          <w:rFonts w:hint="eastAsia" w:ascii="仿宋_GB2312" w:hAnsi="仿宋_GB2312" w:eastAsia="仿宋_GB2312" w:cs="仿宋_GB2312"/>
          <w:color w:val="auto"/>
          <w:sz w:val="32"/>
          <w:szCs w:val="32"/>
        </w:rPr>
        <w:t>其他汽车3辆。</w:t>
      </w:r>
    </w:p>
    <w:p w14:paraId="7DD59E42">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公务用车运行维护费支出</w:t>
      </w:r>
      <w:r>
        <w:rPr>
          <w:rFonts w:hint="eastAsia" w:ascii="仿宋_GB2312" w:hAnsi="仿宋_GB2312" w:eastAsia="仿宋_GB2312" w:cs="仿宋_GB2312"/>
          <w:sz w:val="32"/>
          <w:szCs w:val="32"/>
        </w:rPr>
        <w:t>79.34</w:t>
      </w:r>
      <w:r>
        <w:rPr>
          <w:rFonts w:hint="eastAsia" w:ascii="仿宋_GB2312" w:hAnsi="仿宋_GB2312" w:eastAsia="仿宋_GB2312" w:cs="仿宋_GB2312"/>
          <w:color w:val="auto"/>
          <w:kern w:val="2"/>
          <w:sz w:val="32"/>
          <w:szCs w:val="32"/>
          <w:highlight w:val="none"/>
          <w:lang w:val="en-US" w:eastAsia="zh-CN" w:bidi="ar-SA"/>
        </w:rPr>
        <w:t>万元。主要用于环境综合执法、环境突出问题整改、环保督察问题整改销号等所需的公务用车运行燃料费、维修费、过路过桥费、保险费等支出。</w:t>
      </w:r>
    </w:p>
    <w:p w14:paraId="24D32EB1">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3.公务接待费支出3.89万元，完成预算100%。</w:t>
      </w:r>
      <w:r>
        <w:rPr>
          <w:rFonts w:hint="eastAsia" w:ascii="仿宋_GB2312" w:hAnsi="仿宋_GB2312" w:eastAsia="仿宋_GB2312" w:cs="仿宋_GB2312"/>
          <w:color w:val="auto"/>
          <w:kern w:val="2"/>
          <w:sz w:val="32"/>
          <w:szCs w:val="32"/>
          <w:highlight w:val="none"/>
          <w:lang w:val="en-US" w:eastAsia="zh-CN" w:bidi="ar-SA"/>
        </w:rPr>
        <w:t>公务接待费支出决算比上年度减少0.54万元，下降12.2%。主要原因是</w:t>
      </w:r>
      <w:r>
        <w:rPr>
          <w:rFonts w:hint="eastAsia" w:ascii="仿宋_GB2312" w:hAnsi="仿宋_GB2312" w:eastAsia="仿宋_GB2312" w:cs="仿宋_GB2312"/>
          <w:sz w:val="32"/>
          <w:szCs w:val="32"/>
        </w:rPr>
        <w:t>坚持党政机关过</w:t>
      </w:r>
      <w:r>
        <w:rPr>
          <w:rFonts w:hint="eastAsia" w:ascii="仿宋_GB2312" w:hAnsi="仿宋_GB2312" w:eastAsia="仿宋_GB2312" w:cs="仿宋_GB2312"/>
          <w:color w:val="auto"/>
          <w:sz w:val="32"/>
          <w:szCs w:val="32"/>
        </w:rPr>
        <w:t>紧日子要求，厉行节约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2"/>
          <w:sz w:val="32"/>
          <w:szCs w:val="32"/>
          <w:highlight w:val="none"/>
          <w:lang w:val="en-US" w:eastAsia="zh-CN" w:bidi="ar-SA"/>
        </w:rPr>
        <w:t>其中：</w:t>
      </w:r>
    </w:p>
    <w:p w14:paraId="56C51F35">
      <w:pPr>
        <w:pageBreakBefore w:val="0"/>
        <w:kinsoku/>
        <w:wordWrap/>
        <w:overflowPunct/>
        <w:topLinePunct w:val="0"/>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国内公务接待支出</w:t>
      </w:r>
      <w:r>
        <w:rPr>
          <w:rFonts w:hint="eastAsia" w:ascii="仿宋_GB2312" w:hAnsi="仿宋_GB2312" w:eastAsia="仿宋_GB2312" w:cs="仿宋_GB2312"/>
          <w:color w:val="auto"/>
          <w:sz w:val="32"/>
          <w:szCs w:val="32"/>
        </w:rPr>
        <w:t>3.89</w:t>
      </w:r>
      <w:r>
        <w:rPr>
          <w:rFonts w:hint="eastAsia" w:ascii="仿宋_GB2312" w:hAnsi="仿宋_GB2312" w:eastAsia="仿宋_GB2312" w:cs="仿宋_GB2312"/>
          <w:color w:val="auto"/>
          <w:kern w:val="2"/>
          <w:sz w:val="32"/>
          <w:szCs w:val="32"/>
          <w:highlight w:val="none"/>
          <w:lang w:val="en-US" w:eastAsia="zh-CN" w:bidi="ar-SA"/>
        </w:rPr>
        <w:t>万元，主要用于上级单位来攀调研、农村环境整治核查、环保督察整改验收等方面的用餐费。国内公务接待</w:t>
      </w:r>
      <w:r>
        <w:rPr>
          <w:rFonts w:hint="eastAsia" w:ascii="仿宋_GB2312" w:hAnsi="仿宋_GB2312" w:eastAsia="仿宋_GB2312" w:cs="仿宋_GB2312"/>
          <w:color w:val="auto"/>
          <w:sz w:val="32"/>
          <w:szCs w:val="32"/>
        </w:rPr>
        <w:t>34</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color w:val="auto"/>
          <w:sz w:val="32"/>
          <w:szCs w:val="32"/>
        </w:rPr>
        <w:t>254</w:t>
      </w:r>
      <w:r>
        <w:rPr>
          <w:rFonts w:hint="eastAsia" w:ascii="仿宋_GB2312" w:hAnsi="仿宋_GB2312" w:eastAsia="仿宋_GB2312" w:cs="仿宋_GB2312"/>
          <w:color w:val="auto"/>
          <w:kern w:val="2"/>
          <w:sz w:val="32"/>
          <w:szCs w:val="32"/>
          <w:highlight w:val="none"/>
          <w:lang w:val="en-US" w:eastAsia="zh-CN" w:bidi="ar-SA"/>
        </w:rPr>
        <w:t>人次（不包括陪同人员），共计支出3.89万元，具体内容包括：</w:t>
      </w:r>
      <w:bookmarkStart w:id="40" w:name="_Toc15396610"/>
      <w:bookmarkStart w:id="41" w:name="_Toc15377218"/>
      <w:r>
        <w:rPr>
          <w:rFonts w:hint="eastAsia" w:ascii="仿宋_GB2312" w:hAnsi="仿宋_GB2312" w:eastAsia="仿宋_GB2312" w:cs="仿宋_GB2312"/>
          <w:color w:val="auto"/>
          <w:kern w:val="2"/>
          <w:sz w:val="32"/>
          <w:szCs w:val="32"/>
          <w:highlight w:val="none"/>
          <w:lang w:val="en-US" w:eastAsia="zh-CN" w:bidi="ar-SA"/>
        </w:rPr>
        <w:t>省规划院调研0.07万元，农村环境整治常态化检查0.06万元，土壤和地下水保护“十五五”规划调研0.09万元，千村示范工程交叉检查0.07万元，银江镇历史遗留固废调查0.07万元，化工园区复核0.39万元，辐射安全许可现场督察0.06万元，土壤污染源头管控项目省级评估0.09万元，倮果断面水质降类问题整改指导0.06万元，中央环保督察整改验收0.08万元，环境突出问题整改督导0.08万元，十五五生态环境规划编制调研0.10万元，中、省专项资金动态监督检查0.06万元，土壤污染治理与修复效果评估0.11万元，大气环境监测数字化调研0.09万元，</w:t>
      </w:r>
      <w:r>
        <w:rPr>
          <w:rFonts w:hint="eastAsia" w:ascii="仿宋_GB2312" w:hAnsi="仿宋_GB2312" w:eastAsia="仿宋_GB2312" w:cs="仿宋_GB2312"/>
          <w:color w:val="auto"/>
          <w:sz w:val="32"/>
          <w:szCs w:val="32"/>
        </w:rPr>
        <w:t>央督重点信访件现场检查</w:t>
      </w:r>
      <w:r>
        <w:rPr>
          <w:rFonts w:hint="eastAsia" w:ascii="仿宋_GB2312" w:hAnsi="仿宋_GB2312" w:eastAsia="仿宋_GB2312" w:cs="仿宋_GB2312"/>
          <w:color w:val="auto"/>
          <w:sz w:val="32"/>
          <w:szCs w:val="32"/>
          <w:lang w:val="en-US" w:eastAsia="zh-CN"/>
        </w:rPr>
        <w:t>0.088万</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第五监察组开展国家移交长江经济生态环境问题整改情况现场督导调研</w:t>
      </w:r>
      <w:r>
        <w:rPr>
          <w:rFonts w:hint="eastAsia" w:ascii="仿宋_GB2312" w:hAnsi="仿宋_GB2312" w:eastAsia="仿宋_GB2312" w:cs="仿宋_GB2312"/>
          <w:color w:val="auto"/>
          <w:sz w:val="32"/>
          <w:szCs w:val="32"/>
          <w:lang w:val="en-US" w:eastAsia="zh-CN"/>
        </w:rPr>
        <w:t>0.09万</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2024年农村生活污水治理“千村示范工程”交叉检查</w:t>
      </w:r>
      <w:r>
        <w:rPr>
          <w:rFonts w:hint="eastAsia" w:ascii="仿宋_GB2312" w:hAnsi="仿宋_GB2312" w:eastAsia="仿宋_GB2312" w:cs="仿宋_GB2312"/>
          <w:color w:val="auto"/>
          <w:sz w:val="32"/>
          <w:szCs w:val="32"/>
          <w:lang w:val="en-US" w:eastAsia="zh-CN"/>
        </w:rPr>
        <w:t>0.12万</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“十五五”生态环境保护规划编制工作调研</w:t>
      </w:r>
      <w:r>
        <w:rPr>
          <w:rFonts w:hint="eastAsia" w:ascii="仿宋_GB2312" w:hAnsi="仿宋_GB2312" w:eastAsia="仿宋_GB2312" w:cs="仿宋_GB2312"/>
          <w:color w:val="auto"/>
          <w:sz w:val="32"/>
          <w:szCs w:val="32"/>
          <w:lang w:val="en-US" w:eastAsia="zh-CN"/>
        </w:rPr>
        <w:t>0.15万</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000000"/>
          <w:sz w:val="32"/>
          <w:szCs w:val="32"/>
          <w:highlight w:val="none"/>
          <w:lang w:eastAsia="zh-CN"/>
        </w:rPr>
        <w:t>国家生态文明建设示范县验收</w:t>
      </w:r>
      <w:r>
        <w:rPr>
          <w:rFonts w:hint="eastAsia" w:ascii="仿宋_GB2312" w:hAnsi="仿宋_GB2312" w:eastAsia="仿宋_GB2312" w:cs="仿宋_GB2312"/>
          <w:color w:val="000000"/>
          <w:sz w:val="32"/>
          <w:szCs w:val="32"/>
          <w:highlight w:val="none"/>
          <w:lang w:val="en-US" w:eastAsia="zh-CN"/>
        </w:rPr>
        <w:t>0.16万元，专业技术人员</w:t>
      </w:r>
      <w:r>
        <w:rPr>
          <w:rFonts w:hint="eastAsia" w:ascii="仿宋_GB2312" w:hAnsi="仿宋_GB2312" w:eastAsia="仿宋_GB2312" w:cs="仿宋_GB2312"/>
          <w:sz w:val="32"/>
          <w:szCs w:val="32"/>
          <w:lang w:val="en-US" w:eastAsia="zh-CN"/>
        </w:rPr>
        <w:t>持证上岗考核0.06万元，第五批国家级自然保护区生态环境保护成效现场评估0.1万元，“十五五”环境规划编制调研0.1万元，开展倮果断面水质降类问题整改指导帮扶0.09万元，</w:t>
      </w:r>
      <w:r>
        <w:rPr>
          <w:rFonts w:hint="eastAsia" w:ascii="仿宋_GB2312" w:hAnsi="仿宋_GB2312" w:eastAsia="仿宋_GB2312" w:cs="仿宋_GB2312"/>
          <w:sz w:val="32"/>
          <w:szCs w:val="32"/>
        </w:rPr>
        <w:t>省综合处来盐调研“十五五”生态环境保护规划工作</w:t>
      </w:r>
      <w:r>
        <w:rPr>
          <w:rFonts w:hint="eastAsia" w:ascii="仿宋_GB2312" w:hAnsi="仿宋_GB2312" w:eastAsia="仿宋_GB2312" w:cs="仿宋_GB2312"/>
          <w:sz w:val="32"/>
          <w:szCs w:val="32"/>
          <w:lang w:val="en-US" w:eastAsia="zh-CN"/>
        </w:rPr>
        <w:t>0.11万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农业农村厅开展2024年农村环境整治常态化摸排</w:t>
      </w:r>
      <w:r>
        <w:rPr>
          <w:rFonts w:hint="eastAsia" w:ascii="仿宋_GB2312" w:hAnsi="仿宋_GB2312" w:eastAsia="仿宋_GB2312" w:cs="仿宋_GB2312"/>
          <w:sz w:val="32"/>
          <w:szCs w:val="32"/>
          <w:lang w:val="en-US" w:eastAsia="zh-CN"/>
        </w:rPr>
        <w:t>0.10万</w:t>
      </w:r>
      <w:r>
        <w:rPr>
          <w:rFonts w:hint="eastAsia" w:ascii="仿宋_GB2312" w:hAnsi="仿宋_GB2312" w:eastAsia="仿宋_GB2312" w:cs="仿宋_GB2312"/>
          <w:sz w:val="32"/>
          <w:szCs w:val="32"/>
        </w:rPr>
        <w:t>元；2024年农村生活污水“千村示范”工程交叉检查</w:t>
      </w:r>
      <w:r>
        <w:rPr>
          <w:rFonts w:hint="eastAsia" w:ascii="仿宋_GB2312" w:hAnsi="仿宋_GB2312" w:eastAsia="仿宋_GB2312" w:cs="仿宋_GB2312"/>
          <w:sz w:val="32"/>
          <w:szCs w:val="32"/>
          <w:lang w:val="en-US" w:eastAsia="zh-CN"/>
        </w:rPr>
        <w:t>0.14万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省厅督导调研第三轮央督重点信访件整改</w:t>
      </w:r>
      <w:r>
        <w:rPr>
          <w:rFonts w:hint="eastAsia" w:ascii="仿宋_GB2312" w:hAnsi="仿宋_GB2312" w:eastAsia="仿宋_GB2312" w:cs="仿宋_GB2312"/>
          <w:sz w:val="32"/>
          <w:szCs w:val="32"/>
          <w:lang w:val="en-US" w:eastAsia="zh-CN"/>
        </w:rPr>
        <w:t>0.11万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省环科院到盐开展益民乡巴拉河砂厂地块污染土壤治理与修复效果评估</w:t>
      </w:r>
      <w:r>
        <w:rPr>
          <w:rFonts w:hint="eastAsia" w:ascii="仿宋_GB2312" w:hAnsi="仿宋_GB2312" w:eastAsia="仿宋_GB2312" w:cs="仿宋_GB2312"/>
          <w:sz w:val="32"/>
          <w:szCs w:val="32"/>
          <w:lang w:val="en-US" w:eastAsia="zh-CN"/>
        </w:rPr>
        <w:t>0.11万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省厅开展2025年生态文明建设示范区预审工作</w:t>
      </w:r>
      <w:r>
        <w:rPr>
          <w:rFonts w:hint="eastAsia" w:ascii="仿宋_GB2312" w:hAnsi="仿宋_GB2312" w:eastAsia="仿宋_GB2312" w:cs="仿宋_GB2312"/>
          <w:sz w:val="32"/>
          <w:szCs w:val="32"/>
          <w:lang w:val="en-US" w:eastAsia="zh-CN"/>
        </w:rPr>
        <w:t>0.15万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省督查组对环督反馈问题整改情况调研</w:t>
      </w:r>
      <w:r>
        <w:rPr>
          <w:rFonts w:hint="eastAsia" w:ascii="仿宋_GB2312" w:hAnsi="仿宋_GB2312" w:eastAsia="仿宋_GB2312" w:cs="仿宋_GB2312"/>
          <w:sz w:val="32"/>
          <w:szCs w:val="32"/>
          <w:lang w:val="en-US" w:eastAsia="zh-CN"/>
        </w:rPr>
        <w:t>0.11万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长江经济带生物多样性主流化项目启动</w:t>
      </w:r>
      <w:r>
        <w:rPr>
          <w:rFonts w:hint="eastAsia" w:ascii="仿宋_GB2312" w:hAnsi="仿宋_GB2312" w:eastAsia="仿宋_GB2312" w:cs="仿宋_GB2312"/>
          <w:sz w:val="32"/>
          <w:szCs w:val="32"/>
          <w:lang w:val="en-US" w:eastAsia="zh-CN"/>
        </w:rPr>
        <w:t>0.15万</w:t>
      </w:r>
      <w:r>
        <w:rPr>
          <w:rFonts w:hint="eastAsia" w:ascii="仿宋_GB2312" w:hAnsi="仿宋_GB2312" w:eastAsia="仿宋_GB2312" w:cs="仿宋_GB2312"/>
          <w:sz w:val="32"/>
          <w:szCs w:val="32"/>
        </w:rPr>
        <w:t>元，第五专员办督导调研国家移交长江经济带生态环境问题</w:t>
      </w:r>
      <w:r>
        <w:rPr>
          <w:rFonts w:hint="eastAsia" w:ascii="仿宋_GB2312" w:hAnsi="仿宋_GB2312" w:eastAsia="仿宋_GB2312" w:cs="仿宋_GB2312"/>
          <w:sz w:val="32"/>
          <w:szCs w:val="32"/>
          <w:lang w:val="en-US" w:eastAsia="zh-CN"/>
        </w:rPr>
        <w:t>0.08万</w:t>
      </w:r>
      <w:r>
        <w:rPr>
          <w:rFonts w:hint="eastAsia" w:ascii="仿宋_GB2312" w:hAnsi="仿宋_GB2312" w:eastAsia="仿宋_GB2312" w:cs="仿宋_GB2312"/>
          <w:sz w:val="32"/>
          <w:szCs w:val="32"/>
        </w:rPr>
        <w:t>元，迎接生态环境专项检查</w:t>
      </w:r>
      <w:r>
        <w:rPr>
          <w:rFonts w:hint="eastAsia" w:ascii="仿宋_GB2312" w:hAnsi="仿宋_GB2312" w:eastAsia="仿宋_GB2312" w:cs="仿宋_GB2312"/>
          <w:sz w:val="32"/>
          <w:szCs w:val="32"/>
          <w:lang w:val="en-US" w:eastAsia="zh-CN"/>
        </w:rPr>
        <w:t>0.35万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p>
    <w:p w14:paraId="571AE667">
      <w:pPr>
        <w:pageBreakBefore w:val="0"/>
        <w:kinsoku/>
        <w:wordWrap/>
        <w:overflowPunct/>
        <w:topLinePunct w:val="0"/>
        <w:autoSpaceDE/>
        <w:autoSpaceDN/>
        <w:bidi w:val="0"/>
        <w:spacing w:line="600" w:lineRule="exact"/>
        <w:ind w:firstLine="640"/>
        <w:textAlignment w:val="auto"/>
        <w:outlineLvl w:val="1"/>
        <w:rPr>
          <w:rStyle w:val="30"/>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40"/>
      <w:bookmarkEnd w:id="41"/>
    </w:p>
    <w:p w14:paraId="159667BB">
      <w:pPr>
        <w:pageBreakBefore w:val="0"/>
        <w:kinsoku/>
        <w:wordWrap/>
        <w:overflowPunct/>
        <w:topLinePunct w:val="0"/>
        <w:autoSpaceDE/>
        <w:autoSpaceDN/>
        <w:bidi w:val="0"/>
        <w:spacing w:line="60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%。与上年度相比，政府性基金预算财政拨款支出减少1189.49万元，下降100%。主要变动原因是本年度未安排政府性基金预算支出。</w:t>
      </w:r>
    </w:p>
    <w:p w14:paraId="71E23909">
      <w:pPr>
        <w:pageBreakBefore w:val="0"/>
        <w:numPr>
          <w:ilvl w:val="0"/>
          <w:numId w:val="0"/>
        </w:numPr>
        <w:kinsoku/>
        <w:wordWrap/>
        <w:overflowPunct/>
        <w:topLinePunct w:val="0"/>
        <w:autoSpaceDE/>
        <w:autoSpaceDN/>
        <w:bidi w:val="0"/>
        <w:spacing w:line="600" w:lineRule="exact"/>
        <w:ind w:left="630" w:leftChars="0"/>
        <w:textAlignment w:val="auto"/>
        <w:outlineLvl w:val="1"/>
        <w:rPr>
          <w:rStyle w:val="30"/>
          <w:rFonts w:ascii="Times New Roman" w:hAnsi="Times New Roman" w:eastAsia="黑体"/>
          <w:b w:val="0"/>
          <w:color w:val="auto"/>
          <w:highlight w:val="none"/>
        </w:rPr>
      </w:pPr>
      <w:bookmarkStart w:id="42" w:name="_Toc15396611"/>
      <w:bookmarkStart w:id="43" w:name="_Toc15377219"/>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42"/>
      <w:bookmarkEnd w:id="43"/>
    </w:p>
    <w:p w14:paraId="6B078C8B">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%。与上年度持平。</w:t>
      </w:r>
    </w:p>
    <w:p w14:paraId="437947AE">
      <w:pPr>
        <w:pageBreakBefore w:val="0"/>
        <w:numPr>
          <w:ilvl w:val="0"/>
          <w:numId w:val="0"/>
        </w:numPr>
        <w:kinsoku/>
        <w:wordWrap/>
        <w:overflowPunct/>
        <w:topLinePunct w:val="0"/>
        <w:autoSpaceDE/>
        <w:autoSpaceDN/>
        <w:bidi w:val="0"/>
        <w:spacing w:line="600" w:lineRule="exact"/>
        <w:ind w:left="630" w:leftChars="0"/>
        <w:textAlignment w:val="auto"/>
        <w:outlineLvl w:val="1"/>
        <w:rPr>
          <w:rStyle w:val="30"/>
          <w:rFonts w:hint="eastAsia" w:ascii="Times New Roman" w:hAnsi="Times New Roman" w:eastAsia="黑体"/>
          <w:b w:val="0"/>
          <w:color w:val="auto"/>
          <w:highlight w:val="none"/>
        </w:rPr>
      </w:pPr>
      <w:bookmarkStart w:id="44" w:name="_Toc15396612"/>
      <w:bookmarkStart w:id="45" w:name="_Toc15377221"/>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44"/>
      <w:bookmarkEnd w:id="45"/>
    </w:p>
    <w:p w14:paraId="7E23B41C">
      <w:pPr>
        <w:pageBreakBefore w:val="0"/>
        <w:kinsoku/>
        <w:wordWrap/>
        <w:overflowPunct/>
        <w:topLinePunct w:val="0"/>
        <w:autoSpaceDE/>
        <w:autoSpaceDN/>
        <w:bidi w:val="0"/>
        <w:spacing w:line="60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6" w:name="_Toc15377222"/>
      <w:r>
        <w:rPr>
          <w:rFonts w:hint="eastAsia" w:ascii="Times New Roman" w:hAnsi="Times New Roman" w:eastAsia="楷体_GB2312" w:cs="楷体_GB2312"/>
          <w:b/>
          <w:color w:val="auto"/>
          <w:sz w:val="32"/>
          <w:szCs w:val="32"/>
          <w:highlight w:val="none"/>
        </w:rPr>
        <w:t>（一）机关运行经费支出情况</w:t>
      </w:r>
      <w:bookmarkEnd w:id="46"/>
    </w:p>
    <w:p w14:paraId="17F313F8">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w:t>
      </w:r>
      <w:r>
        <w:rPr>
          <w:rFonts w:hint="eastAsia" w:ascii="仿宋_GB2312" w:hAnsi="仿宋_GB2312" w:eastAsia="仿宋_GB2312" w:cs="仿宋_GB2312"/>
          <w:sz w:val="32"/>
          <w:szCs w:val="32"/>
        </w:rPr>
        <w:t>攀枝花市生态环境局</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406.7</w:t>
      </w:r>
      <w:r>
        <w:rPr>
          <w:rFonts w:hint="eastAsia" w:ascii="仿宋_GB2312" w:hAnsi="仿宋_GB2312" w:eastAsia="仿宋_GB2312" w:cs="仿宋_GB2312"/>
          <w:color w:val="auto"/>
          <w:kern w:val="2"/>
          <w:sz w:val="32"/>
          <w:szCs w:val="32"/>
          <w:highlight w:val="none"/>
          <w:lang w:val="en-US" w:eastAsia="zh-CN" w:bidi="ar-SA"/>
        </w:rPr>
        <w:t>万元，比上年度减少30.38万元，下降7%。主要原因是坚持厉行节约，减少一般性支出。</w:t>
      </w:r>
    </w:p>
    <w:p w14:paraId="569CB39E">
      <w:pPr>
        <w:pageBreakBefore w:val="0"/>
        <w:kinsoku/>
        <w:wordWrap/>
        <w:overflowPunct/>
        <w:topLinePunct w:val="0"/>
        <w:autoSpaceDE/>
        <w:autoSpaceDN/>
        <w:bidi w:val="0"/>
        <w:spacing w:line="60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7" w:name="_Toc15377223"/>
      <w:r>
        <w:rPr>
          <w:rFonts w:hint="eastAsia" w:ascii="Times New Roman" w:hAnsi="Times New Roman" w:eastAsia="楷体_GB2312" w:cs="楷体_GB2312"/>
          <w:b/>
          <w:color w:val="auto"/>
          <w:sz w:val="32"/>
          <w:szCs w:val="32"/>
          <w:highlight w:val="none"/>
        </w:rPr>
        <w:t>（二）政府采购支出情况</w:t>
      </w:r>
      <w:bookmarkEnd w:id="47"/>
    </w:p>
    <w:p w14:paraId="6C7DA967">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w:t>
      </w:r>
      <w:r>
        <w:rPr>
          <w:rFonts w:hint="eastAsia" w:ascii="仿宋_GB2312" w:hAnsi="仿宋_GB2312" w:eastAsia="仿宋_GB2312" w:cs="仿宋_GB2312"/>
          <w:sz w:val="32"/>
          <w:szCs w:val="32"/>
        </w:rPr>
        <w:t>攀枝花市生态环境局</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9367.7</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860.88</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7688.78</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818.04</w:t>
      </w:r>
      <w:r>
        <w:rPr>
          <w:rFonts w:hint="eastAsia" w:ascii="仿宋_GB2312" w:hAnsi="仿宋_GB2312" w:eastAsia="仿宋_GB2312" w:cs="仿宋_GB2312"/>
          <w:color w:val="auto"/>
          <w:kern w:val="2"/>
          <w:sz w:val="32"/>
          <w:szCs w:val="32"/>
          <w:highlight w:val="none"/>
          <w:lang w:val="en-US" w:eastAsia="zh-CN" w:bidi="ar-SA"/>
        </w:rPr>
        <w:t>万元。主要用于公务车辆燃油、维修保养采购、综合行政执法信息化项目智慧执法监管与服务平台、观音岩水质自动站运维项目、水生态监管系统项目、新污染物调查评估项目等。授予中小企业合同金额</w:t>
      </w:r>
      <w:r>
        <w:rPr>
          <w:rFonts w:hint="eastAsia" w:ascii="仿宋_GB2312" w:hAnsi="仿宋_GB2312" w:eastAsia="仿宋_GB2312" w:cs="仿宋_GB2312"/>
          <w:sz w:val="32"/>
          <w:szCs w:val="32"/>
        </w:rPr>
        <w:t>9131.44</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97.</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1373.07</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color w:val="auto"/>
          <w:kern w:val="2"/>
          <w:sz w:val="32"/>
          <w:szCs w:val="32"/>
          <w:highlight w:val="none"/>
          <w:lang w:val="en-US" w:eastAsia="zh-CN" w:bidi="ar-SA"/>
        </w:rPr>
        <w:t>%。</w:t>
      </w:r>
    </w:p>
    <w:p w14:paraId="3CCFFC5F">
      <w:pPr>
        <w:pageBreakBefore w:val="0"/>
        <w:kinsoku/>
        <w:wordWrap/>
        <w:overflowPunct/>
        <w:topLinePunct w:val="0"/>
        <w:autoSpaceDE/>
        <w:autoSpaceDN/>
        <w:bidi w:val="0"/>
        <w:spacing w:line="60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8" w:name="_Toc15377224"/>
      <w:r>
        <w:rPr>
          <w:rFonts w:hint="eastAsia" w:ascii="Times New Roman" w:hAnsi="Times New Roman" w:eastAsia="楷体_GB2312" w:cs="楷体_GB2312"/>
          <w:b/>
          <w:color w:val="auto"/>
          <w:sz w:val="32"/>
          <w:szCs w:val="32"/>
          <w:highlight w:val="none"/>
        </w:rPr>
        <w:t>（三）国有资产占有使用情况</w:t>
      </w:r>
      <w:bookmarkEnd w:id="48"/>
    </w:p>
    <w:p w14:paraId="594776F7">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截至2025年12月31日，</w:t>
      </w:r>
      <w:r>
        <w:rPr>
          <w:rFonts w:hint="eastAsia" w:ascii="仿宋_GB2312" w:hAnsi="仿宋_GB2312" w:eastAsia="仿宋_GB2312" w:cs="仿宋_GB2312"/>
          <w:sz w:val="32"/>
          <w:szCs w:val="32"/>
        </w:rPr>
        <w:t>攀枝花市生态环境局</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color w:val="auto"/>
          <w:kern w:val="2"/>
          <w:sz w:val="32"/>
          <w:szCs w:val="32"/>
          <w:highlight w:val="none"/>
          <w:lang w:val="en-US" w:eastAsia="zh-CN" w:bidi="ar-SA"/>
        </w:rPr>
        <w:t>辆，其中：副部（省）级及以上领导用车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辆、执法执勤用车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辆、特种专业技术用车</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辆、离退休干部服务用车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3</w:t>
      </w:r>
      <w:r>
        <w:rPr>
          <w:rFonts w:hint="eastAsia" w:ascii="仿宋_GB2312" w:hAnsi="仿宋_GB2312" w:eastAsia="仿宋_GB2312" w:cs="仿宋_GB2312"/>
          <w:color w:val="auto"/>
          <w:kern w:val="2"/>
          <w:sz w:val="32"/>
          <w:szCs w:val="32"/>
          <w:highlight w:val="none"/>
          <w:lang w:val="en-US" w:eastAsia="zh-CN" w:bidi="ar-SA"/>
        </w:rPr>
        <w:t>辆，其他用车主要是用于保障生态环境监测工作开展。单价100万元（含）以上设备（不含车辆）</w:t>
      </w:r>
      <w:r>
        <w:rPr>
          <w:rFonts w:hint="eastAsia" w:ascii="仿宋_GB2312" w:hAnsi="仿宋_GB2312" w:eastAsia="仿宋_GB2312" w:cs="仿宋_GB2312"/>
          <w:sz w:val="32"/>
          <w:szCs w:val="32"/>
        </w:rPr>
        <w:t>18</w:t>
      </w:r>
      <w:r>
        <w:rPr>
          <w:rFonts w:hint="eastAsia" w:ascii="仿宋_GB2312" w:hAnsi="仿宋_GB2312" w:eastAsia="仿宋_GB2312" w:cs="仿宋_GB2312"/>
          <w:color w:val="auto"/>
          <w:kern w:val="2"/>
          <w:sz w:val="32"/>
          <w:szCs w:val="32"/>
          <w:highlight w:val="none"/>
          <w:lang w:val="en-US" w:eastAsia="zh-CN" w:bidi="ar-SA"/>
        </w:rPr>
        <w:t>台（套）。</w:t>
      </w:r>
    </w:p>
    <w:p w14:paraId="7B3FDAFC">
      <w:pPr>
        <w:pageBreakBefore w:val="0"/>
        <w:kinsoku/>
        <w:wordWrap/>
        <w:overflowPunct/>
        <w:topLinePunct w:val="0"/>
        <w:autoSpaceDE/>
        <w:autoSpaceDN/>
        <w:bidi w:val="0"/>
        <w:spacing w:line="60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67DBA682">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根据预算绩效管理要求，市生态环境局在2025年度，组织对国省控环境空气质量自动监测站点站房改造搬迁拆除项目、大气污染物检测设备项目、VOCs排放源走航调查分析项目等13个项目涉及金额984.67万元开展了事前绩效评估，对39个项目编制了绩效目标，预算执行过程中，对所有项目开展绩效监控。</w:t>
      </w:r>
    </w:p>
    <w:p w14:paraId="11E5C78C">
      <w:pPr>
        <w:pageBreakBefore w:val="0"/>
        <w:kinsoku/>
        <w:wordWrap/>
        <w:overflowPunct/>
        <w:topLinePunct w:val="0"/>
        <w:autoSpaceDE/>
        <w:autoSpaceDN/>
        <w:bidi w:val="0"/>
        <w:spacing w:line="60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405CFD9F">
      <w:pPr>
        <w:pStyle w:val="14"/>
        <w:pageBreakBefore w:val="0"/>
        <w:kinsoku/>
        <w:wordWrap/>
        <w:overflowPunct/>
        <w:topLinePunct w:val="0"/>
        <w:autoSpaceDE/>
        <w:autoSpaceDN/>
        <w:bidi w:val="0"/>
        <w:spacing w:line="600"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0E20038F">
      <w:pPr>
        <w:pStyle w:val="8"/>
        <w:pageBreakBefore w:val="0"/>
        <w:kinsoku/>
        <w:wordWrap/>
        <w:overflowPunct/>
        <w:topLinePunct w:val="0"/>
        <w:autoSpaceDE/>
        <w:autoSpaceDN/>
        <w:bidi w:val="0"/>
        <w:spacing w:line="600" w:lineRule="exact"/>
        <w:textAlignment w:val="auto"/>
        <w:rPr>
          <w:rFonts w:hint="eastAsia" w:ascii="Times New Roman" w:hAnsi="Times New Roman" w:eastAsia="仿宋_GB2312" w:cs="仿宋_GB2312"/>
          <w:color w:val="auto"/>
          <w:kern w:val="2"/>
          <w:sz w:val="32"/>
          <w:szCs w:val="32"/>
          <w:highlight w:val="none"/>
          <w:lang w:val="en-US" w:eastAsia="zh-CN" w:bidi="ar-SA"/>
        </w:rPr>
      </w:pPr>
    </w:p>
    <w:p w14:paraId="32507F50">
      <w:pPr>
        <w:rPr>
          <w:rFonts w:hint="eastAsia" w:ascii="Times New Roman" w:hAnsi="Times New Roman" w:eastAsia="仿宋_GB2312" w:cs="仿宋_GB2312"/>
          <w:color w:val="auto"/>
          <w:kern w:val="2"/>
          <w:sz w:val="32"/>
          <w:szCs w:val="32"/>
          <w:highlight w:val="none"/>
          <w:lang w:val="en-US" w:eastAsia="zh-CN" w:bidi="ar-SA"/>
        </w:rPr>
      </w:pPr>
    </w:p>
    <w:p w14:paraId="4F3BD73E">
      <w:pPr>
        <w:pStyle w:val="5"/>
        <w:rPr>
          <w:rFonts w:hint="eastAsia" w:ascii="Times New Roman" w:hAnsi="Times New Roman" w:eastAsia="仿宋_GB2312" w:cs="仿宋_GB2312"/>
          <w:color w:val="auto"/>
          <w:kern w:val="2"/>
          <w:sz w:val="32"/>
          <w:szCs w:val="32"/>
          <w:highlight w:val="none"/>
          <w:lang w:val="en-US" w:eastAsia="zh-CN" w:bidi="ar-SA"/>
        </w:rPr>
      </w:pPr>
    </w:p>
    <w:p w14:paraId="4072DF9B">
      <w:pPr>
        <w:rPr>
          <w:rFonts w:hint="eastAsia" w:ascii="Times New Roman" w:hAnsi="Times New Roman" w:eastAsia="仿宋_GB2312" w:cs="仿宋_GB2312"/>
          <w:color w:val="auto"/>
          <w:kern w:val="2"/>
          <w:sz w:val="32"/>
          <w:szCs w:val="32"/>
          <w:highlight w:val="none"/>
          <w:lang w:val="en-US" w:eastAsia="zh-CN" w:bidi="ar-SA"/>
        </w:rPr>
      </w:pPr>
    </w:p>
    <w:p w14:paraId="03ADCE95">
      <w:pPr>
        <w:pStyle w:val="5"/>
        <w:rPr>
          <w:rFonts w:hint="eastAsia" w:ascii="Times New Roman" w:hAnsi="Times New Roman" w:eastAsia="仿宋_GB2312" w:cs="仿宋_GB2312"/>
          <w:color w:val="auto"/>
          <w:kern w:val="2"/>
          <w:sz w:val="32"/>
          <w:szCs w:val="32"/>
          <w:highlight w:val="none"/>
          <w:lang w:val="en-US" w:eastAsia="zh-CN" w:bidi="ar-SA"/>
        </w:rPr>
      </w:pPr>
    </w:p>
    <w:p w14:paraId="027F1815">
      <w:pPr>
        <w:rPr>
          <w:rFonts w:hint="eastAsia" w:ascii="Times New Roman" w:hAnsi="Times New Roman" w:eastAsia="仿宋_GB2312" w:cs="仿宋_GB2312"/>
          <w:color w:val="auto"/>
          <w:kern w:val="2"/>
          <w:sz w:val="32"/>
          <w:szCs w:val="32"/>
          <w:highlight w:val="none"/>
          <w:lang w:val="en-US" w:eastAsia="zh-CN" w:bidi="ar-SA"/>
        </w:rPr>
      </w:pPr>
    </w:p>
    <w:p w14:paraId="7A22BD88">
      <w:pPr>
        <w:pStyle w:val="5"/>
        <w:rPr>
          <w:rFonts w:hint="eastAsia" w:ascii="Times New Roman" w:hAnsi="Times New Roman" w:eastAsia="仿宋_GB2312" w:cs="仿宋_GB2312"/>
          <w:color w:val="auto"/>
          <w:kern w:val="2"/>
          <w:sz w:val="32"/>
          <w:szCs w:val="32"/>
          <w:highlight w:val="none"/>
          <w:lang w:val="en-US" w:eastAsia="zh-CN" w:bidi="ar-SA"/>
        </w:rPr>
      </w:pPr>
    </w:p>
    <w:p w14:paraId="4D873A10">
      <w:pPr>
        <w:rPr>
          <w:rFonts w:hint="eastAsia" w:ascii="Times New Roman" w:hAnsi="Times New Roman" w:eastAsia="仿宋_GB2312" w:cs="仿宋_GB2312"/>
          <w:color w:val="auto"/>
          <w:kern w:val="2"/>
          <w:sz w:val="32"/>
          <w:szCs w:val="32"/>
          <w:highlight w:val="none"/>
          <w:lang w:val="en-US" w:eastAsia="zh-CN" w:bidi="ar-SA"/>
        </w:rPr>
      </w:pPr>
    </w:p>
    <w:p w14:paraId="4ED45AA6">
      <w:pPr>
        <w:pStyle w:val="5"/>
        <w:rPr>
          <w:rFonts w:hint="eastAsia" w:ascii="Times New Roman" w:hAnsi="Times New Roman" w:eastAsia="仿宋_GB2312" w:cs="仿宋_GB2312"/>
          <w:color w:val="auto"/>
          <w:kern w:val="2"/>
          <w:sz w:val="32"/>
          <w:szCs w:val="32"/>
          <w:highlight w:val="none"/>
          <w:lang w:val="en-US" w:eastAsia="zh-CN" w:bidi="ar-SA"/>
        </w:rPr>
      </w:pPr>
    </w:p>
    <w:p w14:paraId="225D8C6D">
      <w:pPr>
        <w:rPr>
          <w:rFonts w:hint="eastAsia" w:ascii="Times New Roman" w:hAnsi="Times New Roman" w:eastAsia="仿宋_GB2312" w:cs="仿宋_GB2312"/>
          <w:color w:val="auto"/>
          <w:kern w:val="2"/>
          <w:sz w:val="32"/>
          <w:szCs w:val="32"/>
          <w:highlight w:val="none"/>
          <w:lang w:val="en-US" w:eastAsia="zh-CN" w:bidi="ar-SA"/>
        </w:rPr>
      </w:pPr>
    </w:p>
    <w:p w14:paraId="6A682DF9">
      <w:pPr>
        <w:pStyle w:val="5"/>
        <w:rPr>
          <w:rFonts w:hint="eastAsia" w:ascii="Times New Roman" w:hAnsi="Times New Roman" w:eastAsia="仿宋_GB2312" w:cs="仿宋_GB2312"/>
          <w:color w:val="auto"/>
          <w:kern w:val="2"/>
          <w:sz w:val="32"/>
          <w:szCs w:val="32"/>
          <w:highlight w:val="none"/>
          <w:lang w:val="en-US" w:eastAsia="zh-CN" w:bidi="ar-SA"/>
        </w:rPr>
      </w:pPr>
    </w:p>
    <w:p w14:paraId="6B69E250">
      <w:pPr>
        <w:rPr>
          <w:rFonts w:hint="eastAsia" w:ascii="Times New Roman" w:hAnsi="Times New Roman" w:eastAsia="仿宋_GB2312" w:cs="仿宋_GB2312"/>
          <w:color w:val="auto"/>
          <w:kern w:val="2"/>
          <w:sz w:val="32"/>
          <w:szCs w:val="32"/>
          <w:highlight w:val="none"/>
          <w:lang w:val="en-US" w:eastAsia="zh-CN" w:bidi="ar-SA"/>
        </w:rPr>
      </w:pPr>
    </w:p>
    <w:p w14:paraId="7566C0C4">
      <w:pPr>
        <w:pStyle w:val="5"/>
        <w:rPr>
          <w:rFonts w:hint="eastAsia" w:ascii="Times New Roman" w:hAnsi="Times New Roman" w:eastAsia="仿宋_GB2312" w:cs="仿宋_GB2312"/>
          <w:color w:val="auto"/>
          <w:kern w:val="2"/>
          <w:sz w:val="32"/>
          <w:szCs w:val="32"/>
          <w:highlight w:val="none"/>
          <w:lang w:val="en-US" w:eastAsia="zh-CN" w:bidi="ar-SA"/>
        </w:rPr>
      </w:pPr>
    </w:p>
    <w:p w14:paraId="6F3C6A1E">
      <w:pPr>
        <w:rPr>
          <w:rFonts w:hint="eastAsia" w:ascii="Times New Roman" w:hAnsi="Times New Roman" w:eastAsia="仿宋_GB2312" w:cs="仿宋_GB2312"/>
          <w:color w:val="auto"/>
          <w:kern w:val="2"/>
          <w:sz w:val="32"/>
          <w:szCs w:val="32"/>
          <w:highlight w:val="none"/>
          <w:lang w:val="en-US" w:eastAsia="zh-CN" w:bidi="ar-SA"/>
        </w:rPr>
      </w:pPr>
    </w:p>
    <w:p w14:paraId="333A0FFD">
      <w:pPr>
        <w:pageBreakBefore w:val="0"/>
        <w:kinsoku/>
        <w:wordWrap/>
        <w:overflowPunct/>
        <w:topLinePunct w:val="0"/>
        <w:autoSpaceDE/>
        <w:autoSpaceDN/>
        <w:bidi w:val="0"/>
        <w:spacing w:line="600" w:lineRule="exact"/>
        <w:textAlignment w:val="auto"/>
        <w:rPr>
          <w:rFonts w:hint="eastAsia"/>
          <w:lang w:val="en-US" w:eastAsia="zh-CN"/>
        </w:rPr>
      </w:pPr>
    </w:p>
    <w:p w14:paraId="5DE135DB">
      <w:pPr>
        <w:pageBreakBefore w:val="0"/>
        <w:numPr>
          <w:ilvl w:val="0"/>
          <w:numId w:val="0"/>
        </w:numPr>
        <w:kinsoku/>
        <w:wordWrap/>
        <w:overflowPunct/>
        <w:topLinePunct w:val="0"/>
        <w:autoSpaceDE/>
        <w:autoSpaceDN/>
        <w:bidi w:val="0"/>
        <w:spacing w:line="600" w:lineRule="exact"/>
        <w:jc w:val="center"/>
        <w:textAlignment w:val="auto"/>
        <w:outlineLvl w:val="0"/>
        <w:rPr>
          <w:rFonts w:hint="eastAsia" w:ascii="Times New Roman" w:hAnsi="Times New Roman" w:eastAsia="黑体"/>
          <w:color w:val="auto"/>
          <w:sz w:val="44"/>
          <w:szCs w:val="44"/>
          <w:highlight w:val="none"/>
        </w:rPr>
      </w:pPr>
      <w:bookmarkStart w:id="49" w:name="_Toc15377225"/>
      <w:bookmarkStart w:id="50"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9"/>
      <w:bookmarkEnd w:id="50"/>
    </w:p>
    <w:p w14:paraId="09182A35">
      <w:pPr>
        <w:pageBreakBefore w:val="0"/>
        <w:kinsoku/>
        <w:wordWrap/>
        <w:overflowPunct/>
        <w:topLinePunct w:val="0"/>
        <w:autoSpaceDE/>
        <w:autoSpaceDN/>
        <w:bidi w:val="0"/>
        <w:spacing w:line="600" w:lineRule="exact"/>
        <w:jc w:val="left"/>
        <w:textAlignment w:val="auto"/>
        <w:rPr>
          <w:rFonts w:ascii="Times New Roman" w:hAnsi="Times New Roman"/>
          <w:b/>
          <w:color w:val="auto"/>
          <w:sz w:val="44"/>
          <w:szCs w:val="44"/>
          <w:highlight w:val="none"/>
        </w:rPr>
      </w:pPr>
    </w:p>
    <w:p w14:paraId="248C5B49">
      <w:pPr>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1.财政拨款收入：指单位从同级财政部门取得的财政预算资金。</w:t>
      </w:r>
    </w:p>
    <w:p w14:paraId="29FA7EC3">
      <w:pPr>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2.其他收入：指单位取得的除上述收入以外的各项收入。主要是非本级财政拨款收入、利息收入。  </w:t>
      </w:r>
    </w:p>
    <w:p w14:paraId="162AFE1A">
      <w:pPr>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3.年初结转和结余：指以前年度尚未完成、结转到本年按有关规定继续使用的资金。 </w:t>
      </w:r>
    </w:p>
    <w:p w14:paraId="567768DE">
      <w:pPr>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4.年末结转和结余：指单位按有关规定结转到下年或以后年度继续使用的资金。</w:t>
      </w:r>
    </w:p>
    <w:p w14:paraId="49C21C63">
      <w:pPr>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5.一般公共服务（类）统计信息事务（款）专项统计业务（项）：反映各级统计机关在日常业务之外开展专项统计工作的支出。</w:t>
      </w:r>
    </w:p>
    <w:p w14:paraId="36E36748">
      <w:pPr>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6.一般公共服务支出（类）组织事务（款）其他组织事务支出（项）：反映其他用于中国共产党组织部门的事务支出。</w:t>
      </w:r>
    </w:p>
    <w:p w14:paraId="3F1578D3">
      <w:pPr>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7.社会保障和就业</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人力资源和社会保障管理事务（款）其他人力资源和社会保障管理事务支出（项）：反映其他用于人力资源和社会保障管理事务方面的支出。</w:t>
      </w:r>
    </w:p>
    <w:p w14:paraId="22F8DB6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.社会保障和就业</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（类）行政事业单位养老支出（款）行政单位离退休（项）：反映行政单位（包括实行公务员管理的事业单位）开支的离退休经费。</w:t>
      </w:r>
    </w:p>
    <w:p w14:paraId="37225F3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.社会保障和就业</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（类）行政事业单位养老支出（款）事业单位离退休（项）：反映事业单位开支的离退休经费。</w:t>
      </w:r>
    </w:p>
    <w:p w14:paraId="7E84D4F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.社会保障和就业</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（类）行政事业单位养老支出（款）机关事业单位基本养老保险缴费支出（项）：反映机关事业单位实施养老保险制度由单位缴纳的基本养老保险费支出。</w:t>
      </w:r>
    </w:p>
    <w:p w14:paraId="6AA799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11.社会保障和就业支出（类）行政事业单位养老支出（款）机关事业单位职业年金缴费支出（项）：反映机关事业单位实施养老保险制度由单位实际缴纳的职业年金支出（含职业年金补记支出）。</w:t>
      </w:r>
    </w:p>
    <w:p w14:paraId="226342D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.社会保障和就业（类）抚恤（款）死亡抚恤（项）：反映按规定用于烈士和牺牲、病故人员家属的一次性和定期抚恤金、丧葬补助费以及烈士褒扬金。</w:t>
      </w:r>
    </w:p>
    <w:p w14:paraId="6155CF2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13.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p>
    <w:p w14:paraId="1D7B716F">
      <w:pPr>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14.卫生健康支出（类）行政事业单位医疗（款）事业单位医疗（项）：反映财政部门安排的事业单位基本医疗保险缴费经费、未参加医疗保险的事业单位的公费医疗经费，按国家规定享受离休人员待遇的医疗经费。</w:t>
      </w:r>
    </w:p>
    <w:p w14:paraId="4BA6EB7A">
      <w:pPr>
        <w:pStyle w:val="2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15.卫生健康支出（类）行政事业单位医疗（款）公务员医疗补助（项）：反映财政部门安排的公务员医疗补助经费。</w:t>
      </w:r>
    </w:p>
    <w:p w14:paraId="4553DC96">
      <w:pPr>
        <w:pStyle w:val="2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16.卫生健康支出（类）行政事业单位医疗（款）其他行政事业单位医疗支出（项）：反映其他用于行政事业单位医疗方面的支出。</w:t>
      </w:r>
    </w:p>
    <w:p w14:paraId="5F165AB4">
      <w:pPr>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kern w:val="2"/>
          <w:sz w:val="32"/>
          <w:szCs w:val="32"/>
          <w:lang w:val="en-US" w:eastAsia="zh-CN" w:bidi="ar-SA"/>
        </w:rPr>
        <w:t>17.</w:t>
      </w:r>
      <w:r>
        <w:rPr>
          <w:rFonts w:hint="eastAsia" w:ascii="仿宋_GB2312" w:hAnsi="仿宋_GB2312" w:eastAsia="仿宋_GB2312" w:cs="仿宋_GB2312"/>
          <w:sz w:val="32"/>
          <w:szCs w:val="32"/>
        </w:rPr>
        <w:t>节能环保</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（类）环境保护管理事务（款）行政运行（项）：反映行政单位（包括实行公务员管理的事业单位）的基本支出。</w:t>
      </w:r>
    </w:p>
    <w:p w14:paraId="2D8D22BF">
      <w:pPr>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18.节能环保支出（类）环境保护管理事务（款）一般行政管理事务（项）：反映行政单位（包括实行公务员管理的事业单位）未单位设置项级科目的其他项目支出。</w:t>
      </w:r>
    </w:p>
    <w:p w14:paraId="5367C28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.节能环保</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（类）环境保护管理事务（款）其他环境保护管理事务支出（项）：反映其他用于环境保护管理事务方面的支出。</w:t>
      </w:r>
    </w:p>
    <w:p w14:paraId="351ABEA5">
      <w:pPr>
        <w:pStyle w:val="14"/>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节能环保</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环境监测与监察（款）其他环境监测与监察支出（项）：反映其他用于环境监测与监察方面的支出。</w:t>
      </w:r>
    </w:p>
    <w:p w14:paraId="57626E35">
      <w:pPr>
        <w:pStyle w:val="8"/>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hAnsi="仿宋_GB2312" w:eastAsia="仿宋_GB2312" w:cs="仿宋_GB2312"/>
          <w:sz w:val="32"/>
          <w:szCs w:val="32"/>
          <w:lang w:val="en-US" w:eastAsia="zh-CN"/>
        </w:rPr>
        <w:t>21.</w:t>
      </w:r>
      <w:r>
        <w:rPr>
          <w:rFonts w:hint="eastAsia" w:ascii="仿宋_GB2312" w:hAnsi="仿宋_GB2312" w:eastAsia="仿宋_GB2312" w:cs="仿宋_GB2312"/>
          <w:sz w:val="32"/>
          <w:szCs w:val="32"/>
        </w:rPr>
        <w:t>节能环保</w:t>
      </w:r>
      <w:r>
        <w:rPr>
          <w:rFonts w:hint="eastAsia" w:hAnsi="仿宋_GB2312" w:eastAsia="仿宋_GB2312" w:cs="仿宋_GB2312"/>
          <w:sz w:val="32"/>
          <w:szCs w:val="32"/>
          <w:lang w:eastAsia="zh-CN"/>
        </w:rPr>
        <w:t>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污染防治（款）大气（项）：反映政府在治理空气污染、汽车尾气、酸雨、二氧化硫、沙尘暴等方面的支出。</w:t>
      </w:r>
    </w:p>
    <w:p w14:paraId="69C06FBA">
      <w:pPr>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节能环保</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污染防治（款）水体（项）：反映政府在排水、污水处理、水污染防治、湖库生态环境保护、水源地保护、国土江河综合整治、河流治理与保护、地下水修复与保护等方面的支出。</w:t>
      </w:r>
    </w:p>
    <w:p w14:paraId="78FFBF2F">
      <w:pPr>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节能环保</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污染防治（款）土壤（项）：反映政府在土壤污染调查、风险管控、治理与修复等方面的支出。</w:t>
      </w:r>
    </w:p>
    <w:p w14:paraId="0783478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.节能环保</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（类）污染防治（款）其他污染防治支出（项）：反映其他用于污染防治方面的支出。</w:t>
      </w:r>
    </w:p>
    <w:p w14:paraId="73ACD566">
      <w:pPr>
        <w:pStyle w:val="8"/>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hAnsi="仿宋_GB2312" w:eastAsia="仿宋_GB2312" w:cs="仿宋_GB2312"/>
          <w:sz w:val="32"/>
          <w:szCs w:val="32"/>
          <w:lang w:val="en-US" w:eastAsia="zh-CN"/>
        </w:rPr>
        <w:t>25.</w:t>
      </w:r>
      <w:r>
        <w:rPr>
          <w:rFonts w:hint="eastAsia" w:ascii="仿宋_GB2312" w:hAnsi="仿宋_GB2312" w:eastAsia="仿宋_GB2312" w:cs="仿宋_GB2312"/>
          <w:sz w:val="32"/>
          <w:szCs w:val="32"/>
        </w:rPr>
        <w:t>节能环保</w:t>
      </w:r>
      <w:r>
        <w:rPr>
          <w:rFonts w:hint="eastAsia" w:hAnsi="仿宋_GB2312" w:eastAsia="仿宋_GB2312" w:cs="仿宋_GB2312"/>
          <w:sz w:val="32"/>
          <w:szCs w:val="32"/>
          <w:lang w:eastAsia="zh-CN"/>
        </w:rPr>
        <w:t>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自然生态保护（款）其他自然生态保护支出（项）：反映其他用于自然生态保护方面的支出。</w:t>
      </w:r>
    </w:p>
    <w:p w14:paraId="11C5DA41">
      <w:pPr>
        <w:pStyle w:val="8"/>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26.节能环保支出（类）其他节能环保支出（款）其他节能环保支出（项）：反映其他用于节能环保方面的支出。</w:t>
      </w:r>
    </w:p>
    <w:p w14:paraId="73864701">
      <w:pPr>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27.城乡社区支出（类）国有土地使用权出让收入安排的支出（款）土地开发支出（项）：反映新疆生产建设兵团和地方政府用于前期土地开发性支出以及与前期土地开发相关的费用等支出。</w:t>
      </w:r>
    </w:p>
    <w:p w14:paraId="6160CBD4">
      <w:pPr>
        <w:pStyle w:val="14"/>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28.城乡社区支出（类）国有土地使用权出让收入安排的支出（款）农业生产发展支出（项）：反映土地出让收入用于高标准农田建设、农田水利建设、农村土地综合整治、耕地及永久基本农田保护支出、现代种业提升等方面的支出。</w:t>
      </w:r>
    </w:p>
    <w:p w14:paraId="12E9075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.住房保障支出（类）住房改革支出（款）住房公积金（项）：反映行政事业单位按人力资源社会保障部、财政部规定的基本工资和津补贴以及规定比例为职工缴纳的住房公积金。</w:t>
      </w:r>
    </w:p>
    <w:p w14:paraId="488C60C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.基本支出：指为保障机构正常运转、完成日常工作任务而发生的人员支出和公用支出。</w:t>
      </w:r>
    </w:p>
    <w:p w14:paraId="7DAAC1F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 xml:space="preserve">.项目支出：指在基本支出之外为完成特定行政任务和事业发展目标所发生的支出。 </w:t>
      </w:r>
    </w:p>
    <w:p w14:paraId="2C6B091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F02AFB9">
      <w:pPr>
        <w:pageBreakBefore w:val="0"/>
        <w:widowControl w:val="0"/>
        <w:kinsoku/>
        <w:wordWrap/>
        <w:overflowPunct/>
        <w:topLinePunct w:val="0"/>
        <w:autoSpaceDE/>
        <w:autoSpaceDN/>
        <w:bidi w:val="0"/>
        <w:adjustRightInd/>
        <w:spacing w:line="600" w:lineRule="exact"/>
        <w:ind w:firstLine="640"/>
        <w:textAlignment w:val="auto"/>
        <w:rPr>
          <w:rFonts w:hint="eastAsia"/>
          <w:sz w:val="32"/>
          <w:szCs w:val="32"/>
          <w:lang w:val="en-US" w:eastAsia="zh-CN"/>
        </w:rPr>
      </w:pP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仿宋_GB2312" w:eastAsia="仿宋_GB2312" w:cs="仿宋_GB2312"/>
          <w:sz w:val="32"/>
          <w:szCs w:val="32"/>
        </w:rPr>
        <w:br w:type="page"/>
      </w:r>
    </w:p>
    <w:p w14:paraId="7DCE5886">
      <w:pPr>
        <w:pageBreakBefore w:val="0"/>
        <w:kinsoku/>
        <w:wordWrap/>
        <w:overflowPunct/>
        <w:topLinePunct w:val="0"/>
        <w:autoSpaceDE/>
        <w:autoSpaceDN/>
        <w:bidi w:val="0"/>
        <w:spacing w:line="600" w:lineRule="exact"/>
        <w:jc w:val="center"/>
        <w:textAlignment w:val="auto"/>
        <w:rPr>
          <w:rStyle w:val="29"/>
          <w:rFonts w:hint="eastAsia" w:ascii="Times New Roman" w:hAnsi="Times New Roman" w:eastAsia="黑体"/>
          <w:b w:val="0"/>
          <w:color w:val="auto"/>
          <w:highlight w:val="none"/>
          <w:lang w:eastAsia="zh-CN"/>
        </w:rPr>
      </w:pPr>
      <w:bookmarkStart w:id="51" w:name="_Toc15396614"/>
      <w:bookmarkStart w:id="52" w:name="_Toc15377226"/>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1"/>
    </w:p>
    <w:p w14:paraId="5011382B">
      <w:pPr>
        <w:keepNext w:val="0"/>
        <w:keepLines w:val="0"/>
        <w:pageBreakBefore w:val="0"/>
        <w:kinsoku/>
        <w:wordWrap/>
        <w:overflowPunct/>
        <w:topLinePunct w:val="0"/>
        <w:autoSpaceDE/>
        <w:autoSpaceDN/>
        <w:bidi w:val="0"/>
        <w:spacing w:line="600" w:lineRule="exact"/>
        <w:jc w:val="left"/>
        <w:textAlignment w:val="auto"/>
        <w:outlineLvl w:val="0"/>
        <w:rPr>
          <w:rFonts w:hint="eastAsia" w:ascii="Times New Roman" w:hAnsi="Times New Roman" w:eastAsia="黑体" w:cs="黑体"/>
          <w:color w:val="FF0000"/>
          <w:sz w:val="32"/>
          <w:szCs w:val="32"/>
          <w:highlight w:val="none"/>
        </w:rPr>
      </w:pPr>
    </w:p>
    <w:p w14:paraId="1A439BBA">
      <w:pPr>
        <w:keepNext w:val="0"/>
        <w:keepLines w:val="0"/>
        <w:pageBreakBefore w:val="0"/>
        <w:widowControl/>
        <w:kinsoku/>
        <w:wordWrap/>
        <w:overflowPunct/>
        <w:topLinePunct w:val="0"/>
        <w:autoSpaceDE/>
        <w:autoSpaceDN/>
        <w:bidi w:val="0"/>
        <w:spacing w:line="600"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7C0D911A">
      <w:pPr>
        <w:keepNext w:val="0"/>
        <w:keepLines w:val="0"/>
        <w:pageBreakBefore w:val="0"/>
        <w:widowControl/>
        <w:kinsoku/>
        <w:wordWrap/>
        <w:overflowPunct/>
        <w:topLinePunct w:val="0"/>
        <w:autoSpaceDE/>
        <w:autoSpaceDN/>
        <w:bidi w:val="0"/>
        <w:spacing w:line="600"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4D6BC724">
      <w:pPr>
        <w:keepNext w:val="0"/>
        <w:keepLines w:val="0"/>
        <w:pageBreakBefore w:val="0"/>
        <w:widowControl/>
        <w:kinsoku/>
        <w:wordWrap/>
        <w:overflowPunct/>
        <w:topLinePunct w:val="0"/>
        <w:autoSpaceDE/>
        <w:autoSpaceDN/>
        <w:bidi w:val="0"/>
        <w:adjustRightInd w:val="0"/>
        <w:snapToGrid w:val="0"/>
        <w:spacing w:line="600"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14DE6B9B">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部门基本情况</w:t>
      </w:r>
    </w:p>
    <w:p w14:paraId="44FC1B4C">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楷体_GB2312"/>
          <w:b/>
          <w:color w:val="auto"/>
          <w:sz w:val="32"/>
          <w:szCs w:val="32"/>
          <w:highlight w:val="none"/>
          <w:lang w:val="zh-CN"/>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p>
    <w:p w14:paraId="40FD04A0">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攀枝花市</w:t>
      </w:r>
      <w:r>
        <w:rPr>
          <w:rFonts w:hint="eastAsia" w:ascii="仿宋_GB2312" w:hAnsi="仿宋_GB2312" w:eastAsia="仿宋_GB2312" w:cs="仿宋_GB2312"/>
          <w:color w:val="auto"/>
          <w:sz w:val="32"/>
          <w:szCs w:val="32"/>
        </w:rPr>
        <w:t>生态环境局内设14个职能科室，设攀枝花市东区生态环境局、攀枝花市西区生态环境局 、攀枝花市仁和生态环境局、攀枝花市米易生态环境局、攀枝花市盐边生态环境局5个派出机构。下属参公事业单位攀枝花市生态环境保护综合行政执法支队和公益一类事业单位攀枝花市生态环境信息与技术评估服务中心、攀枝花市固废危化与环境应急事务中心、攀枝花市东区生态环境监测站。</w:t>
      </w:r>
    </w:p>
    <w:p w14:paraId="2ACC9BB7">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纳入二级预算单位</w:t>
      </w:r>
      <w:r>
        <w:rPr>
          <w:rFonts w:hint="eastAsia" w:ascii="仿宋_GB2312" w:hAnsi="仿宋_GB2312" w:eastAsia="仿宋_GB2312" w:cs="仿宋_GB2312"/>
          <w:color w:val="auto"/>
          <w:sz w:val="32"/>
          <w:szCs w:val="32"/>
        </w:rPr>
        <w:t>攀枝花市东区生态环境局、攀枝花市西区生态环境局、攀枝花市仁和生态环境局、攀枝花市米易生态环境局、攀枝花市盐边生态环境局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攀枝花市西区生态环境监测站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攀枝花市仁和生态环境监测站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攀枝花市米易生态环境监测站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攀枝花市盐边生态环境监测站</w:t>
      </w:r>
      <w:r>
        <w:rPr>
          <w:rFonts w:hint="eastAsia" w:ascii="仿宋_GB2312" w:hAnsi="仿宋_GB2312" w:eastAsia="仿宋_GB2312" w:cs="仿宋_GB2312"/>
          <w:color w:val="auto"/>
          <w:sz w:val="32"/>
          <w:szCs w:val="32"/>
          <w:lang w:eastAsia="zh-CN"/>
        </w:rPr>
        <w:t>。</w:t>
      </w:r>
    </w:p>
    <w:p w14:paraId="5D0AE13C">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eastAsia" w:ascii="Times New Roman" w:hAnsi="Times New Roman" w:eastAsia="楷体_GB2312" w:cs="楷体_GB2312"/>
          <w:b/>
          <w:color w:val="auto"/>
          <w:sz w:val="32"/>
          <w:szCs w:val="32"/>
          <w:highlight w:val="none"/>
          <w:lang w:val="zh-CN"/>
        </w:rPr>
      </w:pPr>
      <w:r>
        <w:rPr>
          <w:rFonts w:hint="eastAsia" w:eastAsia="楷体_GB2312" w:cs="楷体_GB2312"/>
          <w:b/>
          <w:color w:val="auto"/>
          <w:sz w:val="32"/>
          <w:szCs w:val="32"/>
          <w:highlight w:val="none"/>
          <w:lang w:val="zh-CN"/>
        </w:rPr>
        <w:t>（二）</w:t>
      </w:r>
      <w:r>
        <w:rPr>
          <w:rFonts w:hint="default" w:ascii="Times New Roman" w:hAnsi="Times New Roman" w:eastAsia="楷体_GB2312" w:cs="楷体_GB2312"/>
          <w:b/>
          <w:color w:val="auto"/>
          <w:sz w:val="32"/>
          <w:szCs w:val="32"/>
          <w:highlight w:val="none"/>
          <w:lang w:val="zh-CN"/>
        </w:rPr>
        <w:t>机构职能</w:t>
      </w:r>
      <w:r>
        <w:rPr>
          <w:rFonts w:hint="eastAsia" w:ascii="Times New Roman" w:hAnsi="Times New Roman" w:eastAsia="楷体_GB2312" w:cs="楷体_GB2312"/>
          <w:b/>
          <w:color w:val="auto"/>
          <w:sz w:val="32"/>
          <w:szCs w:val="32"/>
          <w:highlight w:val="none"/>
          <w:lang w:val="zh-CN"/>
        </w:rPr>
        <w:t>。</w:t>
      </w:r>
    </w:p>
    <w:p w14:paraId="196D850D">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default"/>
          <w:lang w:val="zh-CN"/>
        </w:rPr>
      </w:pPr>
      <w:r>
        <w:rPr>
          <w:rFonts w:hint="default" w:ascii="Times New Roman" w:hAnsi="Times New Roman" w:eastAsia="仿宋_GB2312" w:cs="Times New Roman"/>
          <w:sz w:val="32"/>
          <w:szCs w:val="32"/>
        </w:rPr>
        <w:t>负责建立健全全市生态环境基本制度；负责全市重大生态环境问题的统筹协调和监督管理；负责监督管理全市减排目标的落实；负责提出全市生态环境领域固定资产投资规模和方向、市级财政性资金安排的意见，按市政府规定权限审批、核准全市规划内和年度计划规模内固定资产投资项目，配合有关部门做好组织实施和监督工作；参与指导推动全市循环经济和生态环保产业发展；负责全市环境污染防治的监督管理；指导协调和监督全市生态保护修复工作；负责全市核与辐射安全的监督管理；负责全市生态环境准入的监督管理；负责全市生态环境监测、统计和信息发布工作；负责应对气候变化工作；组织开展市级生态环境保护督察和监察；负责生态环境保护领域的综合行政执法工作；组织指导和协调全市生态环境宣传教育工作；开展全市生态环境科技工作；开展生态环境对外交流与合作；负责职责范围内安全生产和职业健康、审批服务便民化等工作；完成市委、市政府和省生态环境厅交办的其他任务。</w:t>
      </w:r>
    </w:p>
    <w:p w14:paraId="248A65B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p>
    <w:p w14:paraId="07EA370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截至2025年末，</w:t>
      </w:r>
      <w:r>
        <w:rPr>
          <w:rFonts w:hint="eastAsia" w:ascii="仿宋_GB2312" w:hAnsi="仿宋_GB2312" w:eastAsia="仿宋_GB2312" w:cs="仿宋_GB2312"/>
          <w:sz w:val="32"/>
          <w:szCs w:val="32"/>
        </w:rPr>
        <w:t>市生态环境局部门核定行政编制57人（不含派驻纪检监察编制），参公事业编制102人，公益一类事业编制100人。</w:t>
      </w:r>
      <w:r>
        <w:rPr>
          <w:rFonts w:hint="eastAsia" w:ascii="仿宋_GB2312" w:hAnsi="仿宋_GB2312" w:eastAsia="仿宋_GB2312" w:cs="仿宋_GB2312"/>
          <w:sz w:val="32"/>
          <w:szCs w:val="32"/>
          <w:lang w:val="en-US" w:eastAsia="zh-CN"/>
        </w:rPr>
        <w:t>年末编制内实有人数229人，其中公务员50人、参照公务员法管理事业人员77人、事业管理人员和专业技术人员90人、机关和事业工人12人。</w:t>
      </w:r>
    </w:p>
    <w:p w14:paraId="6AFCDF2B">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14:paraId="13DF0A6A">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p>
    <w:p w14:paraId="089F7BEE">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仿宋_GB2312" w:hAnsi="仿宋_GB2312" w:eastAsia="仿宋_GB2312" w:cs="仿宋_GB2312"/>
          <w:b/>
          <w:bCs/>
          <w:color w:val="000000"/>
          <w:kern w:val="0"/>
          <w:sz w:val="32"/>
          <w:szCs w:val="32"/>
          <w:highlight w:val="none"/>
          <w:shd w:val="clear" w:color="auto" w:fill="FFFFFF"/>
          <w:lang w:val="en-US"/>
        </w:rPr>
      </w:pPr>
      <w:r>
        <w:rPr>
          <w:rFonts w:hint="eastAsia" w:ascii="仿宋_GB2312" w:hAnsi="仿宋_GB2312" w:eastAsia="仿宋_GB2312" w:cs="仿宋_GB2312"/>
          <w:sz w:val="32"/>
          <w:szCs w:val="32"/>
          <w:lang w:val="en-US" w:eastAsia="zh-CN"/>
        </w:rPr>
        <w:t>市生态环境局2025年年初预算收入5300.45万元，其中：一般公共预算财政拨款收入4942.9万元，占比93.3%；其他收入357.55万元，占比6.7%。决算报表收入11920.66万元，其中：一般公共预算财政拨款收入6311.58万元，占比52.9%；其他收入5609.08万元，占比47.1%。</w:t>
      </w:r>
    </w:p>
    <w:p w14:paraId="592B4971">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（二）</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p>
    <w:p w14:paraId="3DEC6378">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2025年年初预算支出5300.45万元，其中：基本支出4790.13万元，占比90.4%；项目支出510.32万元，占比9.6%。决算报表支出12071.15万元，其中：基本支出5056.15万元，占比41.9%；项目支出7014.99万元，占比58.1%。</w:t>
      </w:r>
    </w:p>
    <w:p w14:paraId="35834C25">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eastAsia"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p>
    <w:p w14:paraId="1E1BB4B4">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eastAsia" w:ascii="仿宋_GB2312" w:hAnsi="仿宋_GB2312" w:eastAsia="仿宋_GB2312" w:cs="仿宋_GB2312"/>
          <w:b w:val="0"/>
          <w:bCs w:val="0"/>
          <w:color w:val="000000"/>
          <w:kern w:val="0"/>
          <w:sz w:val="32"/>
          <w:szCs w:val="32"/>
          <w:highlight w:val="none"/>
          <w:shd w:val="clear" w:color="auto" w:fill="FFFFFF"/>
          <w:lang w:val="zh-CN" w:eastAsia="zh-CN"/>
        </w:rPr>
      </w:pPr>
      <w:r>
        <w:rPr>
          <w:rFonts w:hint="eastAsia" w:ascii="仿宋_GB2312" w:hAnsi="仿宋_GB2312" w:eastAsia="仿宋_GB2312" w:cs="仿宋_GB2312"/>
          <w:sz w:val="32"/>
          <w:szCs w:val="32"/>
          <w:lang w:val="en-US" w:eastAsia="zh-CN"/>
        </w:rPr>
        <w:t>2025年决算报表年末结转结余19.92万元。</w:t>
      </w:r>
    </w:p>
    <w:p w14:paraId="427A4DDD">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14:paraId="677674D2">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p>
    <w:p w14:paraId="3A55EAC2">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1.</w:t>
      </w:r>
      <w:r>
        <w:rPr>
          <w:rFonts w:hint="eastAsia" w:ascii="仿宋_GB2312" w:hAnsi="仿宋_GB2312" w:eastAsia="仿宋_GB2312" w:cs="仿宋_GB2312"/>
          <w:color w:val="auto"/>
          <w:kern w:val="2"/>
          <w:sz w:val="32"/>
          <w:szCs w:val="32"/>
          <w:highlight w:val="none"/>
          <w:lang w:val="zh-CN" w:eastAsia="zh-CN" w:bidi="ar-SA"/>
        </w:rPr>
        <w:t>履职效能</w:t>
      </w:r>
    </w:p>
    <w:p w14:paraId="4DD13CA3">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扎实推进水污染防治，围绕排污口、污水处理设施等区域开展专项行动，排查476个入河排污口、6个污水处理厂，发现问题14项，完成整改10项；实施《攀枝花金沙江倮果断面水质保优攻坚方案》，完成攀枝花水生态监管系统项目建设；开展21个行政村农村生活污水治理“千村示范工程”建设，目前已完成12个。</w:t>
      </w:r>
    </w:p>
    <w:p w14:paraId="3AD6E07F">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深入开展工业企业“净囱”专项行动，对106家涉气企业开展全面摸底排查，将40家企业56根烟囱63个治理项目纳入专项行动，年底前需完成的37个“净囱”行动项目已完成27个，其余10个项目正按计划稳步推动。精准应对臭氧污染，启动臭氧污染应急管控5次，今年出现臭氧污染4天，同比减少9天。</w:t>
      </w:r>
    </w:p>
    <w:p w14:paraId="39F09DCF">
      <w:pPr>
        <w:pStyle w:val="6"/>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val="0"/>
          <w:bCs/>
          <w:sz w:val="32"/>
          <w:szCs w:val="32"/>
          <w:lang w:val="en-US" w:eastAsia="zh-CN"/>
        </w:rPr>
        <w:t>强化土壤污染防控，开展重点行业企业用地土壤污染状况调查，推进83家土壤污染重点监管单位土壤环境管理工作，第八次更新发布全市污染地块名录，完工尾渣堆场风险管控与修复项目2个。严控尾矿库环境风险，对40座尾矿库实施分类分级动态监管，完成隐患排查及74个问题整改。</w:t>
      </w:r>
    </w:p>
    <w:p w14:paraId="57B7EAB0">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2.</w:t>
      </w:r>
      <w:r>
        <w:rPr>
          <w:rFonts w:hint="eastAsia" w:ascii="仿宋_GB2312" w:hAnsi="仿宋_GB2312" w:eastAsia="仿宋_GB2312" w:cs="仿宋_GB2312"/>
          <w:color w:val="auto"/>
          <w:kern w:val="2"/>
          <w:sz w:val="32"/>
          <w:szCs w:val="32"/>
          <w:highlight w:val="none"/>
          <w:lang w:val="zh-CN" w:eastAsia="zh-CN" w:bidi="ar-SA"/>
        </w:rPr>
        <w:t>预算管理</w:t>
      </w:r>
    </w:p>
    <w:p w14:paraId="3B2DAEFA">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仿宋_GB2312" w:eastAsia="仿宋_GB2312" w:cs="仿宋_GB2312"/>
          <w:b w:val="0"/>
          <w:bCs/>
          <w:sz w:val="32"/>
          <w:szCs w:val="32"/>
          <w:lang w:val="zh-CN" w:eastAsia="zh-CN"/>
        </w:rPr>
      </w:pPr>
      <w:r>
        <w:rPr>
          <w:rFonts w:hint="eastAsia" w:ascii="仿宋_GB2312" w:hAnsi="仿宋_GB2312" w:eastAsia="仿宋_GB2312" w:cs="仿宋_GB2312"/>
          <w:b w:val="0"/>
          <w:bCs/>
          <w:sz w:val="32"/>
          <w:szCs w:val="32"/>
          <w:lang w:val="en-US" w:eastAsia="zh-CN"/>
        </w:rPr>
        <w:t>一是</w:t>
      </w:r>
      <w:r>
        <w:rPr>
          <w:rFonts w:hint="eastAsia" w:ascii="仿宋_GB2312" w:hAnsi="仿宋_GB2312" w:eastAsia="仿宋_GB2312" w:cs="仿宋_GB2312"/>
          <w:b w:val="0"/>
          <w:bCs/>
          <w:sz w:val="32"/>
          <w:szCs w:val="32"/>
          <w:lang w:val="zh-CN" w:eastAsia="zh-CN"/>
        </w:rPr>
        <w:t>严格按要求编制部门预算，预算编制完整性好，准确性高。二是严格按照财政部门要求，及时足额上缴非税罚没收入，确保“收支两条线”管理。三是预算执行进度基本符合序时进度要求。四是严格落实“过紧日子”要求，进一步加强内部管理，严格控制“三公”经费，通过优化办公流程、降低办公成本、减少不必要的开支等方式，切实降低一般性支出。</w:t>
      </w:r>
    </w:p>
    <w:p w14:paraId="07F47AAA">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3.</w:t>
      </w:r>
      <w:r>
        <w:rPr>
          <w:rFonts w:hint="eastAsia" w:ascii="仿宋_GB2312" w:hAnsi="仿宋_GB2312" w:eastAsia="仿宋_GB2312" w:cs="仿宋_GB2312"/>
          <w:color w:val="auto"/>
          <w:kern w:val="2"/>
          <w:sz w:val="32"/>
          <w:szCs w:val="32"/>
          <w:highlight w:val="none"/>
          <w:lang w:val="zh-CN" w:eastAsia="zh-CN" w:bidi="ar-SA"/>
        </w:rPr>
        <w:t>财务管理</w:t>
      </w:r>
    </w:p>
    <w:p w14:paraId="638B641F">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b w:val="0"/>
          <w:bCs/>
          <w:sz w:val="32"/>
          <w:szCs w:val="32"/>
          <w:lang w:val="zh-CN" w:eastAsia="zh-CN"/>
        </w:rPr>
        <w:t>一是制定《攀枝花市生态环境保护专项资金管理办法》、《攀枝花市生态环境局项目采购流程》，进一步规范专项资金使用，严格项目管理。二是修订《攀枝花市生态环境局内部控制手册》合理设置财务岗位，明确了各岗位的职责和权限，有效防范了财务风险。三是全面实施预算绩效管理，合理安排预算收支；预算资金使用符合国家财经法规和单位财务管理制度规定以及单位专项资金管理办法的规定；资金拨付有完整的审批程序和手续；经费支出符合部门预算批复的用途。</w:t>
      </w:r>
    </w:p>
    <w:p w14:paraId="1E8E341A">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4.</w:t>
      </w:r>
      <w:r>
        <w:rPr>
          <w:rFonts w:hint="eastAsia" w:ascii="仿宋_GB2312" w:hAnsi="仿宋_GB2312" w:eastAsia="仿宋_GB2312" w:cs="仿宋_GB2312"/>
          <w:color w:val="auto"/>
          <w:kern w:val="2"/>
          <w:sz w:val="32"/>
          <w:szCs w:val="32"/>
          <w:highlight w:val="none"/>
          <w:lang w:val="zh-CN" w:eastAsia="zh-CN" w:bidi="ar-SA"/>
        </w:rPr>
        <w:t>资产管理</w:t>
      </w:r>
    </w:p>
    <w:p w14:paraId="0032C97C">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仿宋_GB2312" w:eastAsia="仿宋_GB2312" w:cs="仿宋_GB2312"/>
          <w:b w:val="0"/>
          <w:bCs/>
          <w:sz w:val="32"/>
          <w:szCs w:val="32"/>
          <w:lang w:val="zh-CN" w:eastAsia="zh-CN"/>
        </w:rPr>
      </w:pPr>
      <w:r>
        <w:rPr>
          <w:rFonts w:hint="eastAsia" w:ascii="仿宋_GB2312" w:hAnsi="仿宋_GB2312" w:eastAsia="仿宋_GB2312" w:cs="仿宋_GB2312"/>
          <w:b w:val="0"/>
          <w:bCs/>
          <w:sz w:val="32"/>
          <w:szCs w:val="32"/>
          <w:lang w:val="zh-CN" w:eastAsia="zh-CN"/>
        </w:rPr>
        <w:t>一是在资产管理过程中，注重资产配置的科学性与合理性，根据人员编制及实际工作需求，合理购置与调配资产，确保资产能够有效服务于生态环境保护各项工作。</w:t>
      </w:r>
    </w:p>
    <w:p w14:paraId="145C82CF">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仿宋_GB2312" w:eastAsia="仿宋_GB2312" w:cs="仿宋_GB2312"/>
          <w:b w:val="0"/>
          <w:bCs/>
          <w:sz w:val="32"/>
          <w:szCs w:val="32"/>
          <w:lang w:val="zh-CN" w:eastAsia="zh-CN"/>
        </w:rPr>
      </w:pPr>
      <w:r>
        <w:rPr>
          <w:rFonts w:hint="eastAsia" w:ascii="仿宋_GB2312" w:hAnsi="仿宋_GB2312" w:eastAsia="仿宋_GB2312" w:cs="仿宋_GB2312"/>
          <w:b w:val="0"/>
          <w:bCs/>
          <w:sz w:val="32"/>
          <w:szCs w:val="32"/>
          <w:lang w:val="zh-CN" w:eastAsia="zh-CN"/>
        </w:rPr>
        <w:t>二是加强资产的日常维护保养，确保资产处于良好状态，延长资产使用寿命，提高资产的使用效率。</w:t>
      </w:r>
    </w:p>
    <w:p w14:paraId="0FBE8101">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sz w:val="32"/>
          <w:szCs w:val="32"/>
          <w:lang w:val="en-US" w:eastAsia="zh-CN"/>
        </w:rPr>
        <w:t>三是指定专人定期开展资产清查，摸清资产底数，确保国有资产不流失。</w:t>
      </w:r>
    </w:p>
    <w:p w14:paraId="123DF321">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5.</w:t>
      </w:r>
      <w:r>
        <w:rPr>
          <w:rFonts w:hint="eastAsia" w:ascii="仿宋_GB2312" w:hAnsi="仿宋_GB2312" w:eastAsia="仿宋_GB2312" w:cs="仿宋_GB2312"/>
          <w:color w:val="auto"/>
          <w:kern w:val="2"/>
          <w:sz w:val="32"/>
          <w:szCs w:val="32"/>
          <w:highlight w:val="none"/>
          <w:lang w:val="zh-CN" w:eastAsia="zh-CN" w:bidi="ar-SA"/>
        </w:rPr>
        <w:t>采购管理</w:t>
      </w:r>
    </w:p>
    <w:p w14:paraId="16FFF308">
      <w:pPr>
        <w:keepNext w:val="0"/>
        <w:keepLines w:val="0"/>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b w:val="0"/>
          <w:bCs/>
          <w:sz w:val="32"/>
          <w:szCs w:val="32"/>
          <w:lang w:val="zh-CN" w:eastAsia="zh-CN"/>
        </w:rPr>
        <w:t>一是严格按照《关于进一步加大政府采购支持中小企业力度的通知》（财库〔2022〕19号）文件精神，采取多种措施支持中小企业参与政府采购活动。202</w:t>
      </w: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lang w:val="zh-CN" w:eastAsia="zh-CN"/>
        </w:rPr>
        <w:t>年度，政府采购支出</w:t>
      </w:r>
      <w:r>
        <w:rPr>
          <w:rFonts w:hint="eastAsia" w:ascii="仿宋_GB2312" w:hAnsi="仿宋_GB2312" w:eastAsia="仿宋_GB2312" w:cs="仿宋_GB2312"/>
          <w:b w:val="0"/>
          <w:bCs/>
          <w:sz w:val="32"/>
          <w:szCs w:val="32"/>
          <w:lang w:val="en-US" w:eastAsia="zh-CN"/>
        </w:rPr>
        <w:t>9367.7万元，其中授予中小企业金额9131.44万元，</w:t>
      </w:r>
      <w:r>
        <w:rPr>
          <w:rFonts w:hint="eastAsia" w:ascii="仿宋_GB2312" w:hAnsi="仿宋_GB2312" w:eastAsia="仿宋_GB2312" w:cs="仿宋_GB2312"/>
          <w:color w:val="auto"/>
          <w:kern w:val="2"/>
          <w:sz w:val="32"/>
          <w:szCs w:val="32"/>
          <w:highlight w:val="none"/>
          <w:lang w:val="en-US" w:eastAsia="zh-CN" w:bidi="ar-SA"/>
        </w:rPr>
        <w:t>占政府采购支出总额的</w:t>
      </w:r>
      <w:r>
        <w:rPr>
          <w:rFonts w:hint="eastAsia" w:ascii="仿宋_GB2312" w:hAnsi="仿宋_GB2312" w:eastAsia="仿宋_GB2312" w:cs="仿宋_GB2312"/>
          <w:sz w:val="32"/>
          <w:szCs w:val="32"/>
        </w:rPr>
        <w:t>97.</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b w:val="0"/>
          <w:bCs/>
          <w:sz w:val="32"/>
          <w:szCs w:val="32"/>
          <w:lang w:val="zh-CN" w:eastAsia="zh-CN"/>
        </w:rPr>
        <w:t>授予小微企业金额</w:t>
      </w:r>
      <w:r>
        <w:rPr>
          <w:rFonts w:hint="eastAsia" w:ascii="仿宋_GB2312" w:hAnsi="仿宋_GB2312" w:eastAsia="仿宋_GB2312" w:cs="仿宋_GB2312"/>
          <w:b w:val="0"/>
          <w:bCs/>
          <w:sz w:val="32"/>
          <w:szCs w:val="32"/>
          <w:lang w:val="en-US" w:eastAsia="zh-CN"/>
        </w:rPr>
        <w:t>1373.07万元，</w:t>
      </w:r>
      <w:r>
        <w:rPr>
          <w:rFonts w:hint="eastAsia" w:ascii="仿宋_GB2312" w:hAnsi="仿宋_GB2312" w:eastAsia="仿宋_GB2312" w:cs="仿宋_GB2312"/>
          <w:color w:val="auto"/>
          <w:kern w:val="2"/>
          <w:sz w:val="32"/>
          <w:szCs w:val="32"/>
          <w:highlight w:val="none"/>
          <w:lang w:val="en-US" w:eastAsia="zh-CN" w:bidi="ar-SA"/>
        </w:rPr>
        <w:t>占政府采购支出总额的</w:t>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b w:val="0"/>
          <w:bCs/>
          <w:sz w:val="32"/>
          <w:szCs w:val="32"/>
          <w:lang w:val="zh-CN" w:eastAsia="zh-CN"/>
        </w:rPr>
        <w:t>有效支持了中小企业的发展。二是高度重视采购执行率，通过加强采购计划管理、优化采购流程、提高采购效率等措施，确保采购执行率符合预算管理要求。</w:t>
      </w:r>
    </w:p>
    <w:p w14:paraId="2FB80C8E">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3238496E">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both"/>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常年项目绩效分析。</w:t>
      </w:r>
      <w:r>
        <w:rPr>
          <w:rFonts w:hint="eastAsia" w:ascii="仿宋_GB2312" w:hAnsi="仿宋_GB2312" w:eastAsia="仿宋_GB2312" w:cs="仿宋_GB2312"/>
          <w:color w:val="auto"/>
          <w:kern w:val="2"/>
          <w:sz w:val="32"/>
          <w:szCs w:val="32"/>
          <w:highlight w:val="none"/>
          <w:lang w:val="zh-CN" w:eastAsia="zh-CN" w:bidi="ar-SA"/>
        </w:rPr>
        <w:t>该类项目总数</w:t>
      </w:r>
      <w:r>
        <w:rPr>
          <w:rFonts w:hint="eastAsia" w:ascii="仿宋_GB2312" w:hAnsi="仿宋_GB2312" w:eastAsia="仿宋_GB2312" w:cs="仿宋_GB2312"/>
          <w:color w:val="auto"/>
          <w:kern w:val="2"/>
          <w:sz w:val="32"/>
          <w:szCs w:val="32"/>
          <w:highlight w:val="none"/>
          <w:lang w:val="en-US" w:eastAsia="zh-CN" w:bidi="ar-SA"/>
        </w:rPr>
        <w:t>9</w:t>
      </w:r>
      <w:r>
        <w:rPr>
          <w:rFonts w:hint="eastAsia" w:ascii="仿宋_GB2312" w:hAnsi="仿宋_GB2312" w:eastAsia="仿宋_GB2312" w:cs="仿宋_GB2312"/>
          <w:color w:val="auto"/>
          <w:kern w:val="2"/>
          <w:sz w:val="32"/>
          <w:szCs w:val="32"/>
          <w:highlight w:val="none"/>
          <w:lang w:val="zh-CN" w:eastAsia="zh-CN" w:bidi="ar-SA"/>
        </w:rPr>
        <w:t>个，涉及预算总金额</w:t>
      </w:r>
      <w:r>
        <w:rPr>
          <w:rFonts w:hint="eastAsia" w:ascii="仿宋_GB2312" w:hAnsi="仿宋_GB2312" w:eastAsia="仿宋_GB2312" w:cs="仿宋_GB2312"/>
          <w:color w:val="auto"/>
          <w:kern w:val="2"/>
          <w:sz w:val="32"/>
          <w:szCs w:val="32"/>
          <w:highlight w:val="none"/>
          <w:lang w:val="en-US" w:eastAsia="zh-CN" w:bidi="ar-SA"/>
        </w:rPr>
        <w:t>310.63</w:t>
      </w:r>
      <w:r>
        <w:rPr>
          <w:rFonts w:hint="eastAsia" w:ascii="仿宋_GB2312" w:hAnsi="仿宋_GB2312" w:eastAsia="仿宋_GB2312" w:cs="仿宋_GB2312"/>
          <w:color w:val="auto"/>
          <w:kern w:val="2"/>
          <w:sz w:val="32"/>
          <w:szCs w:val="32"/>
          <w:highlight w:val="none"/>
          <w:lang w:val="zh-CN" w:eastAsia="zh-CN" w:bidi="ar-SA"/>
        </w:rPr>
        <w:t>万元，1—1</w:t>
      </w:r>
      <w:r>
        <w:rPr>
          <w:rFonts w:hint="eastAsia" w:ascii="仿宋_GB2312" w:hAnsi="仿宋_GB2312" w:eastAsia="仿宋_GB2312" w:cs="仿宋_GB2312"/>
          <w:color w:val="auto"/>
          <w:kern w:val="2"/>
          <w:sz w:val="32"/>
          <w:szCs w:val="32"/>
          <w:highlight w:val="none"/>
          <w:lang w:val="en-US" w:eastAsia="zh-CN" w:bidi="ar-SA"/>
        </w:rPr>
        <w:t>2</w:t>
      </w:r>
      <w:r>
        <w:rPr>
          <w:rFonts w:hint="eastAsia" w:ascii="仿宋_GB2312" w:hAnsi="仿宋_GB2312" w:eastAsia="仿宋_GB2312" w:cs="仿宋_GB2312"/>
          <w:color w:val="auto"/>
          <w:kern w:val="2"/>
          <w:sz w:val="32"/>
          <w:szCs w:val="32"/>
          <w:highlight w:val="none"/>
          <w:lang w:val="zh-CN" w:eastAsia="zh-CN" w:bidi="ar-SA"/>
        </w:rPr>
        <w:t>月预算执行总体进度为</w:t>
      </w:r>
      <w:r>
        <w:rPr>
          <w:rFonts w:hint="eastAsia" w:ascii="仿宋_GB2312" w:hAnsi="仿宋_GB2312" w:eastAsia="仿宋_GB2312" w:cs="仿宋_GB2312"/>
          <w:color w:val="auto"/>
          <w:kern w:val="2"/>
          <w:sz w:val="32"/>
          <w:szCs w:val="32"/>
          <w:highlight w:val="none"/>
          <w:lang w:val="en-US" w:eastAsia="zh-CN" w:bidi="ar-SA"/>
        </w:rPr>
        <w:t>100</w:t>
      </w:r>
      <w:r>
        <w:rPr>
          <w:rFonts w:hint="eastAsia" w:ascii="仿宋_GB2312" w:hAnsi="仿宋_GB2312" w:eastAsia="仿宋_GB2312" w:cs="仿宋_GB2312"/>
          <w:color w:val="auto"/>
          <w:kern w:val="2"/>
          <w:sz w:val="32"/>
          <w:szCs w:val="32"/>
          <w:highlight w:val="none"/>
          <w:lang w:val="zh-CN" w:eastAsia="zh-CN" w:bidi="ar-SA"/>
        </w:rPr>
        <w:t>%。</w:t>
      </w:r>
    </w:p>
    <w:p w14:paraId="0416ACCE">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both"/>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阶段（一次性）项目绩效分析。</w:t>
      </w:r>
      <w:r>
        <w:rPr>
          <w:rFonts w:hint="eastAsia" w:ascii="仿宋_GB2312" w:hAnsi="仿宋_GB2312" w:eastAsia="仿宋_GB2312" w:cs="仿宋_GB2312"/>
          <w:color w:val="auto"/>
          <w:kern w:val="2"/>
          <w:sz w:val="32"/>
          <w:szCs w:val="32"/>
          <w:highlight w:val="none"/>
          <w:lang w:val="zh-CN" w:eastAsia="zh-CN" w:bidi="ar-SA"/>
        </w:rPr>
        <w:t>该类项目总数</w:t>
      </w:r>
      <w:r>
        <w:rPr>
          <w:rFonts w:hint="eastAsia" w:ascii="仿宋_GB2312" w:hAnsi="仿宋_GB2312" w:eastAsia="仿宋_GB2312" w:cs="仿宋_GB2312"/>
          <w:color w:val="auto"/>
          <w:kern w:val="2"/>
          <w:sz w:val="32"/>
          <w:szCs w:val="32"/>
          <w:highlight w:val="none"/>
          <w:lang w:val="en-US" w:eastAsia="zh-CN" w:bidi="ar-SA"/>
        </w:rPr>
        <w:t>30</w:t>
      </w:r>
      <w:r>
        <w:rPr>
          <w:rFonts w:hint="eastAsia" w:ascii="仿宋_GB2312" w:hAnsi="仿宋_GB2312" w:eastAsia="仿宋_GB2312" w:cs="仿宋_GB2312"/>
          <w:color w:val="auto"/>
          <w:kern w:val="2"/>
          <w:sz w:val="32"/>
          <w:szCs w:val="32"/>
          <w:highlight w:val="none"/>
          <w:lang w:val="zh-CN" w:eastAsia="zh-CN" w:bidi="ar-SA"/>
        </w:rPr>
        <w:t>个，涉及预算总金额</w:t>
      </w:r>
      <w:r>
        <w:rPr>
          <w:rFonts w:hint="eastAsia" w:ascii="仿宋_GB2312" w:hAnsi="仿宋_GB2312" w:eastAsia="仿宋_GB2312" w:cs="仿宋_GB2312"/>
          <w:color w:val="auto"/>
          <w:kern w:val="2"/>
          <w:sz w:val="32"/>
          <w:szCs w:val="32"/>
          <w:highlight w:val="none"/>
          <w:lang w:val="en-US" w:eastAsia="zh-CN" w:bidi="ar-SA"/>
        </w:rPr>
        <w:t>2677.78</w:t>
      </w:r>
      <w:r>
        <w:rPr>
          <w:rFonts w:hint="eastAsia" w:ascii="仿宋_GB2312" w:hAnsi="仿宋_GB2312" w:eastAsia="仿宋_GB2312" w:cs="仿宋_GB2312"/>
          <w:color w:val="auto"/>
          <w:kern w:val="2"/>
          <w:sz w:val="32"/>
          <w:szCs w:val="32"/>
          <w:highlight w:val="none"/>
          <w:lang w:val="zh-CN" w:eastAsia="zh-CN" w:bidi="ar-SA"/>
        </w:rPr>
        <w:t>万元，1—1</w:t>
      </w:r>
      <w:r>
        <w:rPr>
          <w:rFonts w:hint="eastAsia" w:ascii="仿宋_GB2312" w:hAnsi="仿宋_GB2312" w:eastAsia="仿宋_GB2312" w:cs="仿宋_GB2312"/>
          <w:color w:val="auto"/>
          <w:kern w:val="2"/>
          <w:sz w:val="32"/>
          <w:szCs w:val="32"/>
          <w:highlight w:val="none"/>
          <w:lang w:val="en-US" w:eastAsia="zh-CN" w:bidi="ar-SA"/>
        </w:rPr>
        <w:t>2</w:t>
      </w:r>
      <w:r>
        <w:rPr>
          <w:rFonts w:hint="eastAsia" w:ascii="仿宋_GB2312" w:hAnsi="仿宋_GB2312" w:eastAsia="仿宋_GB2312" w:cs="仿宋_GB2312"/>
          <w:color w:val="auto"/>
          <w:kern w:val="2"/>
          <w:sz w:val="32"/>
          <w:szCs w:val="32"/>
          <w:highlight w:val="none"/>
          <w:lang w:val="zh-CN" w:eastAsia="zh-CN" w:bidi="ar-SA"/>
        </w:rPr>
        <w:t>月预算执行总体进度为</w:t>
      </w:r>
      <w:r>
        <w:rPr>
          <w:rFonts w:hint="eastAsia" w:ascii="仿宋_GB2312" w:hAnsi="仿宋_GB2312" w:eastAsia="仿宋_GB2312" w:cs="仿宋_GB2312"/>
          <w:color w:val="auto"/>
          <w:kern w:val="2"/>
          <w:sz w:val="32"/>
          <w:szCs w:val="32"/>
          <w:highlight w:val="none"/>
          <w:lang w:val="en-US" w:eastAsia="zh-CN" w:bidi="ar-SA"/>
        </w:rPr>
        <w:t>54.8</w:t>
      </w:r>
      <w:r>
        <w:rPr>
          <w:rFonts w:hint="eastAsia" w:ascii="仿宋_GB2312" w:hAnsi="仿宋_GB2312" w:eastAsia="仿宋_GB2312" w:cs="仿宋_GB2312"/>
          <w:color w:val="auto"/>
          <w:kern w:val="2"/>
          <w:sz w:val="32"/>
          <w:szCs w:val="32"/>
          <w:highlight w:val="none"/>
          <w:lang w:val="zh-CN" w:eastAsia="zh-CN" w:bidi="ar-SA"/>
        </w:rPr>
        <w:t>%，其中：预算结余率大于</w:t>
      </w:r>
      <w:r>
        <w:rPr>
          <w:rFonts w:hint="eastAsia" w:ascii="仿宋_GB2312" w:hAnsi="仿宋_GB2312" w:eastAsia="仿宋_GB2312" w:cs="仿宋_GB2312"/>
          <w:color w:val="auto"/>
          <w:kern w:val="2"/>
          <w:sz w:val="32"/>
          <w:szCs w:val="32"/>
          <w:highlight w:val="none"/>
          <w:lang w:val="en-US" w:eastAsia="zh-CN" w:bidi="ar-SA"/>
        </w:rPr>
        <w:t>10%</w:t>
      </w:r>
      <w:r>
        <w:rPr>
          <w:rFonts w:hint="eastAsia" w:ascii="仿宋_GB2312" w:hAnsi="仿宋_GB2312" w:eastAsia="仿宋_GB2312" w:cs="仿宋_GB2312"/>
          <w:color w:val="auto"/>
          <w:kern w:val="2"/>
          <w:sz w:val="32"/>
          <w:szCs w:val="32"/>
          <w:highlight w:val="none"/>
          <w:lang w:val="zh-CN" w:eastAsia="zh-CN" w:bidi="ar-SA"/>
        </w:rPr>
        <w:t>的项目共计</w:t>
      </w:r>
      <w:r>
        <w:rPr>
          <w:rFonts w:hint="eastAsia" w:ascii="仿宋_GB2312" w:hAnsi="仿宋_GB2312" w:eastAsia="仿宋_GB2312" w:cs="仿宋_GB2312"/>
          <w:color w:val="auto"/>
          <w:kern w:val="2"/>
          <w:sz w:val="32"/>
          <w:szCs w:val="32"/>
          <w:highlight w:val="none"/>
          <w:lang w:val="en-US" w:eastAsia="zh-CN" w:bidi="ar-SA"/>
        </w:rPr>
        <w:t>13</w:t>
      </w:r>
      <w:r>
        <w:rPr>
          <w:rFonts w:hint="eastAsia" w:ascii="仿宋_GB2312" w:hAnsi="仿宋_GB2312" w:eastAsia="仿宋_GB2312" w:cs="仿宋_GB2312"/>
          <w:color w:val="auto"/>
          <w:kern w:val="2"/>
          <w:sz w:val="32"/>
          <w:szCs w:val="32"/>
          <w:highlight w:val="none"/>
          <w:lang w:val="zh-CN" w:eastAsia="zh-CN" w:bidi="ar-SA"/>
        </w:rPr>
        <w:t>个。</w:t>
      </w:r>
    </w:p>
    <w:p w14:paraId="3F0CA476">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both"/>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1.</w:t>
      </w:r>
      <w:r>
        <w:rPr>
          <w:rFonts w:hint="eastAsia" w:ascii="仿宋_GB2312" w:hAnsi="仿宋_GB2312" w:eastAsia="仿宋_GB2312" w:cs="仿宋_GB2312"/>
          <w:color w:val="auto"/>
          <w:kern w:val="2"/>
          <w:sz w:val="32"/>
          <w:szCs w:val="32"/>
          <w:highlight w:val="none"/>
          <w:lang w:val="zh-CN" w:eastAsia="zh-CN" w:bidi="ar-SA"/>
        </w:rPr>
        <w:t>项目决策。</w:t>
      </w:r>
    </w:p>
    <w:p w14:paraId="24C651C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决策程序：项目立项依据充分，程序规范，专项资金申请、设立过程符合《攀枝花市生态环境保护专项资金管理办法》相关要求。目标设置：各项目绩效目标依据充分，符合客观实际。项目入库：项目入库材料完整，包括事前评估报告、绩效目标表</w:t>
      </w:r>
      <w:r>
        <w:rPr>
          <w:rFonts w:hint="eastAsia" w:ascii="Times New Roman" w:hAnsi="Times New Roman" w:eastAsia="仿宋_GB2312" w:cs="Times New Roman"/>
          <w:color w:val="auto"/>
          <w:sz w:val="32"/>
          <w:szCs w:val="32"/>
          <w:lang w:eastAsia="zh-CN"/>
        </w:rPr>
        <w:t>等</w:t>
      </w:r>
      <w:r>
        <w:rPr>
          <w:rFonts w:hint="default" w:ascii="Times New Roman" w:hAnsi="Times New Roman" w:eastAsia="仿宋_GB2312" w:cs="Times New Roman"/>
          <w:color w:val="auto"/>
          <w:sz w:val="32"/>
          <w:szCs w:val="32"/>
        </w:rPr>
        <w:t>，并在规定时间</w:t>
      </w:r>
      <w:r>
        <w:rPr>
          <w:rFonts w:hint="eastAsia" w:ascii="Times New Roman" w:hAnsi="Times New Roman" w:eastAsia="仿宋_GB2312" w:cs="Times New Roman"/>
          <w:color w:val="auto"/>
          <w:sz w:val="32"/>
          <w:szCs w:val="32"/>
          <w:lang w:eastAsia="zh-CN"/>
        </w:rPr>
        <w:t>内</w:t>
      </w:r>
      <w:r>
        <w:rPr>
          <w:rFonts w:hint="default" w:ascii="Times New Roman" w:hAnsi="Times New Roman" w:eastAsia="仿宋_GB2312" w:cs="Times New Roman"/>
          <w:color w:val="auto"/>
          <w:sz w:val="32"/>
          <w:szCs w:val="32"/>
        </w:rPr>
        <w:t>完成项目入库。</w:t>
      </w:r>
    </w:p>
    <w:p w14:paraId="3DC1E975">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both"/>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2.项目执行</w:t>
      </w:r>
      <w:r>
        <w:rPr>
          <w:rFonts w:hint="eastAsia" w:ascii="仿宋_GB2312" w:hAnsi="仿宋_GB2312" w:eastAsia="仿宋_GB2312" w:cs="仿宋_GB2312"/>
          <w:color w:val="auto"/>
          <w:kern w:val="2"/>
          <w:sz w:val="32"/>
          <w:szCs w:val="32"/>
          <w:highlight w:val="none"/>
          <w:lang w:val="zh-CN" w:eastAsia="zh-CN" w:bidi="ar-SA"/>
        </w:rPr>
        <w:t>。</w:t>
      </w:r>
    </w:p>
    <w:p w14:paraId="2C442DD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执行同向性：项目资金管理严格遵循专款专用原则，资金使用与项目目标和任务高度一致，预算项目实际列支内容与绩效目标设置方向相符。项目调整：预算项目调整程序合规，调整程序规范严谨。执行结果：项目资金使用符合《攀枝花市生态环境保护专项资金管理办法》</w:t>
      </w:r>
      <w:r>
        <w:rPr>
          <w:rFonts w:hint="eastAsia" w:eastAsia="仿宋_GB2312" w:cs="Times New Roman"/>
          <w:color w:val="auto"/>
          <w:sz w:val="32"/>
          <w:szCs w:val="32"/>
          <w:lang w:eastAsia="zh-CN"/>
        </w:rPr>
        <w:t>的规定</w:t>
      </w:r>
      <w:r>
        <w:rPr>
          <w:rFonts w:hint="default" w:ascii="Times New Roman" w:hAnsi="Times New Roman" w:eastAsia="仿宋_GB2312" w:cs="Times New Roman"/>
          <w:color w:val="auto"/>
          <w:sz w:val="32"/>
          <w:szCs w:val="32"/>
        </w:rPr>
        <w:t>，无截留、挪用现象。项目招标、验收等环节均按制度执行，档案资料完整，无截留、挤占、挪用、虚列支出等情况。</w:t>
      </w:r>
    </w:p>
    <w:p w14:paraId="49E4F806">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both"/>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3.</w:t>
      </w:r>
      <w:r>
        <w:rPr>
          <w:rFonts w:hint="eastAsia" w:ascii="仿宋_GB2312" w:hAnsi="仿宋_GB2312" w:eastAsia="仿宋_GB2312" w:cs="仿宋_GB2312"/>
          <w:color w:val="auto"/>
          <w:kern w:val="2"/>
          <w:sz w:val="32"/>
          <w:szCs w:val="32"/>
          <w:highlight w:val="none"/>
          <w:lang w:val="zh-CN" w:eastAsia="zh-CN" w:bidi="ar-SA"/>
        </w:rPr>
        <w:t>目标实现。</w:t>
      </w:r>
    </w:p>
    <w:p w14:paraId="7808046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default" w:ascii="Times New Roman" w:hAnsi="Times New Roman" w:eastAsia="仿宋_GB2312" w:cs="Times New Roman"/>
          <w:color w:val="auto"/>
          <w:sz w:val="32"/>
          <w:szCs w:val="32"/>
        </w:rPr>
        <w:t>目标完成：经过项目实施，各项绩效目标基本完成。目标偏离：预算项目绩效目标数量指标实现程度与预期目标无偏离。实现效果：项目实施取得了显著的生态效益、社会效益与经济效益。</w:t>
      </w:r>
    </w:p>
    <w:p w14:paraId="725945C7">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contextualSpacing/>
        <w:jc w:val="both"/>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p>
    <w:p w14:paraId="2E4DD43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zh-CN"/>
        </w:rPr>
        <w:t>通过绩效自评，进一步掌握了资金使用情况和取得的效果，总结了资金管理经验，认识到了工作中存在的问题和不足，为今后完善年初预算编制、加强资金使用管理、健全资金支出项目、</w:t>
      </w:r>
      <w:r>
        <w:rPr>
          <w:rFonts w:hint="eastAsia" w:eastAsia="仿宋_GB2312" w:cs="Times New Roman"/>
          <w:sz w:val="32"/>
          <w:szCs w:val="32"/>
          <w:lang w:val="zh-CN"/>
        </w:rPr>
        <w:t>加大</w:t>
      </w:r>
      <w:r>
        <w:rPr>
          <w:rFonts w:hint="default" w:ascii="Times New Roman" w:hAnsi="Times New Roman" w:eastAsia="仿宋_GB2312" w:cs="Times New Roman"/>
          <w:sz w:val="32"/>
          <w:szCs w:val="32"/>
          <w:lang w:val="zh-CN"/>
        </w:rPr>
        <w:t>资金绩效管理、</w:t>
      </w:r>
      <w:r>
        <w:rPr>
          <w:rFonts w:hint="eastAsia" w:eastAsia="仿宋_GB2312" w:cs="Times New Roman"/>
          <w:sz w:val="32"/>
          <w:szCs w:val="32"/>
          <w:lang w:val="zh-CN"/>
        </w:rPr>
        <w:t>提高</w:t>
      </w:r>
      <w:r>
        <w:rPr>
          <w:rFonts w:hint="default" w:ascii="Times New Roman" w:hAnsi="Times New Roman" w:eastAsia="仿宋_GB2312" w:cs="Times New Roman"/>
          <w:sz w:val="32"/>
          <w:szCs w:val="32"/>
          <w:lang w:val="zh-CN"/>
        </w:rPr>
        <w:t>资金使用效益工作提供了重要的参考依据。</w:t>
      </w:r>
    </w:p>
    <w:p w14:paraId="24E1CFB8">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p>
    <w:p w14:paraId="17A00EA4">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p>
    <w:p w14:paraId="135C56F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contextualSpacing/>
        <w:jc w:val="left"/>
        <w:textAlignment w:val="auto"/>
        <w:rPr>
          <w:rFonts w:hint="default" w:ascii="Times New Roman" w:hAnsi="Times New Roman" w:eastAsia="仿宋_GB2312" w:cs="Times New Roman"/>
          <w:sz w:val="32"/>
          <w:szCs w:val="32"/>
          <w:u w:val="none"/>
          <w:lang w:val="en-US" w:eastAsia="zh-CN" w:bidi="ar"/>
        </w:rPr>
      </w:pPr>
      <w:r>
        <w:rPr>
          <w:rFonts w:hint="default" w:ascii="Times New Roman" w:hAnsi="Times New Roman" w:eastAsia="仿宋_GB2312" w:cs="Times New Roman"/>
          <w:sz w:val="32"/>
          <w:szCs w:val="32"/>
        </w:rPr>
        <w:t>市生态环境局部门整体支出绩效目标</w:t>
      </w:r>
      <w:r>
        <w:rPr>
          <w:rFonts w:hint="eastAsia" w:eastAsia="仿宋_GB2312" w:cs="Times New Roman"/>
          <w:sz w:val="32"/>
          <w:szCs w:val="32"/>
          <w:lang w:eastAsia="zh-CN"/>
        </w:rPr>
        <w:t>符合</w:t>
      </w:r>
      <w:r>
        <w:rPr>
          <w:rFonts w:hint="default" w:ascii="Times New Roman" w:hAnsi="Times New Roman" w:eastAsia="仿宋_GB2312" w:cs="Times New Roman"/>
          <w:sz w:val="32"/>
          <w:szCs w:val="32"/>
        </w:rPr>
        <w:t>法律法规、部门职责、中长期规划，目标任务合理可行。预算测算依据充分，支出预决算偏差度较小，绩效监控管理较严格。执行非税收入符合相关规定并及时上缴，资产管理规范，内控制度健全并执行有效，相关信息公开及时。任务指标完成情况较好，可持续发展能力提升明显，协作部门、管理对象和社会公众基本满意</w:t>
      </w:r>
      <w:r>
        <w:rPr>
          <w:rFonts w:hint="eastAsia" w:ascii="Times New Roman" w:hAnsi="Times New Roman" w:eastAsia="仿宋_GB2312" w:cs="Times New Roman"/>
          <w:sz w:val="32"/>
          <w:szCs w:val="32"/>
          <w:u w:val="none"/>
          <w:lang w:val="en-US" w:eastAsia="zh-CN" w:bidi="ar"/>
        </w:rPr>
        <w:t>。</w:t>
      </w:r>
    </w:p>
    <w:p w14:paraId="5751EA50">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存在问题。</w:t>
      </w:r>
    </w:p>
    <w:p w14:paraId="3ACE66D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一是部分项目因政府采购时限较长导致进展缓慢。</w:t>
      </w:r>
    </w:p>
    <w:p w14:paraId="0904C7C3">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eastAsia" w:ascii="Times New Roman" w:hAnsi="Times New Roman" w:eastAsia="仿宋_GB2312" w:cs="Times New Roman"/>
          <w:sz w:val="32"/>
          <w:szCs w:val="32"/>
          <w:u w:val="none"/>
          <w:lang w:val="en-US" w:eastAsia="zh-CN" w:bidi="ar"/>
        </w:rPr>
      </w:pPr>
      <w:r>
        <w:rPr>
          <w:rFonts w:hint="default" w:ascii="Times New Roman" w:hAnsi="Times New Roman" w:eastAsia="仿宋_GB2312" w:cs="Times New Roman"/>
          <w:sz w:val="32"/>
          <w:szCs w:val="32"/>
        </w:rPr>
        <w:t>二是因财政支付缓慢</w:t>
      </w:r>
      <w:r>
        <w:rPr>
          <w:rFonts w:hint="eastAsia" w:ascii="Times New Roman" w:hAnsi="Times New Roman" w:eastAsia="仿宋_GB2312" w:cs="Times New Roman"/>
          <w:sz w:val="32"/>
          <w:szCs w:val="32"/>
          <w:lang w:eastAsia="zh-CN"/>
        </w:rPr>
        <w:t>导致</w:t>
      </w:r>
      <w:r>
        <w:rPr>
          <w:rFonts w:hint="default" w:ascii="Times New Roman" w:hAnsi="Times New Roman" w:eastAsia="仿宋_GB2312" w:cs="Times New Roman"/>
          <w:sz w:val="32"/>
          <w:szCs w:val="32"/>
        </w:rPr>
        <w:t>专项资金预算执行率偏低。</w:t>
      </w:r>
    </w:p>
    <w:p w14:paraId="0F05F163">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eastAsia" w:eastAsia="楷体_GB2312" w:cs="Times New Roman"/>
          <w:b/>
          <w:bCs/>
          <w:color w:val="000000"/>
          <w:kern w:val="0"/>
          <w:sz w:val="32"/>
          <w:szCs w:val="32"/>
          <w:highlight w:val="none"/>
          <w:shd w:val="clear" w:color="auto" w:fill="FFFFFF"/>
          <w:lang w:val="zh-CN"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改进建议。</w:t>
      </w:r>
    </w:p>
    <w:p w14:paraId="5439BC94">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仿宋_GB2312" w:eastAsia="仿宋_GB2312" w:cs="仿宋_GB2312"/>
          <w:b w:val="0"/>
          <w:bCs/>
          <w:sz w:val="32"/>
          <w:szCs w:val="32"/>
          <w:lang w:val="zh-CN" w:eastAsia="zh-CN"/>
        </w:rPr>
      </w:pPr>
      <w:r>
        <w:rPr>
          <w:rFonts w:hint="eastAsia" w:ascii="仿宋_GB2312" w:hAnsi="仿宋_GB2312" w:eastAsia="仿宋_GB2312" w:cs="仿宋_GB2312"/>
          <w:b w:val="0"/>
          <w:bCs/>
          <w:sz w:val="32"/>
          <w:szCs w:val="32"/>
          <w:lang w:val="zh-CN" w:eastAsia="zh-CN"/>
        </w:rPr>
        <w:t>一是提高预算绩效编报能力。切实加强部门预算绩效目标编制的基础工作，理清本单位预算管理的整体思路，细化我局预算分解指标，做到目标考核切实可行，保证绩效目标的实现。</w:t>
      </w:r>
    </w:p>
    <w:p w14:paraId="7F51A5A0">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仿宋_GB2312" w:eastAsia="仿宋_GB2312" w:cs="仿宋_GB2312"/>
          <w:kern w:val="2"/>
          <w:sz w:val="32"/>
          <w:szCs w:val="32"/>
          <w:u w:val="none"/>
          <w:lang w:val="zh-CN" w:eastAsia="zh-CN" w:bidi="ar"/>
        </w:rPr>
      </w:pPr>
      <w:r>
        <w:rPr>
          <w:rFonts w:hint="eastAsia" w:ascii="仿宋_GB2312" w:hAnsi="仿宋_GB2312" w:eastAsia="仿宋_GB2312" w:cs="仿宋_GB2312"/>
          <w:b w:val="0"/>
          <w:bCs/>
          <w:sz w:val="32"/>
          <w:szCs w:val="32"/>
          <w:lang w:val="zh-CN" w:eastAsia="zh-CN"/>
        </w:rPr>
        <w:t>二是规范预算资金使用管理。强化资金管理意识，确保下达的专项资金，及时、合理、科学地使用资金，提高上级资金执行率。</w:t>
      </w:r>
    </w:p>
    <w:p w14:paraId="65CA5C1A">
      <w:pPr>
        <w:pStyle w:val="8"/>
        <w:keepNext w:val="0"/>
        <w:keepLines w:val="0"/>
        <w:pageBreakBefore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2"/>
          <w:sz w:val="32"/>
          <w:szCs w:val="32"/>
          <w:u w:val="none"/>
          <w:lang w:val="zh-CN" w:eastAsia="zh-CN" w:bidi="ar"/>
        </w:rPr>
      </w:pPr>
      <w:r>
        <w:rPr>
          <w:rFonts w:hint="eastAsia" w:ascii="仿宋_GB2312" w:hAnsi="仿宋_GB2312" w:eastAsia="仿宋_GB2312" w:cs="仿宋_GB2312"/>
          <w:kern w:val="2"/>
          <w:sz w:val="32"/>
          <w:szCs w:val="32"/>
          <w:u w:val="none"/>
          <w:lang w:val="zh-CN" w:eastAsia="zh-CN" w:bidi="ar"/>
        </w:rPr>
        <w:t>附表：</w:t>
      </w:r>
      <w:r>
        <w:rPr>
          <w:rFonts w:hint="eastAsia" w:ascii="仿宋_GB2312" w:hAnsi="仿宋_GB2312" w:eastAsia="仿宋_GB2312" w:cs="仿宋_GB2312"/>
          <w:kern w:val="2"/>
          <w:sz w:val="32"/>
          <w:szCs w:val="32"/>
          <w:u w:val="none"/>
          <w:lang w:val="en-US" w:eastAsia="zh-CN" w:bidi="ar"/>
        </w:rPr>
        <w:t>部门预算项目支出绩效自评表（2025年度）</w:t>
      </w:r>
    </w:p>
    <w:p w14:paraId="005AA587">
      <w:pPr>
        <w:pStyle w:val="8"/>
        <w:keepNext w:val="0"/>
        <w:keepLines w:val="0"/>
        <w:pageBreakBefore w:val="0"/>
        <w:numPr>
          <w:ilvl w:val="0"/>
          <w:numId w:val="0"/>
        </w:numPr>
        <w:kinsoku/>
        <w:wordWrap/>
        <w:overflowPunct/>
        <w:topLinePunct w:val="0"/>
        <w:autoSpaceDE/>
        <w:autoSpaceDN/>
        <w:bidi w:val="0"/>
        <w:spacing w:line="600" w:lineRule="exact"/>
        <w:textAlignment w:val="auto"/>
        <w:rPr>
          <w:rFonts w:hint="eastAsia" w:ascii="Times New Roman" w:hAnsi="Times New Roman" w:cs="Times New Roman"/>
          <w:sz w:val="32"/>
          <w:szCs w:val="32"/>
          <w:highlight w:val="yellow"/>
          <w:lang w:val="zh-CN" w:eastAsia="zh-CN"/>
        </w:rPr>
      </w:pPr>
    </w:p>
    <w:p w14:paraId="32BFC119">
      <w:pPr>
        <w:pageBreakBefore w:val="0"/>
        <w:kinsoku/>
        <w:wordWrap/>
        <w:overflowPunct/>
        <w:topLinePunct w:val="0"/>
        <w:autoSpaceDE/>
        <w:autoSpaceDN/>
        <w:bidi w:val="0"/>
        <w:spacing w:line="600" w:lineRule="exact"/>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62EF8F97">
      <w:pPr>
        <w:keepNext w:val="0"/>
        <w:keepLines w:val="0"/>
        <w:pageBreakBefore w:val="0"/>
        <w:widowControl w:val="0"/>
        <w:kinsoku/>
        <w:wordWrap/>
        <w:overflowPunct/>
        <w:topLinePunct w:val="0"/>
        <w:autoSpaceDE/>
        <w:autoSpaceDN/>
        <w:bidi w:val="0"/>
        <w:spacing w:line="600"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3"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2FA6D9BB">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52"/>
      <w:bookmarkEnd w:id="53"/>
      <w:bookmarkStart w:id="54" w:name="_Toc15396619"/>
    </w:p>
    <w:p w14:paraId="37391D46">
      <w:pPr>
        <w:pStyle w:val="15"/>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Times New Roman" w:hAnsi="Times New Roman" w:eastAsia="仿宋_GB2312" w:cs="仿宋_GB2312"/>
          <w:color w:val="auto"/>
          <w:sz w:val="32"/>
          <w:szCs w:val="32"/>
          <w:highlight w:val="none"/>
        </w:rPr>
      </w:pPr>
    </w:p>
    <w:p w14:paraId="1B9CDF41">
      <w:pPr>
        <w:pStyle w:val="15"/>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4"/>
    </w:p>
    <w:p w14:paraId="10FB435F">
      <w:pPr>
        <w:pStyle w:val="15"/>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Times New Roman" w:hAnsi="Times New Roman" w:eastAsia="仿宋_GB2312" w:cs="仿宋_GB2312"/>
          <w:color w:val="auto"/>
          <w:sz w:val="32"/>
          <w:szCs w:val="32"/>
          <w:highlight w:val="none"/>
        </w:rPr>
      </w:pPr>
      <w:bookmarkStart w:id="55" w:name="_Toc15396620"/>
      <w:r>
        <w:rPr>
          <w:rFonts w:hint="eastAsia" w:ascii="Times New Roman" w:hAnsi="Times New Roman" w:eastAsia="仿宋_GB2312" w:cs="仿宋_GB2312"/>
          <w:color w:val="auto"/>
          <w:sz w:val="32"/>
          <w:szCs w:val="32"/>
          <w:highlight w:val="none"/>
        </w:rPr>
        <w:t>二、收入决算表</w:t>
      </w:r>
      <w:bookmarkEnd w:id="55"/>
    </w:p>
    <w:p w14:paraId="77B4BB4F">
      <w:pPr>
        <w:pStyle w:val="15"/>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Times New Roman" w:hAnsi="Times New Roman" w:eastAsia="仿宋_GB2312" w:cs="仿宋_GB2312"/>
          <w:color w:val="auto"/>
          <w:sz w:val="32"/>
          <w:szCs w:val="32"/>
          <w:highlight w:val="none"/>
        </w:rPr>
      </w:pPr>
      <w:bookmarkStart w:id="56" w:name="_Toc15396621"/>
      <w:r>
        <w:rPr>
          <w:rFonts w:hint="eastAsia" w:ascii="Times New Roman" w:hAnsi="Times New Roman" w:eastAsia="仿宋_GB2312" w:cs="仿宋_GB2312"/>
          <w:color w:val="auto"/>
          <w:sz w:val="32"/>
          <w:szCs w:val="32"/>
          <w:highlight w:val="none"/>
        </w:rPr>
        <w:t>三、支出决算表</w:t>
      </w:r>
      <w:bookmarkEnd w:id="56"/>
    </w:p>
    <w:p w14:paraId="251EA4CA">
      <w:pPr>
        <w:pStyle w:val="15"/>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Times New Roman" w:hAnsi="Times New Roman" w:eastAsia="仿宋_GB2312" w:cs="仿宋_GB2312"/>
          <w:color w:val="auto"/>
          <w:sz w:val="32"/>
          <w:szCs w:val="32"/>
          <w:highlight w:val="none"/>
        </w:rPr>
      </w:pPr>
      <w:bookmarkStart w:id="57" w:name="_Toc15396622"/>
      <w:r>
        <w:rPr>
          <w:rFonts w:hint="eastAsia" w:ascii="Times New Roman" w:hAnsi="Times New Roman" w:eastAsia="仿宋_GB2312" w:cs="仿宋_GB2312"/>
          <w:color w:val="auto"/>
          <w:sz w:val="32"/>
          <w:szCs w:val="32"/>
          <w:highlight w:val="none"/>
        </w:rPr>
        <w:t>四、财政拨款收入支出决算总表</w:t>
      </w:r>
      <w:bookmarkEnd w:id="57"/>
    </w:p>
    <w:p w14:paraId="00730AB1">
      <w:pPr>
        <w:pStyle w:val="15"/>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Times New Roman" w:hAnsi="Times New Roman" w:eastAsia="仿宋_GB2312" w:cs="仿宋_GB2312"/>
          <w:color w:val="auto"/>
          <w:sz w:val="32"/>
          <w:szCs w:val="32"/>
          <w:highlight w:val="none"/>
        </w:rPr>
      </w:pPr>
      <w:bookmarkStart w:id="58" w:name="_Toc15396623"/>
      <w:r>
        <w:rPr>
          <w:rFonts w:hint="eastAsia" w:ascii="Times New Roman" w:hAnsi="Times New Roman" w:eastAsia="仿宋_GB2312" w:cs="仿宋_GB2312"/>
          <w:color w:val="auto"/>
          <w:sz w:val="32"/>
          <w:szCs w:val="32"/>
          <w:highlight w:val="none"/>
        </w:rPr>
        <w:t>五、财政拨款支出决算明细表</w:t>
      </w:r>
      <w:bookmarkEnd w:id="58"/>
      <w:bookmarkStart w:id="59" w:name="_Toc15396624"/>
    </w:p>
    <w:p w14:paraId="4714CBFE">
      <w:pPr>
        <w:pStyle w:val="15"/>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9"/>
    </w:p>
    <w:p w14:paraId="1A4BEA89">
      <w:pPr>
        <w:pStyle w:val="15"/>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Times New Roman" w:hAnsi="Times New Roman" w:eastAsia="仿宋_GB2312" w:cs="仿宋_GB2312"/>
          <w:color w:val="auto"/>
          <w:sz w:val="32"/>
          <w:szCs w:val="32"/>
          <w:highlight w:val="none"/>
        </w:rPr>
      </w:pPr>
      <w:bookmarkStart w:id="60" w:name="_Toc15396625"/>
      <w:r>
        <w:rPr>
          <w:rFonts w:hint="eastAsia" w:ascii="Times New Roman" w:hAnsi="Times New Roman" w:eastAsia="仿宋_GB2312" w:cs="仿宋_GB2312"/>
          <w:color w:val="auto"/>
          <w:sz w:val="32"/>
          <w:szCs w:val="32"/>
          <w:highlight w:val="none"/>
        </w:rPr>
        <w:t>七、一般公共预算财政拨款支出决算明细表</w:t>
      </w:r>
      <w:bookmarkEnd w:id="60"/>
    </w:p>
    <w:p w14:paraId="3D2E537E">
      <w:pPr>
        <w:pStyle w:val="15"/>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Times New Roman" w:hAnsi="Times New Roman" w:eastAsia="仿宋_GB2312" w:cs="仿宋_GB2312"/>
          <w:color w:val="auto"/>
          <w:sz w:val="32"/>
          <w:szCs w:val="32"/>
          <w:highlight w:val="none"/>
        </w:rPr>
      </w:pPr>
      <w:bookmarkStart w:id="61" w:name="_Toc15396626"/>
      <w:r>
        <w:rPr>
          <w:rFonts w:hint="eastAsia" w:ascii="Times New Roman" w:hAnsi="Times New Roman" w:eastAsia="仿宋_GB2312" w:cs="仿宋_GB2312"/>
          <w:color w:val="auto"/>
          <w:sz w:val="32"/>
          <w:szCs w:val="32"/>
          <w:highlight w:val="none"/>
        </w:rPr>
        <w:t>八、一般公共预算财政拨款基本支出决算表</w:t>
      </w:r>
      <w:bookmarkEnd w:id="61"/>
    </w:p>
    <w:p w14:paraId="4A56576A">
      <w:pPr>
        <w:pStyle w:val="15"/>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Times New Roman" w:hAnsi="Times New Roman" w:eastAsia="仿宋_GB2312" w:cs="仿宋_GB2312"/>
          <w:color w:val="auto"/>
          <w:sz w:val="32"/>
          <w:szCs w:val="32"/>
          <w:highlight w:val="none"/>
        </w:rPr>
      </w:pPr>
      <w:bookmarkStart w:id="62" w:name="_Toc15396627"/>
      <w:r>
        <w:rPr>
          <w:rFonts w:hint="eastAsia" w:ascii="Times New Roman" w:hAnsi="Times New Roman" w:eastAsia="仿宋_GB2312" w:cs="仿宋_GB2312"/>
          <w:color w:val="auto"/>
          <w:sz w:val="32"/>
          <w:szCs w:val="32"/>
          <w:highlight w:val="none"/>
        </w:rPr>
        <w:t>九、一般公共预算财政拨款项目支出决算表</w:t>
      </w:r>
      <w:bookmarkEnd w:id="62"/>
    </w:p>
    <w:p w14:paraId="66580025">
      <w:pPr>
        <w:pStyle w:val="15"/>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Times New Roman" w:hAnsi="Times New Roman" w:eastAsia="仿宋_GB2312" w:cs="仿宋_GB2312"/>
          <w:color w:val="auto"/>
          <w:sz w:val="32"/>
          <w:szCs w:val="32"/>
          <w:highlight w:val="none"/>
        </w:rPr>
      </w:pPr>
      <w:bookmarkStart w:id="63" w:name="_Toc15396628"/>
      <w:r>
        <w:rPr>
          <w:rFonts w:hint="eastAsia" w:ascii="Times New Roman" w:hAnsi="Times New Roman" w:eastAsia="仿宋_GB2312" w:cs="仿宋_GB2312"/>
          <w:color w:val="auto"/>
          <w:sz w:val="32"/>
          <w:szCs w:val="32"/>
          <w:highlight w:val="none"/>
        </w:rPr>
        <w:t>十、</w:t>
      </w:r>
      <w:bookmarkEnd w:id="63"/>
      <w:r>
        <w:rPr>
          <w:rFonts w:hint="eastAsia" w:ascii="Times New Roman" w:hAnsi="Times New Roman" w:eastAsia="仿宋_GB2312" w:cs="仿宋_GB2312"/>
          <w:color w:val="auto"/>
          <w:sz w:val="32"/>
          <w:szCs w:val="32"/>
          <w:highlight w:val="none"/>
        </w:rPr>
        <w:t>政府性基金预算财政拨款收入支出决算表</w:t>
      </w:r>
    </w:p>
    <w:p w14:paraId="1A4B8EC8">
      <w:pPr>
        <w:pStyle w:val="15"/>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Times New Roman" w:hAnsi="Times New Roman" w:eastAsia="仿宋_GB2312" w:cs="仿宋_GB2312"/>
          <w:color w:val="auto"/>
          <w:sz w:val="32"/>
          <w:szCs w:val="32"/>
          <w:highlight w:val="none"/>
        </w:rPr>
      </w:pPr>
      <w:bookmarkStart w:id="64" w:name="_Toc15396629"/>
      <w:r>
        <w:rPr>
          <w:rFonts w:hint="eastAsia" w:ascii="Times New Roman" w:hAnsi="Times New Roman" w:eastAsia="仿宋_GB2312" w:cs="仿宋_GB2312"/>
          <w:color w:val="auto"/>
          <w:sz w:val="32"/>
          <w:szCs w:val="32"/>
          <w:highlight w:val="none"/>
        </w:rPr>
        <w:t>十一、</w:t>
      </w:r>
      <w:bookmarkEnd w:id="64"/>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3F83EE73">
      <w:pPr>
        <w:pStyle w:val="15"/>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Times New Roman" w:hAnsi="Times New Roman" w:eastAsia="仿宋_GB2312" w:cs="仿宋_GB2312"/>
          <w:color w:val="auto"/>
          <w:sz w:val="32"/>
          <w:szCs w:val="32"/>
          <w:highlight w:val="none"/>
        </w:rPr>
      </w:pPr>
      <w:bookmarkStart w:id="65" w:name="_Toc15396630"/>
      <w:r>
        <w:rPr>
          <w:rFonts w:hint="eastAsia" w:ascii="Times New Roman" w:hAnsi="Times New Roman" w:eastAsia="仿宋_GB2312" w:cs="仿宋_GB2312"/>
          <w:color w:val="auto"/>
          <w:sz w:val="32"/>
          <w:szCs w:val="32"/>
          <w:highlight w:val="none"/>
        </w:rPr>
        <w:t>十二、</w:t>
      </w:r>
      <w:bookmarkEnd w:id="65"/>
      <w:r>
        <w:rPr>
          <w:rFonts w:hint="eastAsia" w:ascii="Times New Roman" w:hAnsi="Times New Roman" w:eastAsia="仿宋_GB2312" w:cs="仿宋_GB2312"/>
          <w:color w:val="auto"/>
          <w:sz w:val="32"/>
          <w:szCs w:val="32"/>
          <w:highlight w:val="none"/>
          <w:lang w:eastAsia="zh-CN"/>
        </w:rPr>
        <w:t>国有资本经营预算财政拨款支出决算表</w:t>
      </w:r>
    </w:p>
    <w:p w14:paraId="4DF44CCA">
      <w:pPr>
        <w:pStyle w:val="15"/>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Times New Roman" w:hAnsi="Times New Roman" w:eastAsia="仿宋_GB2312" w:cs="仿宋_GB2312"/>
          <w:color w:val="auto"/>
          <w:sz w:val="32"/>
          <w:szCs w:val="32"/>
          <w:highlight w:val="none"/>
          <w:lang w:eastAsia="zh-CN"/>
        </w:rPr>
      </w:pPr>
      <w:bookmarkStart w:id="66" w:name="_Toc15396631"/>
      <w:r>
        <w:rPr>
          <w:rFonts w:hint="eastAsia" w:ascii="Times New Roman" w:hAnsi="Times New Roman" w:eastAsia="仿宋_GB2312" w:cs="仿宋_GB2312"/>
          <w:color w:val="auto"/>
          <w:sz w:val="32"/>
          <w:szCs w:val="32"/>
          <w:highlight w:val="none"/>
        </w:rPr>
        <w:t>十三、</w:t>
      </w:r>
      <w:bookmarkEnd w:id="66"/>
      <w:r>
        <w:rPr>
          <w:rFonts w:hint="eastAsia" w:ascii="Times New Roman" w:hAnsi="Times New Roman" w:eastAsia="仿宋_GB2312" w:cs="仿宋_GB2312"/>
          <w:color w:val="auto"/>
          <w:sz w:val="32"/>
          <w:szCs w:val="32"/>
          <w:highlight w:val="none"/>
          <w:lang w:eastAsia="zh-CN"/>
        </w:rPr>
        <w:t>财政拨款“三公”经费支出决算表</w:t>
      </w:r>
    </w:p>
    <w:p w14:paraId="211A4B26">
      <w:pPr>
        <w:pageBreakBefore w:val="0"/>
        <w:kinsoku/>
        <w:wordWrap/>
        <w:overflowPunct/>
        <w:topLinePunct w:val="0"/>
        <w:autoSpaceDE/>
        <w:autoSpaceDN/>
        <w:bidi w:val="0"/>
        <w:spacing w:line="600" w:lineRule="exact"/>
        <w:textAlignment w:val="auto"/>
        <w:rPr>
          <w:rFonts w:hint="eastAsia" w:ascii="Times New Roman" w:hAnsi="Times New Roman"/>
          <w:lang w:eastAsia="zh-CN"/>
        </w:rPr>
      </w:pPr>
    </w:p>
    <w:sectPr>
      <w:footerReference r:id="rId10"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91FDB">
    <w:pPr>
      <w:pStyle w:val="11"/>
      <w:jc w:val="center"/>
    </w:pPr>
  </w:p>
  <w:p w14:paraId="5EDFDB01">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1E538">
    <w:pPr>
      <w:pStyle w:val="11"/>
      <w:tabs>
        <w:tab w:val="center" w:pos="4213"/>
        <w:tab w:val="left" w:pos="5797"/>
      </w:tabs>
      <w:jc w:val="left"/>
    </w:pPr>
    <w:r>
      <w:rPr>
        <w:rFonts w:hint="eastAsia"/>
        <w:sz w:val="18"/>
        <w:lang w:eastAsia="zh-CN"/>
      </w:rPr>
      <w:tab/>
    </w:r>
    <w:r>
      <w:rPr>
        <w:rFonts w:hint="eastAsia"/>
        <w:lang w:eastAsia="zh-CN"/>
      </w:rPr>
      <w:tab/>
    </w:r>
  </w:p>
  <w:p w14:paraId="7AEE05BF">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FEC9F">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4A0691">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34A0691">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3FEED">
    <w:pPr>
      <w:pStyle w:val="11"/>
      <w:jc w:val="center"/>
    </w:pPr>
  </w:p>
  <w:p w14:paraId="610690CE">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9001E">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1168D1">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71168D1">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82D27">
    <w:pPr>
      <w:pStyle w:val="11"/>
      <w:jc w:val="center"/>
    </w:pPr>
  </w:p>
  <w:p w14:paraId="694648AD">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35E9F">
    <w:pPr>
      <w:pStyle w:val="11"/>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B80956">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B80956">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7036B060">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632FE">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A23516"/>
    <w:rsid w:val="02317B1B"/>
    <w:rsid w:val="02FEBE30"/>
    <w:rsid w:val="036E493D"/>
    <w:rsid w:val="061E35DE"/>
    <w:rsid w:val="066E0107"/>
    <w:rsid w:val="07996F6E"/>
    <w:rsid w:val="07DFD8BA"/>
    <w:rsid w:val="07FDE982"/>
    <w:rsid w:val="08DB07E4"/>
    <w:rsid w:val="09867E8F"/>
    <w:rsid w:val="0A2032A3"/>
    <w:rsid w:val="0C6C4794"/>
    <w:rsid w:val="0CA8290A"/>
    <w:rsid w:val="0D35B1ED"/>
    <w:rsid w:val="0DE07E2B"/>
    <w:rsid w:val="0F98263C"/>
    <w:rsid w:val="101860EC"/>
    <w:rsid w:val="10C055FF"/>
    <w:rsid w:val="11772AA4"/>
    <w:rsid w:val="118107EC"/>
    <w:rsid w:val="11DFB614"/>
    <w:rsid w:val="13957196"/>
    <w:rsid w:val="13C718D7"/>
    <w:rsid w:val="13D50BC4"/>
    <w:rsid w:val="14022904"/>
    <w:rsid w:val="152F2A07"/>
    <w:rsid w:val="165E0673"/>
    <w:rsid w:val="16BB723D"/>
    <w:rsid w:val="16F13FCB"/>
    <w:rsid w:val="17CFC1FE"/>
    <w:rsid w:val="186504BB"/>
    <w:rsid w:val="1938089F"/>
    <w:rsid w:val="19A445FC"/>
    <w:rsid w:val="19BE6BE0"/>
    <w:rsid w:val="1B7D550C"/>
    <w:rsid w:val="1BDFE093"/>
    <w:rsid w:val="1BE8440E"/>
    <w:rsid w:val="1BEFB088"/>
    <w:rsid w:val="1D155CEE"/>
    <w:rsid w:val="1DDB5CB5"/>
    <w:rsid w:val="1DE178F3"/>
    <w:rsid w:val="1DF7ABED"/>
    <w:rsid w:val="1E3D790A"/>
    <w:rsid w:val="1E740ACF"/>
    <w:rsid w:val="1EBFEA09"/>
    <w:rsid w:val="1EFFDDD0"/>
    <w:rsid w:val="1F32514A"/>
    <w:rsid w:val="1F9FCB44"/>
    <w:rsid w:val="1FEC27FD"/>
    <w:rsid w:val="1FF35744"/>
    <w:rsid w:val="1FF6BC77"/>
    <w:rsid w:val="21962A9E"/>
    <w:rsid w:val="21AE7C77"/>
    <w:rsid w:val="222E130D"/>
    <w:rsid w:val="22BC3C41"/>
    <w:rsid w:val="23860B96"/>
    <w:rsid w:val="240371BF"/>
    <w:rsid w:val="260F557C"/>
    <w:rsid w:val="27F7CBAF"/>
    <w:rsid w:val="281408E2"/>
    <w:rsid w:val="29FD04D3"/>
    <w:rsid w:val="2B7D671A"/>
    <w:rsid w:val="2BFF7BC6"/>
    <w:rsid w:val="2C8A61B5"/>
    <w:rsid w:val="2D2E01CF"/>
    <w:rsid w:val="2DF04E50"/>
    <w:rsid w:val="2E9545B0"/>
    <w:rsid w:val="2EBFB907"/>
    <w:rsid w:val="2EF7DE8A"/>
    <w:rsid w:val="2F040D46"/>
    <w:rsid w:val="2FAE5751"/>
    <w:rsid w:val="2FB1A395"/>
    <w:rsid w:val="2FBB6DDC"/>
    <w:rsid w:val="2FD9A7D8"/>
    <w:rsid w:val="2FE9A872"/>
    <w:rsid w:val="319F7F4E"/>
    <w:rsid w:val="321B2544"/>
    <w:rsid w:val="3304709D"/>
    <w:rsid w:val="33F711AA"/>
    <w:rsid w:val="34281836"/>
    <w:rsid w:val="349D6851"/>
    <w:rsid w:val="34DF506F"/>
    <w:rsid w:val="34E7E61A"/>
    <w:rsid w:val="35BA6CAF"/>
    <w:rsid w:val="35D37231"/>
    <w:rsid w:val="35DEFEB7"/>
    <w:rsid w:val="364D14C1"/>
    <w:rsid w:val="36AA5135"/>
    <w:rsid w:val="36BE0DA7"/>
    <w:rsid w:val="376B6AA6"/>
    <w:rsid w:val="376D39B2"/>
    <w:rsid w:val="378B423E"/>
    <w:rsid w:val="37CF3939"/>
    <w:rsid w:val="37E16F03"/>
    <w:rsid w:val="37EF0F47"/>
    <w:rsid w:val="37F53A3B"/>
    <w:rsid w:val="37FF20BA"/>
    <w:rsid w:val="389B6C89"/>
    <w:rsid w:val="38D469F0"/>
    <w:rsid w:val="39627CCD"/>
    <w:rsid w:val="397BAF1F"/>
    <w:rsid w:val="3A9E81EE"/>
    <w:rsid w:val="3AB79AF3"/>
    <w:rsid w:val="3B3DD144"/>
    <w:rsid w:val="3B7EF35A"/>
    <w:rsid w:val="3B9FDB6C"/>
    <w:rsid w:val="3BB3BD9A"/>
    <w:rsid w:val="3BF5BC2F"/>
    <w:rsid w:val="3BF67810"/>
    <w:rsid w:val="3BF7281C"/>
    <w:rsid w:val="3CE3BE2C"/>
    <w:rsid w:val="3CEBA265"/>
    <w:rsid w:val="3D98207C"/>
    <w:rsid w:val="3D9B0D99"/>
    <w:rsid w:val="3DBF349C"/>
    <w:rsid w:val="3DDFB109"/>
    <w:rsid w:val="3DE9A197"/>
    <w:rsid w:val="3DEA52D2"/>
    <w:rsid w:val="3DEB357A"/>
    <w:rsid w:val="3DEE7CF3"/>
    <w:rsid w:val="3DF02244"/>
    <w:rsid w:val="3E78745D"/>
    <w:rsid w:val="3EDFDDAF"/>
    <w:rsid w:val="3EFBB15D"/>
    <w:rsid w:val="3EFF92B9"/>
    <w:rsid w:val="3F3778CC"/>
    <w:rsid w:val="3F6DF621"/>
    <w:rsid w:val="3F6FF260"/>
    <w:rsid w:val="3F7DF4F3"/>
    <w:rsid w:val="3F7FBAE5"/>
    <w:rsid w:val="3F99C8E3"/>
    <w:rsid w:val="3FAF52E5"/>
    <w:rsid w:val="3FB5CD86"/>
    <w:rsid w:val="3FB70DC2"/>
    <w:rsid w:val="3FBDD087"/>
    <w:rsid w:val="3FBE8FF6"/>
    <w:rsid w:val="3FCB3BAF"/>
    <w:rsid w:val="3FEDC9FC"/>
    <w:rsid w:val="3FEE7AB5"/>
    <w:rsid w:val="3FF4CAE0"/>
    <w:rsid w:val="3FF7B227"/>
    <w:rsid w:val="3FFE02D1"/>
    <w:rsid w:val="3FFF1C27"/>
    <w:rsid w:val="3FFF44BC"/>
    <w:rsid w:val="40E54C45"/>
    <w:rsid w:val="41313393"/>
    <w:rsid w:val="43A407DF"/>
    <w:rsid w:val="44515BEA"/>
    <w:rsid w:val="44E268DA"/>
    <w:rsid w:val="44FBA39C"/>
    <w:rsid w:val="453F7E5B"/>
    <w:rsid w:val="456FBB6A"/>
    <w:rsid w:val="477790F1"/>
    <w:rsid w:val="47CC3E8E"/>
    <w:rsid w:val="47CF65A3"/>
    <w:rsid w:val="47ED681F"/>
    <w:rsid w:val="486A6C7A"/>
    <w:rsid w:val="49176D9B"/>
    <w:rsid w:val="494006BD"/>
    <w:rsid w:val="4A627F82"/>
    <w:rsid w:val="4B0E749A"/>
    <w:rsid w:val="4B4F25DA"/>
    <w:rsid w:val="4BDA0CFB"/>
    <w:rsid w:val="4BE068DB"/>
    <w:rsid w:val="4CBDFC71"/>
    <w:rsid w:val="4D3C0CCC"/>
    <w:rsid w:val="4D577224"/>
    <w:rsid w:val="4DBF1CEB"/>
    <w:rsid w:val="4DF03F7B"/>
    <w:rsid w:val="4EAB630A"/>
    <w:rsid w:val="4ECE2238"/>
    <w:rsid w:val="4EDBA48C"/>
    <w:rsid w:val="4EEAAD24"/>
    <w:rsid w:val="4F833267"/>
    <w:rsid w:val="4FBFFF8F"/>
    <w:rsid w:val="4FDF6F44"/>
    <w:rsid w:val="4FE9BD67"/>
    <w:rsid w:val="4FFB052F"/>
    <w:rsid w:val="53083A92"/>
    <w:rsid w:val="537E6D0A"/>
    <w:rsid w:val="53AF27A2"/>
    <w:rsid w:val="53F6F1A5"/>
    <w:rsid w:val="53F74C96"/>
    <w:rsid w:val="555D838C"/>
    <w:rsid w:val="55FF73ED"/>
    <w:rsid w:val="56E47B74"/>
    <w:rsid w:val="56F65BA0"/>
    <w:rsid w:val="571FA772"/>
    <w:rsid w:val="578A4091"/>
    <w:rsid w:val="57BD3DD4"/>
    <w:rsid w:val="57BD5935"/>
    <w:rsid w:val="57F95C7C"/>
    <w:rsid w:val="593F9D54"/>
    <w:rsid w:val="59FF5401"/>
    <w:rsid w:val="5A7F6774"/>
    <w:rsid w:val="5AF92295"/>
    <w:rsid w:val="5B139B9C"/>
    <w:rsid w:val="5BDD79E6"/>
    <w:rsid w:val="5BDFA714"/>
    <w:rsid w:val="5BF561CA"/>
    <w:rsid w:val="5BF7C392"/>
    <w:rsid w:val="5BFE2587"/>
    <w:rsid w:val="5BFF5DFC"/>
    <w:rsid w:val="5C6F6F33"/>
    <w:rsid w:val="5CD71FC4"/>
    <w:rsid w:val="5D1F11B5"/>
    <w:rsid w:val="5DAE1B18"/>
    <w:rsid w:val="5DB5023A"/>
    <w:rsid w:val="5DE7D9E5"/>
    <w:rsid w:val="5EBB4F8F"/>
    <w:rsid w:val="5ECEC941"/>
    <w:rsid w:val="5F358FDA"/>
    <w:rsid w:val="5F493CB7"/>
    <w:rsid w:val="5F76BB31"/>
    <w:rsid w:val="5F7E0FCF"/>
    <w:rsid w:val="5FB9B97C"/>
    <w:rsid w:val="5FBF9FF3"/>
    <w:rsid w:val="5FCD4E2C"/>
    <w:rsid w:val="5FD15F49"/>
    <w:rsid w:val="5FDEB4D4"/>
    <w:rsid w:val="5FE889E5"/>
    <w:rsid w:val="5FEF394A"/>
    <w:rsid w:val="5FEF8097"/>
    <w:rsid w:val="5FF50024"/>
    <w:rsid w:val="5FF67715"/>
    <w:rsid w:val="5FF6A182"/>
    <w:rsid w:val="5FF6BA1A"/>
    <w:rsid w:val="5FF743F0"/>
    <w:rsid w:val="5FFE65F9"/>
    <w:rsid w:val="5FFFE3D7"/>
    <w:rsid w:val="62BF3928"/>
    <w:rsid w:val="63F7A7E5"/>
    <w:rsid w:val="647F5392"/>
    <w:rsid w:val="653FC168"/>
    <w:rsid w:val="6645A1E8"/>
    <w:rsid w:val="664B1D71"/>
    <w:rsid w:val="66BD1D63"/>
    <w:rsid w:val="66CA0C53"/>
    <w:rsid w:val="67AA3209"/>
    <w:rsid w:val="67F175A0"/>
    <w:rsid w:val="67FD30F4"/>
    <w:rsid w:val="681C4F0D"/>
    <w:rsid w:val="69046D0F"/>
    <w:rsid w:val="697FC373"/>
    <w:rsid w:val="698D0931"/>
    <w:rsid w:val="6A7C362E"/>
    <w:rsid w:val="6A993CED"/>
    <w:rsid w:val="6ADF638B"/>
    <w:rsid w:val="6B053271"/>
    <w:rsid w:val="6BCE6674"/>
    <w:rsid w:val="6BD1D661"/>
    <w:rsid w:val="6BE7CD9C"/>
    <w:rsid w:val="6C4A05C8"/>
    <w:rsid w:val="6C8742B8"/>
    <w:rsid w:val="6C8A170F"/>
    <w:rsid w:val="6CB54609"/>
    <w:rsid w:val="6CDA50AB"/>
    <w:rsid w:val="6D8A9C8B"/>
    <w:rsid w:val="6D97F878"/>
    <w:rsid w:val="6DBF5E93"/>
    <w:rsid w:val="6DDA4A2E"/>
    <w:rsid w:val="6DFF0434"/>
    <w:rsid w:val="6DFF077E"/>
    <w:rsid w:val="6E01F387"/>
    <w:rsid w:val="6E7E3605"/>
    <w:rsid w:val="6E7FDCC7"/>
    <w:rsid w:val="6E7FEF31"/>
    <w:rsid w:val="6EB5C8C2"/>
    <w:rsid w:val="6EBF0FFF"/>
    <w:rsid w:val="6ED6A62E"/>
    <w:rsid w:val="6EDA1643"/>
    <w:rsid w:val="6EE00B15"/>
    <w:rsid w:val="6EFDDD67"/>
    <w:rsid w:val="6EFF4262"/>
    <w:rsid w:val="6F544B20"/>
    <w:rsid w:val="6F6FB3EB"/>
    <w:rsid w:val="6F784160"/>
    <w:rsid w:val="6F8731EA"/>
    <w:rsid w:val="6FADCF69"/>
    <w:rsid w:val="6FBD28AE"/>
    <w:rsid w:val="6FCE6052"/>
    <w:rsid w:val="6FCF3813"/>
    <w:rsid w:val="6FD57C00"/>
    <w:rsid w:val="6FEFFFD8"/>
    <w:rsid w:val="6FF5CC65"/>
    <w:rsid w:val="6FF77BD8"/>
    <w:rsid w:val="6FFB47EC"/>
    <w:rsid w:val="6FFF034A"/>
    <w:rsid w:val="70496804"/>
    <w:rsid w:val="70F571A2"/>
    <w:rsid w:val="712A28F1"/>
    <w:rsid w:val="715C0E4B"/>
    <w:rsid w:val="72233669"/>
    <w:rsid w:val="72734D90"/>
    <w:rsid w:val="72EF3E54"/>
    <w:rsid w:val="72F369E1"/>
    <w:rsid w:val="72FA473A"/>
    <w:rsid w:val="7332FE48"/>
    <w:rsid w:val="73588C75"/>
    <w:rsid w:val="7385BB49"/>
    <w:rsid w:val="73AB61DA"/>
    <w:rsid w:val="73AD73D5"/>
    <w:rsid w:val="73B6EB34"/>
    <w:rsid w:val="73EE0234"/>
    <w:rsid w:val="73F933BE"/>
    <w:rsid w:val="73FA497D"/>
    <w:rsid w:val="73FF43A7"/>
    <w:rsid w:val="73FFCD1F"/>
    <w:rsid w:val="7432278C"/>
    <w:rsid w:val="744731E5"/>
    <w:rsid w:val="74527205"/>
    <w:rsid w:val="749E4A1F"/>
    <w:rsid w:val="74BBD01D"/>
    <w:rsid w:val="74ED5379"/>
    <w:rsid w:val="74FC2395"/>
    <w:rsid w:val="757E0EB1"/>
    <w:rsid w:val="75A39101"/>
    <w:rsid w:val="75DEEEC2"/>
    <w:rsid w:val="75F75EF1"/>
    <w:rsid w:val="75FCEB06"/>
    <w:rsid w:val="75FE099C"/>
    <w:rsid w:val="75FF05DF"/>
    <w:rsid w:val="76BD666D"/>
    <w:rsid w:val="76BE14B6"/>
    <w:rsid w:val="76CD5939"/>
    <w:rsid w:val="76DB1DAF"/>
    <w:rsid w:val="76E3355F"/>
    <w:rsid w:val="76FF5125"/>
    <w:rsid w:val="7735C78A"/>
    <w:rsid w:val="776F6FFA"/>
    <w:rsid w:val="777FA0AF"/>
    <w:rsid w:val="778769C8"/>
    <w:rsid w:val="77BE342B"/>
    <w:rsid w:val="77CB6A02"/>
    <w:rsid w:val="77DC22F5"/>
    <w:rsid w:val="77EE4E05"/>
    <w:rsid w:val="77F34502"/>
    <w:rsid w:val="78ED5CE1"/>
    <w:rsid w:val="79086DAD"/>
    <w:rsid w:val="795F4780"/>
    <w:rsid w:val="79974F09"/>
    <w:rsid w:val="7997B449"/>
    <w:rsid w:val="799F50E0"/>
    <w:rsid w:val="79D7FD79"/>
    <w:rsid w:val="79DE4235"/>
    <w:rsid w:val="79EE5BA4"/>
    <w:rsid w:val="79FFF654"/>
    <w:rsid w:val="7A5C9934"/>
    <w:rsid w:val="7A7745A2"/>
    <w:rsid w:val="7A7F99E5"/>
    <w:rsid w:val="7A894339"/>
    <w:rsid w:val="7AF31414"/>
    <w:rsid w:val="7AF7939A"/>
    <w:rsid w:val="7AFF7572"/>
    <w:rsid w:val="7B35554C"/>
    <w:rsid w:val="7B5DDC87"/>
    <w:rsid w:val="7B5F512A"/>
    <w:rsid w:val="7B6C7DFB"/>
    <w:rsid w:val="7BBB763D"/>
    <w:rsid w:val="7BBE9DBC"/>
    <w:rsid w:val="7BBFBED0"/>
    <w:rsid w:val="7BC3E394"/>
    <w:rsid w:val="7BDDCBAD"/>
    <w:rsid w:val="7BEE4022"/>
    <w:rsid w:val="7BF4AA1E"/>
    <w:rsid w:val="7BFE710D"/>
    <w:rsid w:val="7BFEEDE0"/>
    <w:rsid w:val="7BFF069C"/>
    <w:rsid w:val="7BFF8F4C"/>
    <w:rsid w:val="7C1F3737"/>
    <w:rsid w:val="7C3FCCFF"/>
    <w:rsid w:val="7C7B1E4B"/>
    <w:rsid w:val="7C7FDDB3"/>
    <w:rsid w:val="7C9EA5E1"/>
    <w:rsid w:val="7CBE53A4"/>
    <w:rsid w:val="7CBFC87B"/>
    <w:rsid w:val="7CD30F5C"/>
    <w:rsid w:val="7CE6A75F"/>
    <w:rsid w:val="7CFBADA6"/>
    <w:rsid w:val="7CFE0F48"/>
    <w:rsid w:val="7D6C41DA"/>
    <w:rsid w:val="7D7EC23E"/>
    <w:rsid w:val="7D916348"/>
    <w:rsid w:val="7DB70E9B"/>
    <w:rsid w:val="7DCB048E"/>
    <w:rsid w:val="7DD9D64A"/>
    <w:rsid w:val="7DDBDD25"/>
    <w:rsid w:val="7DEF0104"/>
    <w:rsid w:val="7DEF42AB"/>
    <w:rsid w:val="7DF67159"/>
    <w:rsid w:val="7DF7ED2B"/>
    <w:rsid w:val="7E6E06D4"/>
    <w:rsid w:val="7E6F4128"/>
    <w:rsid w:val="7E8ADEBF"/>
    <w:rsid w:val="7E8F86A8"/>
    <w:rsid w:val="7EEF11D3"/>
    <w:rsid w:val="7EEF2F92"/>
    <w:rsid w:val="7EF35C96"/>
    <w:rsid w:val="7EF39FCF"/>
    <w:rsid w:val="7EF3EF39"/>
    <w:rsid w:val="7EF7C5AC"/>
    <w:rsid w:val="7EFB14A7"/>
    <w:rsid w:val="7EFF0EB8"/>
    <w:rsid w:val="7F0971A6"/>
    <w:rsid w:val="7F3F679B"/>
    <w:rsid w:val="7F4EC20D"/>
    <w:rsid w:val="7F4FC4EF"/>
    <w:rsid w:val="7F57A2FE"/>
    <w:rsid w:val="7F581229"/>
    <w:rsid w:val="7F5E4D54"/>
    <w:rsid w:val="7F675BEE"/>
    <w:rsid w:val="7F697B70"/>
    <w:rsid w:val="7F6E0135"/>
    <w:rsid w:val="7F6FB300"/>
    <w:rsid w:val="7F77B05F"/>
    <w:rsid w:val="7F7EEAD2"/>
    <w:rsid w:val="7F7F6479"/>
    <w:rsid w:val="7F7FE9F5"/>
    <w:rsid w:val="7F98F1AF"/>
    <w:rsid w:val="7FA30C79"/>
    <w:rsid w:val="7FA73BAA"/>
    <w:rsid w:val="7FAF8ABF"/>
    <w:rsid w:val="7FAFA23A"/>
    <w:rsid w:val="7FB7269E"/>
    <w:rsid w:val="7FC96657"/>
    <w:rsid w:val="7FCD8568"/>
    <w:rsid w:val="7FD7A8FA"/>
    <w:rsid w:val="7FD7BA70"/>
    <w:rsid w:val="7FD89F74"/>
    <w:rsid w:val="7FDA9588"/>
    <w:rsid w:val="7FDD6A87"/>
    <w:rsid w:val="7FDF220F"/>
    <w:rsid w:val="7FDF5120"/>
    <w:rsid w:val="7FDFDB3D"/>
    <w:rsid w:val="7FE7D41C"/>
    <w:rsid w:val="7FEB3E2A"/>
    <w:rsid w:val="7FEC87DD"/>
    <w:rsid w:val="7FEDC5F7"/>
    <w:rsid w:val="7FEDD9DE"/>
    <w:rsid w:val="7FF5890D"/>
    <w:rsid w:val="7FF6C758"/>
    <w:rsid w:val="7FF6D118"/>
    <w:rsid w:val="7FF76947"/>
    <w:rsid w:val="7FF93490"/>
    <w:rsid w:val="7FFC6508"/>
    <w:rsid w:val="7FFCA7AF"/>
    <w:rsid w:val="7FFD890F"/>
    <w:rsid w:val="7FFF38E1"/>
    <w:rsid w:val="7FFF5B0C"/>
    <w:rsid w:val="7FFFD2FA"/>
    <w:rsid w:val="85F331AE"/>
    <w:rsid w:val="8F6BC29A"/>
    <w:rsid w:val="8FBF1CC7"/>
    <w:rsid w:val="941FC96E"/>
    <w:rsid w:val="99FF2014"/>
    <w:rsid w:val="9BFAD0EE"/>
    <w:rsid w:val="9BFB339B"/>
    <w:rsid w:val="9BFDBE24"/>
    <w:rsid w:val="9CFF07EB"/>
    <w:rsid w:val="9EC65B8D"/>
    <w:rsid w:val="9EFF70A9"/>
    <w:rsid w:val="9F9F15AA"/>
    <w:rsid w:val="9FBE4997"/>
    <w:rsid w:val="9FBFC926"/>
    <w:rsid w:val="9FFF4A55"/>
    <w:rsid w:val="A6AC56A9"/>
    <w:rsid w:val="A6DD0D7F"/>
    <w:rsid w:val="A6FD5832"/>
    <w:rsid w:val="AB1F0EC3"/>
    <w:rsid w:val="AB2F211B"/>
    <w:rsid w:val="AB987FAE"/>
    <w:rsid w:val="ADC6F725"/>
    <w:rsid w:val="AE795D5F"/>
    <w:rsid w:val="AFCFD098"/>
    <w:rsid w:val="AFF62C3A"/>
    <w:rsid w:val="B3ED3B70"/>
    <w:rsid w:val="B4FF3D2A"/>
    <w:rsid w:val="B6CB8DBD"/>
    <w:rsid w:val="B79F3DCA"/>
    <w:rsid w:val="B7B56BB6"/>
    <w:rsid w:val="B7B75DB4"/>
    <w:rsid w:val="B7CF06AB"/>
    <w:rsid w:val="B7CFA926"/>
    <w:rsid w:val="B7F8786B"/>
    <w:rsid w:val="B9FBF0BE"/>
    <w:rsid w:val="BABB6AA1"/>
    <w:rsid w:val="BB2F4199"/>
    <w:rsid w:val="BB6F70B6"/>
    <w:rsid w:val="BC5BF43C"/>
    <w:rsid w:val="BCD73C2A"/>
    <w:rsid w:val="BD079C78"/>
    <w:rsid w:val="BD733540"/>
    <w:rsid w:val="BD7DDB10"/>
    <w:rsid w:val="BDFA8371"/>
    <w:rsid w:val="BDFCF833"/>
    <w:rsid w:val="BF2F81F2"/>
    <w:rsid w:val="BF36353D"/>
    <w:rsid w:val="BF3735D5"/>
    <w:rsid w:val="BF5C6E52"/>
    <w:rsid w:val="BF752E70"/>
    <w:rsid w:val="BF75CCF6"/>
    <w:rsid w:val="BF7B53C2"/>
    <w:rsid w:val="BF7F09AC"/>
    <w:rsid w:val="BF7F50A8"/>
    <w:rsid w:val="BF7FA814"/>
    <w:rsid w:val="BF87DC65"/>
    <w:rsid w:val="BFD475C3"/>
    <w:rsid w:val="BFDE5EA6"/>
    <w:rsid w:val="BFE75204"/>
    <w:rsid w:val="BFEBC011"/>
    <w:rsid w:val="BFEBD7BC"/>
    <w:rsid w:val="BFF73341"/>
    <w:rsid w:val="BFF9882C"/>
    <w:rsid w:val="BFFBE6AC"/>
    <w:rsid w:val="BFFE152E"/>
    <w:rsid w:val="BFFF5830"/>
    <w:rsid w:val="C39DC91D"/>
    <w:rsid w:val="CBB771B0"/>
    <w:rsid w:val="CBFFA20B"/>
    <w:rsid w:val="CDDACCC3"/>
    <w:rsid w:val="CE6F2BC0"/>
    <w:rsid w:val="CF6F4E41"/>
    <w:rsid w:val="CF6FC6F3"/>
    <w:rsid w:val="CFBB9BAA"/>
    <w:rsid w:val="CFD3D3D7"/>
    <w:rsid w:val="CFDF1009"/>
    <w:rsid w:val="D17D1894"/>
    <w:rsid w:val="D30DB3F3"/>
    <w:rsid w:val="D32FEAF2"/>
    <w:rsid w:val="D58E7F3D"/>
    <w:rsid w:val="D5FC58DB"/>
    <w:rsid w:val="D65F22A0"/>
    <w:rsid w:val="D65F387A"/>
    <w:rsid w:val="D6DF0BD5"/>
    <w:rsid w:val="D6DF8AED"/>
    <w:rsid w:val="D7733CE7"/>
    <w:rsid w:val="D7BFC123"/>
    <w:rsid w:val="D7D7B16A"/>
    <w:rsid w:val="D8D6DB89"/>
    <w:rsid w:val="D95FFA0A"/>
    <w:rsid w:val="D9761A37"/>
    <w:rsid w:val="DADF3AB7"/>
    <w:rsid w:val="DB0FB48A"/>
    <w:rsid w:val="DB6F4CAB"/>
    <w:rsid w:val="DB777682"/>
    <w:rsid w:val="DBEA9D78"/>
    <w:rsid w:val="DBFF405A"/>
    <w:rsid w:val="DCAF8B95"/>
    <w:rsid w:val="DCF7F0E7"/>
    <w:rsid w:val="DCFD45AF"/>
    <w:rsid w:val="DCFFF677"/>
    <w:rsid w:val="DD1FB521"/>
    <w:rsid w:val="DD6F00AA"/>
    <w:rsid w:val="DD7BD6DB"/>
    <w:rsid w:val="DDB91E64"/>
    <w:rsid w:val="DDF91369"/>
    <w:rsid w:val="DEBF62E3"/>
    <w:rsid w:val="DED485E3"/>
    <w:rsid w:val="DEEB68D1"/>
    <w:rsid w:val="DEEF4E82"/>
    <w:rsid w:val="DEFBFEAE"/>
    <w:rsid w:val="DEFD057A"/>
    <w:rsid w:val="DF1F3B80"/>
    <w:rsid w:val="DF6F9789"/>
    <w:rsid w:val="DF7CD211"/>
    <w:rsid w:val="DF7F0226"/>
    <w:rsid w:val="DF9E2198"/>
    <w:rsid w:val="DFAF85C3"/>
    <w:rsid w:val="DFBAF944"/>
    <w:rsid w:val="DFFDC1C3"/>
    <w:rsid w:val="DFFDD445"/>
    <w:rsid w:val="DFFEA221"/>
    <w:rsid w:val="DFFF4CC0"/>
    <w:rsid w:val="DFFF9B09"/>
    <w:rsid w:val="DFFFA9E8"/>
    <w:rsid w:val="E3A7D1DF"/>
    <w:rsid w:val="E3EDE808"/>
    <w:rsid w:val="E3F7C81C"/>
    <w:rsid w:val="E4DFCC05"/>
    <w:rsid w:val="E5F4E9DC"/>
    <w:rsid w:val="E6EB6346"/>
    <w:rsid w:val="E6EFD521"/>
    <w:rsid w:val="E70FE695"/>
    <w:rsid w:val="E76D55E1"/>
    <w:rsid w:val="E7BE0066"/>
    <w:rsid w:val="E7BF6452"/>
    <w:rsid w:val="E7CC76E1"/>
    <w:rsid w:val="E7CEE5AB"/>
    <w:rsid w:val="E7FF3DD1"/>
    <w:rsid w:val="E8BE06CE"/>
    <w:rsid w:val="E9CB6095"/>
    <w:rsid w:val="EAF7A360"/>
    <w:rsid w:val="EBD999D2"/>
    <w:rsid w:val="EBFA2D53"/>
    <w:rsid w:val="EC7FC0A1"/>
    <w:rsid w:val="ECFED1BC"/>
    <w:rsid w:val="ED1D69BB"/>
    <w:rsid w:val="ED7FD312"/>
    <w:rsid w:val="EDBFCA9D"/>
    <w:rsid w:val="EDF7539E"/>
    <w:rsid w:val="EDFDC11E"/>
    <w:rsid w:val="EE7DABDF"/>
    <w:rsid w:val="EF53993F"/>
    <w:rsid w:val="EF6FD633"/>
    <w:rsid w:val="EFBFB2F4"/>
    <w:rsid w:val="EFBFFA21"/>
    <w:rsid w:val="EFDB7FC0"/>
    <w:rsid w:val="EFDBF896"/>
    <w:rsid w:val="EFDFC4F9"/>
    <w:rsid w:val="EFEF9CC5"/>
    <w:rsid w:val="EFF7EA99"/>
    <w:rsid w:val="EFFE8AB4"/>
    <w:rsid w:val="EFFE8E2C"/>
    <w:rsid w:val="EFFF5031"/>
    <w:rsid w:val="F1DBEDC4"/>
    <w:rsid w:val="F2BEBCB8"/>
    <w:rsid w:val="F36FB518"/>
    <w:rsid w:val="F3DE1A04"/>
    <w:rsid w:val="F3E7F506"/>
    <w:rsid w:val="F3F722E5"/>
    <w:rsid w:val="F3F7D99C"/>
    <w:rsid w:val="F3FFE9C7"/>
    <w:rsid w:val="F42F7C7B"/>
    <w:rsid w:val="F447C974"/>
    <w:rsid w:val="F4EFB4FF"/>
    <w:rsid w:val="F4F719D2"/>
    <w:rsid w:val="F5764557"/>
    <w:rsid w:val="F5F6BB32"/>
    <w:rsid w:val="F5FDBA59"/>
    <w:rsid w:val="F5FF9D7C"/>
    <w:rsid w:val="F60F0080"/>
    <w:rsid w:val="F64A41CA"/>
    <w:rsid w:val="F67EB945"/>
    <w:rsid w:val="F6BBCC18"/>
    <w:rsid w:val="F6C8CFA9"/>
    <w:rsid w:val="F6EA31B1"/>
    <w:rsid w:val="F6FC7ACC"/>
    <w:rsid w:val="F73B3583"/>
    <w:rsid w:val="F767D90B"/>
    <w:rsid w:val="F7BE6F94"/>
    <w:rsid w:val="F7D6EEAA"/>
    <w:rsid w:val="F7DCEBAA"/>
    <w:rsid w:val="F7DF97CE"/>
    <w:rsid w:val="F7EE9315"/>
    <w:rsid w:val="F7EF6E87"/>
    <w:rsid w:val="F7FC2796"/>
    <w:rsid w:val="F7FF2484"/>
    <w:rsid w:val="F8A1DA2A"/>
    <w:rsid w:val="F8FBC1DE"/>
    <w:rsid w:val="F9BB8E3B"/>
    <w:rsid w:val="F9EF685B"/>
    <w:rsid w:val="FA5F1E70"/>
    <w:rsid w:val="FA5FDB97"/>
    <w:rsid w:val="FA767578"/>
    <w:rsid w:val="FA7FD466"/>
    <w:rsid w:val="FAE58098"/>
    <w:rsid w:val="FAFBA3C8"/>
    <w:rsid w:val="FB7BAFDC"/>
    <w:rsid w:val="FB7F3FF4"/>
    <w:rsid w:val="FB7F486A"/>
    <w:rsid w:val="FBB74FFE"/>
    <w:rsid w:val="FBDE5642"/>
    <w:rsid w:val="FBEF9BE1"/>
    <w:rsid w:val="FBF9DD65"/>
    <w:rsid w:val="FBFE74A3"/>
    <w:rsid w:val="FBFF1E27"/>
    <w:rsid w:val="FBFF5B2E"/>
    <w:rsid w:val="FCDE2F6F"/>
    <w:rsid w:val="FD1E5157"/>
    <w:rsid w:val="FD5D6136"/>
    <w:rsid w:val="FD778714"/>
    <w:rsid w:val="FD7FFE2B"/>
    <w:rsid w:val="FDABF9A3"/>
    <w:rsid w:val="FDB66D03"/>
    <w:rsid w:val="FDE6C1C5"/>
    <w:rsid w:val="FDEE196B"/>
    <w:rsid w:val="FDF7509A"/>
    <w:rsid w:val="FDF79B67"/>
    <w:rsid w:val="FDFE41D6"/>
    <w:rsid w:val="FDFE6575"/>
    <w:rsid w:val="FDFF8756"/>
    <w:rsid w:val="FDFF9721"/>
    <w:rsid w:val="FDFFD2BB"/>
    <w:rsid w:val="FE0DD42B"/>
    <w:rsid w:val="FE1F10D8"/>
    <w:rsid w:val="FE5B5911"/>
    <w:rsid w:val="FE7BA99E"/>
    <w:rsid w:val="FECF3C02"/>
    <w:rsid w:val="FEDD7D91"/>
    <w:rsid w:val="FEDFDDC2"/>
    <w:rsid w:val="FEED32F6"/>
    <w:rsid w:val="FEED9309"/>
    <w:rsid w:val="FEEFDD75"/>
    <w:rsid w:val="FEF781DD"/>
    <w:rsid w:val="FEFA5194"/>
    <w:rsid w:val="FEFBB4B2"/>
    <w:rsid w:val="FEFF005B"/>
    <w:rsid w:val="FEFF11DF"/>
    <w:rsid w:val="FF0275C7"/>
    <w:rsid w:val="FF1FBFA6"/>
    <w:rsid w:val="FF1FEADB"/>
    <w:rsid w:val="FF27C506"/>
    <w:rsid w:val="FF2FCE01"/>
    <w:rsid w:val="FF3F3727"/>
    <w:rsid w:val="FF3F7E3F"/>
    <w:rsid w:val="FF3FF8B2"/>
    <w:rsid w:val="FF762F4F"/>
    <w:rsid w:val="FF7B44E3"/>
    <w:rsid w:val="FF7DB8DB"/>
    <w:rsid w:val="FF7EB590"/>
    <w:rsid w:val="FF7F5227"/>
    <w:rsid w:val="FF7F889B"/>
    <w:rsid w:val="FF9B2E53"/>
    <w:rsid w:val="FF9E9909"/>
    <w:rsid w:val="FFBA12D7"/>
    <w:rsid w:val="FFBCAC52"/>
    <w:rsid w:val="FFBDCBD1"/>
    <w:rsid w:val="FFBF08A1"/>
    <w:rsid w:val="FFBFCABC"/>
    <w:rsid w:val="FFC63774"/>
    <w:rsid w:val="FFCBBC61"/>
    <w:rsid w:val="FFCC5737"/>
    <w:rsid w:val="FFD4656D"/>
    <w:rsid w:val="FFD7402C"/>
    <w:rsid w:val="FFDEC982"/>
    <w:rsid w:val="FFDF0E87"/>
    <w:rsid w:val="FFDF1ABB"/>
    <w:rsid w:val="FFDFA434"/>
    <w:rsid w:val="FFDFFAEE"/>
    <w:rsid w:val="FFED816B"/>
    <w:rsid w:val="FFEFB20E"/>
    <w:rsid w:val="FFEFD111"/>
    <w:rsid w:val="FFF25893"/>
    <w:rsid w:val="FFF38E1D"/>
    <w:rsid w:val="FFF705ED"/>
    <w:rsid w:val="FFF7DC9D"/>
    <w:rsid w:val="FFF9B57B"/>
    <w:rsid w:val="FFFA8801"/>
    <w:rsid w:val="FFFD61D9"/>
    <w:rsid w:val="FFFD8F59"/>
    <w:rsid w:val="FFFDE714"/>
    <w:rsid w:val="FFFE4A82"/>
    <w:rsid w:val="FFFEEB50"/>
    <w:rsid w:val="FFFF2BB1"/>
    <w:rsid w:val="FFFF76CA"/>
    <w:rsid w:val="FFFF9CC3"/>
    <w:rsid w:val="FFFFAE88"/>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Salutation"/>
    <w:basedOn w:val="1"/>
    <w:next w:val="1"/>
    <w:qFormat/>
    <w:uiPriority w:val="0"/>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2"/>
    <w:qFormat/>
    <w:uiPriority w:val="9"/>
    <w:rPr>
      <w:rFonts w:ascii="Times New Roman" w:hAnsi="Times New Roman"/>
      <w:b/>
      <w:bCs/>
      <w:kern w:val="44"/>
      <w:sz w:val="44"/>
      <w:szCs w:val="44"/>
    </w:rPr>
  </w:style>
  <w:style w:type="character" w:customStyle="1" w:styleId="30">
    <w:name w:val="标题 2 Char"/>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4"/>
    <w:qFormat/>
    <w:uiPriority w:val="9"/>
    <w:rPr>
      <w:rFonts w:ascii="Times New Roman" w:hAnsi="Times New Roman"/>
      <w:b/>
      <w:bCs/>
      <w:kern w:val="2"/>
      <w:sz w:val="32"/>
      <w:szCs w:val="32"/>
    </w:rPr>
  </w:style>
  <w:style w:type="paragraph" w:customStyle="1" w:styleId="34">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media/user/d121a682-c441-4635-a409-18dbc9717ea9/E&#30424;/&#36130;&#21153;/&#20449;&#24687;&#20844;&#24320;/2025&#24180;&#20915;&#31639;&#20844;&#24320;/&#22270;&#34920;&#65288;&#26412;&#32423;&#6528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edia/user/d121a682-c441-4635-a409-18dbc9717ea9/E&#30424;/&#36130;&#21153;/&#20449;&#24687;&#20844;&#24320;/2025&#24180;&#20915;&#31639;&#20844;&#24320;/&#22270;&#34920;&#65288;&#26412;&#32423;&#6528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edia/user/d121a682-c441-4635-a409-18dbc9717ea9/E&#30424;/&#36130;&#21153;/&#20449;&#24687;&#20844;&#24320;/2025&#24180;&#20915;&#31639;&#20844;&#24320;/&#22270;&#34920;&#65288;&#26412;&#32423;&#65289;.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edia/user/d121a682-c441-4635-a409-18dbc9717ea9/E&#30424;/&#36130;&#21153;/&#20449;&#24687;&#20844;&#24320;/2025&#24180;&#20915;&#31639;&#20844;&#24320;/&#22270;&#34920;&#65288;&#26412;&#32423;&#65289;.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edia/user/d121a682-c441-4635-a409-18dbc9717ea9/E&#30424;/&#36130;&#21153;/&#20449;&#24687;&#20844;&#24320;/2025&#24180;&#20915;&#31639;&#20844;&#24320;/&#22270;&#34920;&#65288;&#26412;&#32423;&#65289;.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edia/user/d121a682-c441-4635-a409-18dbc9717ea9/E&#30424;/&#36130;&#21153;/&#20449;&#24687;&#20844;&#24320;/2025&#24180;&#20915;&#31639;&#20844;&#24320;/&#22270;&#34920;&#65288;&#26412;&#32423;&#65289;.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edia/user/d121a682-c441-4635-a409-18dbc9717ea9/E&#30424;/&#36130;&#21153;/&#20449;&#24687;&#20844;&#24320;/2025&#24180;&#20915;&#31639;&#20844;&#24320;/&#22270;&#34920;&#65288;&#26412;&#32423;&#6528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400766283525"/>
          <c:y val="0.0618128512093819"/>
          <c:w val="0.820285057471264"/>
          <c:h val="0.762365013437576"/>
        </c:manualLayout>
      </c:layout>
      <c:barChart>
        <c:barDir val="col"/>
        <c:grouping val="clustered"/>
        <c:varyColors val="0"/>
        <c:ser>
          <c:idx val="0"/>
          <c:order val="0"/>
          <c:invertIfNegative val="0"/>
          <c:dLbls>
            <c:delete val="1"/>
          </c:dLbls>
          <c:cat>
            <c:numRef>
              <c:f>'[图表（本级）.xls]部门'!$C$1:$D$1</c:f>
              <c:numCache>
                <c:formatCode>General</c:formatCode>
                <c:ptCount val="2"/>
                <c:pt idx="0">
                  <c:v>2024</c:v>
                </c:pt>
                <c:pt idx="1">
                  <c:v>2025</c:v>
                </c:pt>
              </c:numCache>
            </c:numRef>
          </c:cat>
          <c:val>
            <c:numRef>
              <c:f>'[图表（本级）.xls]部门'!$C$2:$D$2</c:f>
              <c:numCache>
                <c:formatCode>General</c:formatCode>
                <c:ptCount val="2"/>
                <c:pt idx="0">
                  <c:v>15024.87</c:v>
                </c:pt>
                <c:pt idx="1">
                  <c:v>12091.07</c:v>
                </c:pt>
              </c:numCache>
            </c:numRef>
          </c:val>
        </c:ser>
        <c:ser>
          <c:idx val="1"/>
          <c:order val="1"/>
          <c:spPr>
            <a:solidFill>
              <a:srgbClr val="993366"/>
            </a:solidFill>
            <a:ln w="12700">
              <a:solidFill>
                <a:srgbClr val="000000">
                  <a:alpha val="100000"/>
                </a:srgbClr>
              </a:solidFill>
              <a:prstDash val="solid"/>
            </a:ln>
            <a:effectLst/>
          </c:spPr>
          <c:invertIfNegative val="0"/>
          <c:dLbls>
            <c:delete val="1"/>
          </c:dLbls>
          <c:cat>
            <c:numRef>
              <c:f>'[图表（本级）.xls]部门'!$C$1:$D$1</c:f>
              <c:numCache>
                <c:formatCode>General</c:formatCode>
                <c:ptCount val="2"/>
                <c:pt idx="0">
                  <c:v>2024</c:v>
                </c:pt>
                <c:pt idx="1">
                  <c:v>2025</c:v>
                </c:pt>
              </c:numCache>
            </c:numRef>
          </c:cat>
          <c:val>
            <c:numRef>
              <c:f>'[图表（本级）.xls]部门'!$C$3:$D$3</c:f>
              <c:numCache>
                <c:formatCode>General</c:formatCode>
                <c:ptCount val="2"/>
              </c:numCache>
            </c:numRef>
          </c:val>
        </c:ser>
        <c:dLbls>
          <c:showLegendKey val="0"/>
          <c:showVal val="0"/>
          <c:showCatName val="0"/>
          <c:showSerName val="0"/>
          <c:showPercent val="0"/>
          <c:showBubbleSize val="0"/>
        </c:dLbls>
        <c:gapWidth val="150"/>
        <c:overlap val="0"/>
        <c:axId val="473439325"/>
        <c:axId val="546496351"/>
      </c:barChart>
      <c:catAx>
        <c:axId val="473439325"/>
        <c:scaling>
          <c:orientation val="minMax"/>
        </c:scaling>
        <c:delete val="0"/>
        <c:axPos val="b"/>
        <c:majorTickMark val="in"/>
        <c:minorTickMark val="none"/>
        <c:tickLblPos val="nextTo"/>
        <c:spPr>
          <a:noFill/>
          <a:ln w="3175" cap="flat" cmpd="sng" algn="ctr">
            <a:solidFill>
              <a:srgbClr val="000000">
                <a:alpha val="100000"/>
              </a:srgbClr>
            </a:solidFill>
            <a:prstDash val="solid"/>
            <a:round/>
          </a:ln>
          <a:effectLst/>
        </c:spPr>
        <c:txPr>
          <a:bodyPr rot="0" spcFirstLastPara="0" vertOverflow="ellipsis" vert="horz" wrap="square" anchor="ctr" anchorCtr="1"/>
          <a:lstStyle/>
          <a:p>
            <a:pPr>
              <a:defRPr lang="zh-CN" sz="146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546496351"/>
        <c:crosses val="autoZero"/>
        <c:auto val="1"/>
        <c:lblAlgn val="ctr"/>
        <c:lblOffset val="100"/>
        <c:noMultiLvlLbl val="0"/>
      </c:catAx>
      <c:valAx>
        <c:axId val="546496351"/>
        <c:scaling>
          <c:orientation val="minMax"/>
          <c:max val="16000"/>
          <c:min val="0"/>
        </c:scaling>
        <c:delete val="0"/>
        <c:axPos val="l"/>
        <c:majorGridlines/>
        <c:numFmt formatCode="General" sourceLinked="1"/>
        <c:majorTickMark val="in"/>
        <c:minorTickMark val="none"/>
        <c:tickLblPos val="nextTo"/>
        <c:txPr>
          <a:bodyPr rot="0" spcFirstLastPara="0" vertOverflow="ellipsis" vert="horz" wrap="square" anchor="ctr" anchorCtr="1"/>
          <a:lstStyle/>
          <a:p>
            <a:pPr>
              <a:defRPr lang="zh-CN" sz="146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473439325"/>
        <c:crosses val="autoZero"/>
        <c:crossBetween val="between"/>
        <c:minorUnit val="200"/>
      </c:valAx>
    </c:plotArea>
    <c:plotVisOnly val="1"/>
    <c:dispBlanksAs val="gap"/>
    <c:showDLblsOverMax val="0"/>
    <c:extLst>
      <c:ext uri="{0b15fc19-7d7d-44ad-8c2d-2c3a37ce22c3}">
        <chartProps xmlns="https://web.wps.cn/et/2018/main" chartId="{b5b17398-84bc-4340-8004-0564c8cb7996}"/>
      </c:ext>
    </c:extLst>
  </c:chart>
  <c:spPr>
    <a:solidFill>
      <a:srgbClr val="FFFFFF"/>
    </a:solidFill>
    <a:ln w="3175" cap="flat" cmpd="sng" algn="ctr">
      <a:solidFill>
        <a:srgbClr val="000000">
          <a:alpha val="100000"/>
        </a:srgbClr>
      </a:solidFill>
      <a:prstDash val="solid"/>
      <a:round/>
    </a:ln>
    <a:effectLst/>
  </c:spPr>
  <c:txPr>
    <a:bodyPr rot="0" wrap="square" anchor="ctr" anchorCtr="1"/>
    <a:lstStyle/>
    <a:p>
      <a:pPr>
        <a:defRPr lang="zh-CN" sz="146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spPr>
              <a:solidFill>
                <a:srgbClr val="00B0F0"/>
              </a:solidFill>
            </c:spPr>
          </c:dPt>
          <c:dPt>
            <c:idx val="1"/>
            <c:bubble3D val="0"/>
            <c:explosion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'[图表（本级）.xls]部门'!$C$20:$C$21</c:f>
              <c:strCache>
                <c:ptCount val="2"/>
                <c:pt idx="0">
                  <c:v>一般公共预算财政拨款</c:v>
                </c:pt>
                <c:pt idx="1">
                  <c:v>其他收入</c:v>
                </c:pt>
              </c:strCache>
            </c:strRef>
          </c:cat>
          <c:val>
            <c:numRef>
              <c:f>'[图表（本级）.xls]部门'!$D$20:$D$21</c:f>
              <c:numCache>
                <c:formatCode>General</c:formatCode>
                <c:ptCount val="2"/>
                <c:pt idx="0">
                  <c:v>6311.58</c:v>
                </c:pt>
                <c:pt idx="1">
                  <c:v>5609.08</c:v>
                </c:pt>
              </c:numCache>
            </c:numRef>
          </c:val>
        </c:ser>
        <c:ser>
          <c:idx val="1"/>
          <c:order val="1"/>
          <c:explosion val="0"/>
          <c:dPt>
            <c:idx val="0"/>
            <c:bubble3D val="0"/>
            <c:explosion val="0"/>
          </c:dPt>
          <c:dLbls>
            <c:delete val="1"/>
          </c:dLbls>
          <c:cat>
            <c:strRef>
              <c:f>'[图表（本级）.xls]部门'!$C$20:$C$21</c:f>
              <c:strCache>
                <c:ptCount val="2"/>
                <c:pt idx="0">
                  <c:v>一般公共预算财政拨款</c:v>
                </c:pt>
                <c:pt idx="1">
                  <c:v>其他收入</c:v>
                </c:pt>
              </c:strCache>
            </c:strRef>
          </c:cat>
          <c:val>
            <c:numRef>
              <c:f>#REF!</c:f>
              <c:numCache>
                <c:formatCode>General</c:formatCode>
                <c:ptCount val="1"/>
              </c:numCache>
            </c:numRef>
          </c:val>
        </c:ser>
        <c:ser>
          <c:idx val="2"/>
          <c:order val="2"/>
          <c:explosion val="0"/>
          <c:dPt>
            <c:idx val="0"/>
            <c:bubble3D val="0"/>
            <c:explosion val="0"/>
          </c:dPt>
          <c:dPt>
            <c:idx val="1"/>
            <c:bubble3D val="0"/>
            <c:explosion val="0"/>
          </c:dPt>
          <c:dLbls>
            <c:delete val="1"/>
          </c:dLbls>
          <c:cat>
            <c:strRef>
              <c:f>'[图表（本级）.xls]部门'!$C$20:$C$21</c:f>
              <c:strCache>
                <c:ptCount val="2"/>
                <c:pt idx="0">
                  <c:v>一般公共预算财政拨款</c:v>
                </c:pt>
                <c:pt idx="1">
                  <c:v>其他收入</c:v>
                </c:pt>
              </c:strCache>
            </c:strRef>
          </c:cat>
          <c:val>
            <c:numRef>
              <c:f>'[图表（本级）.xls]部门'!$C$21:$D$21</c:f>
              <c:numCache>
                <c:formatCode>General</c:formatCode>
                <c:ptCount val="2"/>
                <c:pt idx="0">
                  <c:v>0</c:v>
                </c:pt>
                <c:pt idx="1">
                  <c:v>5609.08</c:v>
                </c:pt>
              </c:numCache>
            </c:numRef>
          </c:val>
        </c:ser>
        <c:ser>
          <c:idx val="3"/>
          <c:order val="3"/>
          <c:tx>
            <c:strRef>
              <c:f>'[图表（本级）.xls]部门'!$D$20:$D$21</c:f>
              <c:strCache>
                <c:ptCount val="1"/>
                <c:pt idx="0">
                  <c:v>6311.58 5609.08</c:v>
                </c:pt>
              </c:strCache>
            </c:strRef>
          </c:tx>
          <c:explosion val="0"/>
          <c:dPt>
            <c:idx val="0"/>
            <c:bubble3D val="0"/>
            <c:explosion val="0"/>
          </c:dPt>
          <c:dLbls>
            <c:delete val="1"/>
          </c:dLbls>
          <c:cat>
            <c:strRef>
              <c:f>'[图表（本级）.xls]部门'!$C$20:$C$21</c:f>
              <c:strCache>
                <c:ptCount val="2"/>
                <c:pt idx="0">
                  <c:v>一般公共预算财政拨款</c:v>
                </c:pt>
                <c:pt idx="1">
                  <c:v>其他收入</c:v>
                </c:pt>
              </c:strCache>
            </c:strRef>
          </c:cat>
          <c:val>
            <c:numRef>
              <c:f>{1}</c:f>
              <c:numCache>
                <c:formatCode>General</c:formatCode>
                <c:ptCount val="1"/>
                <c:pt idx="0">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47070866141732"/>
          <c:y val="0.503590696996209"/>
          <c:w val="0.24"/>
          <c:h val="0.448"/>
        </c:manualLayout>
      </c:layout>
      <c:overlay val="0"/>
      <c:spPr>
        <a:ln>
          <a:solidFill>
            <a:schemeClr val="accent1"/>
          </a:solidFill>
        </a:ln>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e358f3fe-184c-420f-9e7e-f2a443b464ef}"/>
      </c:ext>
    </c:extLst>
  </c:chart>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explosion val="0"/>
          <c:dPt>
            <c:idx val="0"/>
            <c:bubble3D val="0"/>
            <c:explosion val="0"/>
          </c:dPt>
          <c:dPt>
            <c:idx val="1"/>
            <c:bubble3D val="0"/>
            <c:explosion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'[图表（本级）.xls]部门'!$C$40:$C$41</c:f>
              <c:strCache>
                <c:ptCount val="2"/>
                <c:pt idx="0">
                  <c:v>基本支出</c:v>
                </c:pt>
                <c:pt idx="1">
                  <c:v>项目支出</c:v>
                </c:pt>
              </c:strCache>
            </c:strRef>
          </c:cat>
          <c:val>
            <c:numRef>
              <c:f>'[图表（本级）.xls]部门'!$D$40:$D$41</c:f>
              <c:numCache>
                <c:formatCode>General</c:formatCode>
                <c:ptCount val="2"/>
                <c:pt idx="0">
                  <c:v>5056.15</c:v>
                </c:pt>
                <c:pt idx="1">
                  <c:v>7014.99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cb2c42cc-476f-4a5a-8d59-cec1028278f9}"/>
      </c:ext>
    </c:extLst>
  </c:chart>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75307408237"/>
          <c:y val="0.0836765992486233"/>
          <c:w val="0.83824692591763"/>
          <c:h val="0.680729247079409"/>
        </c:manualLayout>
      </c:layout>
      <c:barChart>
        <c:barDir val="col"/>
        <c:grouping val="clustered"/>
        <c:varyColors val="0"/>
        <c:ser>
          <c:idx val="0"/>
          <c:order val="0"/>
          <c:spPr>
            <a:solidFill>
              <a:srgbClr val="9999FF"/>
            </a:solidFill>
            <a:ln w="12700">
              <a:solidFill>
                <a:srgbClr val="000000">
                  <a:alpha val="100000"/>
                </a:srgbClr>
              </a:solidFill>
              <a:prstDash val="solid"/>
            </a:ln>
            <a:effectLst/>
          </c:spPr>
          <c:invertIfNegative val="0"/>
          <c:dLbls>
            <c:delete val="1"/>
          </c:dLbls>
          <c:cat>
            <c:numRef>
              <c:f>'[图表（本级）.xls]部门'!$C$57:$D$57</c:f>
              <c:numCache>
                <c:formatCode>General</c:formatCode>
                <c:ptCount val="2"/>
                <c:pt idx="0">
                  <c:v>2024</c:v>
                </c:pt>
                <c:pt idx="1">
                  <c:v>2025</c:v>
                </c:pt>
              </c:numCache>
            </c:numRef>
          </c:cat>
          <c:val>
            <c:numRef>
              <c:f>'[图表（本级）.xls]部门'!$C$58:$D$58</c:f>
              <c:numCache>
                <c:formatCode>General</c:formatCode>
                <c:ptCount val="2"/>
                <c:pt idx="0">
                  <c:v>8499.14</c:v>
                </c:pt>
                <c:pt idx="1">
                  <c:v>6311.58</c:v>
                </c:pt>
              </c:numCache>
            </c:numRef>
          </c:val>
        </c:ser>
        <c:dLbls>
          <c:showLegendKey val="0"/>
          <c:showVal val="0"/>
          <c:showCatName val="0"/>
          <c:showSerName val="0"/>
          <c:showPercent val="0"/>
          <c:showBubbleSize val="0"/>
        </c:dLbls>
        <c:gapWidth val="150"/>
        <c:overlap val="0"/>
        <c:axId val="225188017"/>
        <c:axId val="433218098"/>
      </c:barChart>
      <c:catAx>
        <c:axId val="225188017"/>
        <c:scaling>
          <c:orientation val="minMax"/>
        </c:scaling>
        <c:delete val="0"/>
        <c:axPos val="b"/>
        <c:majorTickMark val="in"/>
        <c:minorTickMark val="none"/>
        <c:tickLblPos val="nextTo"/>
        <c:spPr>
          <a:noFill/>
          <a:ln w="3175" cap="flat" cmpd="sng" algn="ctr">
            <a:solidFill>
              <a:srgbClr val="000000">
                <a:alpha val="100000"/>
              </a:srgbClr>
            </a:solidFill>
            <a:prstDash val="solid"/>
            <a:round/>
          </a:ln>
          <a:effectLst/>
        </c:spPr>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433218098"/>
        <c:crosses val="autoZero"/>
        <c:auto val="1"/>
        <c:lblAlgn val="ctr"/>
        <c:lblOffset val="100"/>
        <c:noMultiLvlLbl val="0"/>
      </c:catAx>
      <c:valAx>
        <c:axId val="433218098"/>
        <c:scaling>
          <c:orientation val="minMax"/>
          <c:max val="10000"/>
          <c:min val="0"/>
        </c:scaling>
        <c:delete val="0"/>
        <c:axPos val="l"/>
        <c:majorGridlines>
          <c:spPr>
            <a:ln w="3175" cap="flat" cmpd="sng" algn="ctr">
              <a:solidFill>
                <a:srgbClr val="000000">
                  <a:alpha val="100000"/>
                </a:srgbClr>
              </a:solidFill>
              <a:prstDash val="solid"/>
              <a:round/>
            </a:ln>
            <a:effectLst/>
          </c:spPr>
        </c:majorGridlines>
        <c:numFmt formatCode="General" sourceLinked="1"/>
        <c:majorTickMark val="in"/>
        <c:minorTickMark val="none"/>
        <c:tickLblPos val="nextTo"/>
        <c:spPr>
          <a:noFill/>
          <a:ln w="3175" cap="flat" cmpd="sng" algn="ctr">
            <a:solidFill>
              <a:srgbClr val="000000">
                <a:alpha val="100000"/>
              </a:srgbClr>
            </a:solidFill>
            <a:prstDash val="solid"/>
            <a:round/>
          </a:ln>
          <a:effectLst/>
        </c:spPr>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225188017"/>
        <c:crosses val="autoZero"/>
        <c:crossBetween val="between"/>
      </c:valAx>
      <c:spPr>
        <a:solidFill>
          <a:srgbClr val="C0C0C0">
            <a:alpha val="100000"/>
          </a:srgbClr>
        </a:solidFill>
        <a:ln w="3175">
          <a:solidFill>
            <a:srgbClr val="808080">
              <a:alpha val="100000"/>
            </a:srgbClr>
          </a:solidFill>
          <a:prstDash val="solid"/>
        </a:ln>
        <a:effectLst/>
      </c:spPr>
    </c:plotArea>
    <c:plotVisOnly val="1"/>
    <c:dispBlanksAs val="gap"/>
    <c:showDLblsOverMax val="0"/>
    <c:extLst>
      <c:ext uri="{0b15fc19-7d7d-44ad-8c2d-2c3a37ce22c3}">
        <chartProps xmlns="https://web.wps.cn/et/2018/main" chartId="{ee2aa683-bf59-464f-81ea-78671531f4ec}"/>
      </c:ext>
    </c:extLst>
  </c:chart>
  <c:spPr>
    <a:solidFill>
      <a:srgbClr val="FFFFFF"/>
    </a:solidFill>
    <a:ln w="3175" cap="flat" cmpd="sng" algn="ctr">
      <a:solidFill>
        <a:srgbClr val="000000">
          <a:alpha val="100000"/>
        </a:srgbClr>
      </a:solidFill>
      <a:prstDash val="solid"/>
      <a:round/>
    </a:ln>
    <a:effectLst/>
  </c:spPr>
  <c:txPr>
    <a:bodyPr rot="0" wrap="square" anchor="ctr" anchorCtr="1"/>
    <a:lstStyle/>
    <a:p>
      <a:pPr>
        <a:defRPr lang="zh-CN"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75307408237"/>
          <c:y val="0.0836765992486234"/>
          <c:w val="0.83824692591763"/>
          <c:h val="0.68072924707941"/>
        </c:manualLayout>
      </c:layout>
      <c:barChart>
        <c:barDir val="col"/>
        <c:grouping val="clustered"/>
        <c:varyColors val="0"/>
        <c:ser>
          <c:idx val="0"/>
          <c:order val="0"/>
          <c:spPr>
            <a:solidFill>
              <a:srgbClr val="9999FF"/>
            </a:solidFill>
            <a:ln w="12700">
              <a:solidFill>
                <a:srgbClr val="000000">
                  <a:alpha val="100000"/>
                </a:srgbClr>
              </a:solidFill>
              <a:prstDash val="solid"/>
            </a:ln>
            <a:effectLst/>
          </c:spPr>
          <c:invertIfNegative val="0"/>
          <c:dLbls>
            <c:delete val="1"/>
          </c:dLbls>
          <c:cat>
            <c:numRef>
              <c:f>'[图表（本级）.xls]部门'!$C$75:$D$75</c:f>
              <c:numCache>
                <c:formatCode>General</c:formatCode>
                <c:ptCount val="2"/>
                <c:pt idx="0">
                  <c:v>2024</c:v>
                </c:pt>
                <c:pt idx="1">
                  <c:v>2025</c:v>
                </c:pt>
              </c:numCache>
            </c:numRef>
          </c:cat>
          <c:val>
            <c:numRef>
              <c:f>'[图表（本级）.xls]部门'!$C$76:$D$76</c:f>
              <c:numCache>
                <c:formatCode>General</c:formatCode>
                <c:ptCount val="2"/>
                <c:pt idx="0">
                  <c:v>7309.65</c:v>
                </c:pt>
                <c:pt idx="1">
                  <c:v>6311.58</c:v>
                </c:pt>
              </c:numCache>
            </c:numRef>
          </c:val>
        </c:ser>
        <c:dLbls>
          <c:showLegendKey val="0"/>
          <c:showVal val="0"/>
          <c:showCatName val="0"/>
          <c:showSerName val="0"/>
          <c:showPercent val="0"/>
          <c:showBubbleSize val="0"/>
        </c:dLbls>
        <c:gapWidth val="150"/>
        <c:overlap val="0"/>
        <c:axId val="956386856"/>
        <c:axId val="121240031"/>
      </c:barChart>
      <c:catAx>
        <c:axId val="956386856"/>
        <c:scaling>
          <c:orientation val="minMax"/>
        </c:scaling>
        <c:delete val="0"/>
        <c:axPos val="b"/>
        <c:majorTickMark val="in"/>
        <c:minorTickMark val="none"/>
        <c:tickLblPos val="nextTo"/>
        <c:spPr>
          <a:noFill/>
          <a:ln w="3175" cap="flat" cmpd="sng" algn="ctr">
            <a:solidFill>
              <a:srgbClr val="000000">
                <a:alpha val="100000"/>
              </a:srgbClr>
            </a:solidFill>
            <a:prstDash val="solid"/>
            <a:round/>
          </a:ln>
          <a:effectLst/>
        </c:spPr>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21240031"/>
        <c:crosses val="autoZero"/>
        <c:auto val="1"/>
        <c:lblAlgn val="ctr"/>
        <c:lblOffset val="100"/>
        <c:noMultiLvlLbl val="0"/>
      </c:catAx>
      <c:valAx>
        <c:axId val="121240031"/>
        <c:scaling>
          <c:orientation val="minMax"/>
          <c:max val="8000"/>
          <c:min val="0"/>
        </c:scaling>
        <c:delete val="0"/>
        <c:axPos val="l"/>
        <c:majorGridlines/>
        <c:numFmt formatCode="General" sourceLinked="1"/>
        <c:majorTickMark val="in"/>
        <c:minorTickMark val="none"/>
        <c:tickLblPos val="nextTo"/>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956386856"/>
        <c:crosses val="autoZero"/>
        <c:crossBetween val="between"/>
        <c:majorUnit val="1000"/>
      </c:valAx>
      <c:spPr>
        <a:solidFill>
          <a:srgbClr val="C0C0C0">
            <a:alpha val="100000"/>
          </a:srgbClr>
        </a:solidFill>
        <a:ln w="3175">
          <a:solidFill>
            <a:srgbClr val="808080">
              <a:alpha val="100000"/>
            </a:srgbClr>
          </a:solidFill>
          <a:prstDash val="solid"/>
        </a:ln>
        <a:effectLst/>
      </c:spPr>
    </c:plotArea>
    <c:plotVisOnly val="1"/>
    <c:dispBlanksAs val="gap"/>
    <c:showDLblsOverMax val="0"/>
    <c:extLst>
      <c:ext uri="{0b15fc19-7d7d-44ad-8c2d-2c3a37ce22c3}">
        <chartProps xmlns="https://web.wps.cn/et/2018/main" chartId="{50d819e0-201a-42a2-be61-a2ad81e9a59e}"/>
      </c:ext>
    </c:extLst>
  </c:chart>
  <c:spPr>
    <a:solidFill>
      <a:srgbClr val="FFFFFF"/>
    </a:solidFill>
    <a:ln w="3175" cap="flat" cmpd="sng" algn="ctr">
      <a:solidFill>
        <a:srgbClr val="000000">
          <a:alpha val="100000"/>
        </a:srgbClr>
      </a:solidFill>
      <a:prstDash val="solid"/>
      <a:round/>
    </a:ln>
    <a:effectLst/>
  </c:spPr>
  <c:txPr>
    <a:bodyPr rot="0" wrap="square" anchor="ctr" anchorCtr="1"/>
    <a:lstStyle/>
    <a:p>
      <a:pPr>
        <a:defRPr lang="zh-CN"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explosion val="0"/>
          <c:dPt>
            <c:idx val="0"/>
            <c:bubble3D val="0"/>
            <c:explosion val="0"/>
          </c:dPt>
          <c:dPt>
            <c:idx val="1"/>
            <c:bubble3D val="0"/>
            <c:explosion val="0"/>
          </c:dPt>
          <c:dPt>
            <c:idx val="2"/>
            <c:bubble3D val="0"/>
            <c:explosion val="0"/>
          </c:dPt>
          <c:dPt>
            <c:idx val="3"/>
            <c:bubble3D val="0"/>
            <c:explosion val="0"/>
          </c:dPt>
          <c:dPt>
            <c:idx val="4"/>
            <c:bubble3D val="0"/>
          </c:dPt>
          <c:dLbls>
            <c:dLbl>
              <c:idx val="0"/>
              <c:layout>
                <c:manualLayout>
                  <c:x val="0.00284292821606254"/>
                  <c:y val="-0.046875"/>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68585643212509"/>
                  <c:y val="0.026041666666666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796019900497512"/>
                  <c:y val="0.03125"/>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'[图表（本级）.xls]部门'!$B$96:$B$100</c:f>
              <c:strCache>
                <c:ptCount val="5"/>
                <c:pt idx="0">
                  <c:v>一般公共服务支出</c:v>
                </c:pt>
                <c:pt idx="1">
                  <c:v>社会保障和就业支出</c:v>
                </c:pt>
                <c:pt idx="2">
                  <c:v>节能环保支出</c:v>
                </c:pt>
                <c:pt idx="3">
                  <c:v>住房保障支出</c:v>
                </c:pt>
                <c:pt idx="4">
                  <c:v>卫生健康支出</c:v>
                </c:pt>
              </c:strCache>
            </c:strRef>
          </c:cat>
          <c:val>
            <c:numRef>
              <c:f>'[图表（本级）.xls]部门'!$C$96:$C$100</c:f>
              <c:numCache>
                <c:formatCode>General</c:formatCode>
                <c:ptCount val="5"/>
                <c:pt idx="0">
                  <c:v>1.69</c:v>
                </c:pt>
                <c:pt idx="1">
                  <c:v>771.7</c:v>
                </c:pt>
                <c:pt idx="2">
                  <c:v>4916.15</c:v>
                </c:pt>
                <c:pt idx="3">
                  <c:v>354.11</c:v>
                </c:pt>
                <c:pt idx="4">
                  <c:v>267.93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43602795919167"/>
          <c:y val="0.353128690944882"/>
          <c:w val="0.2345"/>
          <c:h val="0.6517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276a6719-3d2f-416a-8214-d27d1b305d45}"/>
      </c:ext>
    </c:extLst>
  </c:chart>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explosion val="0"/>
          <c:dPt>
            <c:idx val="0"/>
            <c:bubble3D val="0"/>
            <c:explosion val="0"/>
          </c:dPt>
          <c:dPt>
            <c:idx val="1"/>
            <c:bubble3D val="0"/>
            <c:explosion val="0"/>
          </c:dPt>
          <c:dPt>
            <c:idx val="2"/>
            <c:bubble3D val="0"/>
            <c:explosion val="0"/>
          </c:dPt>
          <c:dLbls>
            <c:dLbl>
              <c:idx val="0"/>
              <c:layout>
                <c:manualLayout>
                  <c:x val="0.0295454545454545"/>
                  <c:y val="-0.0067514931186704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642609016999261"/>
                  <c:y val="-0.0632970818350799"/>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'[图表（本级）.xls]部门'!$B$112:$B$114</c:f>
              <c:strCache>
                <c:ptCount val="3"/>
                <c:pt idx="0">
                  <c:v>因公出国（境）费</c:v>
                </c:pt>
                <c:pt idx="1">
                  <c:v>公务用车购置及运行维护费</c:v>
                </c:pt>
                <c:pt idx="2">
                  <c:v>公务接待费</c:v>
                </c:pt>
              </c:strCache>
            </c:strRef>
          </c:cat>
          <c:val>
            <c:numRef>
              <c:f>'[图表（本级）.xls]部门'!$C$112:$C$114</c:f>
              <c:numCache>
                <c:formatCode>General</c:formatCode>
                <c:ptCount val="3"/>
                <c:pt idx="0">
                  <c:v>0</c:v>
                </c:pt>
                <c:pt idx="1">
                  <c:v>79.34</c:v>
                </c:pt>
                <c:pt idx="2">
                  <c:v>3.89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4648598879582"/>
          <c:y val="0.542055890072564"/>
          <c:w val="0.3255"/>
          <c:h val="0.451"/>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268f61c2-7d26-4d9b-9a21-b0b7a8fbd612}"/>
      </c:ext>
    </c:extLst>
  </c:chart>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35</Pages>
  <Words>1299</Words>
  <Characters>7410</Characters>
  <Lines>61</Lines>
  <Paragraphs>17</Paragraphs>
  <TotalTime>13</TotalTime>
  <ScaleCrop>false</ScaleCrop>
  <LinksUpToDate>false</LinksUpToDate>
  <CharactersWithSpaces>8692</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2020-08-12T01:49:00Z</dcterms:created>
  <dc:creator>曹颖</dc:creator>
  <cp:lastModifiedBy>user</cp:lastModifiedBy>
  <cp:lastPrinted>2026-08-06T17:27:00Z</cp:lastPrinted>
  <dcterms:modified xsi:type="dcterms:W3CDTF">2026-09-11T09:33:56Z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400D301575C74348A5277D00A7902E06</vt:lpwstr>
  </property>
</Properties>
</file>