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CEC04">
      <w:pPr>
        <w:widowControl/>
        <w:jc w:val="both"/>
        <w:rPr>
          <w:rFonts w:hint="eastAsia" w:ascii="Times New Roman" w:eastAsia="方正小标宋简体"/>
          <w:kern w:val="2"/>
          <w:sz w:val="44"/>
          <w:szCs w:val="44"/>
        </w:rPr>
      </w:pPr>
      <w:bookmarkStart w:id="0" w:name="_Toc15377194"/>
      <w:bookmarkStart w:id="1" w:name="_Toc15378442"/>
      <w:bookmarkStart w:id="2" w:name="_Toc15396598"/>
      <w:bookmarkStart w:id="3" w:name="_Toc15396476"/>
      <w:bookmarkStart w:id="4" w:name="_Toc15377426"/>
      <w:bookmarkStart w:id="5" w:name="_Toc15396597"/>
      <w:bookmarkStart w:id="6" w:name="_Toc15396475"/>
      <w:bookmarkStart w:id="7" w:name="_Toc15377425"/>
      <w:bookmarkStart w:id="8" w:name="_Toc15377193"/>
      <w:bookmarkStart w:id="9" w:name="_Toc15378441"/>
      <w:bookmarkStart w:id="10" w:name="_Toc15306267"/>
    </w:p>
    <w:p w14:paraId="2658FCF5">
      <w:pPr>
        <w:widowControl/>
        <w:jc w:val="both"/>
        <w:rPr>
          <w:rFonts w:hint="eastAsia" w:ascii="Times New Roman" w:eastAsia="方正小标宋简体"/>
          <w:kern w:val="2"/>
          <w:sz w:val="44"/>
          <w:szCs w:val="44"/>
        </w:rPr>
      </w:pPr>
    </w:p>
    <w:p w14:paraId="3C4DF894">
      <w:pPr>
        <w:widowControl/>
        <w:jc w:val="both"/>
        <w:rPr>
          <w:rFonts w:hint="eastAsia" w:ascii="Times New Roman" w:eastAsia="方正小标宋简体"/>
          <w:kern w:val="2"/>
          <w:sz w:val="44"/>
          <w:szCs w:val="44"/>
        </w:rPr>
      </w:pPr>
    </w:p>
    <w:p w14:paraId="638CFD15">
      <w:pPr>
        <w:widowControl/>
        <w:jc w:val="both"/>
        <w:rPr>
          <w:rFonts w:hint="eastAsia" w:ascii="Times New Roman" w:eastAsia="方正小标宋简体"/>
          <w:kern w:val="2"/>
          <w:sz w:val="44"/>
          <w:szCs w:val="44"/>
        </w:rPr>
      </w:pPr>
    </w:p>
    <w:p w14:paraId="137A9C98">
      <w:pPr>
        <w:widowControl/>
        <w:jc w:val="both"/>
        <w:rPr>
          <w:rFonts w:hint="eastAsia" w:ascii="Times New Roman" w:eastAsia="方正小标宋简体"/>
          <w:kern w:val="2"/>
          <w:sz w:val="44"/>
          <w:szCs w:val="44"/>
        </w:rPr>
      </w:pPr>
    </w:p>
    <w:p w14:paraId="22C8ACBD">
      <w:pPr>
        <w:widowControl/>
        <w:jc w:val="both"/>
        <w:rPr>
          <w:rFonts w:hint="eastAsia" w:ascii="Times New Roman" w:eastAsia="方正小标宋简体"/>
          <w:kern w:val="2"/>
          <w:sz w:val="44"/>
          <w:szCs w:val="44"/>
        </w:rPr>
      </w:pPr>
    </w:p>
    <w:p w14:paraId="5B47A771">
      <w:pPr>
        <w:widowControl/>
        <w:jc w:val="both"/>
        <w:rPr>
          <w:rFonts w:hint="eastAsia" w:ascii="Times New Roman" w:eastAsia="方正小标宋简体"/>
          <w:kern w:val="2"/>
          <w:sz w:val="44"/>
          <w:szCs w:val="44"/>
        </w:rPr>
      </w:pPr>
    </w:p>
    <w:p w14:paraId="55E27A67">
      <w:pPr>
        <w:pStyle w:val="5"/>
        <w:spacing w:before="93"/>
        <w:jc w:val="center"/>
        <w:rPr>
          <w:rFonts w:hint="eastAsia" w:ascii="Times New Roman" w:eastAsia="方正小标宋简体"/>
          <w:kern w:val="2"/>
          <w:sz w:val="44"/>
          <w:szCs w:val="44"/>
        </w:rPr>
      </w:pPr>
    </w:p>
    <w:p w14:paraId="436E3992">
      <w:pPr>
        <w:pStyle w:val="5"/>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2025年度攀枝花市生态环境局</w:t>
      </w:r>
    </w:p>
    <w:p w14:paraId="4C287DE0">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决算公开编制说明</w:t>
      </w:r>
    </w:p>
    <w:p w14:paraId="50A1EC22">
      <w:pPr>
        <w:widowControl/>
        <w:jc w:val="both"/>
        <w:rPr>
          <w:rFonts w:hint="eastAsia" w:ascii="Times New Roman" w:eastAsia="方正小标宋简体"/>
          <w:kern w:val="2"/>
          <w:sz w:val="44"/>
          <w:szCs w:val="44"/>
        </w:rPr>
      </w:pPr>
    </w:p>
    <w:p w14:paraId="6E66FD23">
      <w:pPr>
        <w:widowControl/>
        <w:ind w:firstLine="440" w:firstLineChars="100"/>
        <w:jc w:val="both"/>
        <w:rPr>
          <w:rFonts w:hint="eastAsia" w:ascii="Times New Roman" w:eastAsia="方正小标宋简体"/>
          <w:kern w:val="2"/>
          <w:sz w:val="44"/>
          <w:szCs w:val="44"/>
        </w:rPr>
      </w:pPr>
    </w:p>
    <w:p w14:paraId="1B314693">
      <w:pPr>
        <w:widowControl/>
        <w:ind w:firstLine="440" w:firstLineChars="100"/>
        <w:jc w:val="both"/>
        <w:rPr>
          <w:rFonts w:hint="eastAsia" w:ascii="Times New Roman" w:eastAsia="方正小标宋简体"/>
          <w:kern w:val="2"/>
          <w:sz w:val="44"/>
          <w:szCs w:val="44"/>
        </w:rPr>
      </w:pPr>
    </w:p>
    <w:p w14:paraId="3DDEF4B1">
      <w:pPr>
        <w:widowControl/>
        <w:ind w:firstLine="440" w:firstLineChars="100"/>
        <w:jc w:val="both"/>
        <w:rPr>
          <w:rFonts w:hint="eastAsia" w:ascii="Times New Roman" w:eastAsia="方正小标宋简体"/>
          <w:kern w:val="2"/>
          <w:sz w:val="44"/>
          <w:szCs w:val="44"/>
        </w:rPr>
      </w:pPr>
    </w:p>
    <w:p w14:paraId="6093AC7B">
      <w:pPr>
        <w:widowControl/>
        <w:ind w:firstLine="440" w:firstLineChars="100"/>
        <w:jc w:val="both"/>
        <w:rPr>
          <w:rFonts w:hint="eastAsia" w:ascii="Times New Roman" w:eastAsia="方正小标宋简体"/>
          <w:kern w:val="2"/>
          <w:sz w:val="44"/>
          <w:szCs w:val="44"/>
        </w:rPr>
      </w:pPr>
    </w:p>
    <w:p w14:paraId="79A823CA">
      <w:pPr>
        <w:widowControl/>
        <w:ind w:firstLine="440" w:firstLineChars="100"/>
        <w:jc w:val="both"/>
        <w:rPr>
          <w:rFonts w:hint="eastAsia" w:ascii="Times New Roman" w:eastAsia="方正小标宋简体"/>
          <w:kern w:val="2"/>
          <w:sz w:val="44"/>
          <w:szCs w:val="44"/>
        </w:rPr>
      </w:pPr>
    </w:p>
    <w:p w14:paraId="7424DAFE">
      <w:pPr>
        <w:widowControl/>
        <w:ind w:firstLine="440" w:firstLineChars="100"/>
        <w:jc w:val="both"/>
        <w:rPr>
          <w:rFonts w:hint="eastAsia" w:ascii="Times New Roman" w:eastAsia="方正小标宋简体"/>
          <w:kern w:val="2"/>
          <w:sz w:val="44"/>
          <w:szCs w:val="44"/>
        </w:rPr>
      </w:pPr>
    </w:p>
    <w:p w14:paraId="41FA8F8E">
      <w:pPr>
        <w:widowControl/>
        <w:ind w:firstLine="440" w:firstLineChars="100"/>
        <w:jc w:val="both"/>
        <w:rPr>
          <w:rFonts w:hint="eastAsia" w:ascii="Times New Roman" w:eastAsia="方正小标宋简体"/>
          <w:kern w:val="2"/>
          <w:sz w:val="44"/>
          <w:szCs w:val="44"/>
        </w:rPr>
      </w:pPr>
    </w:p>
    <w:p w14:paraId="1861A5DE">
      <w:pPr>
        <w:widowControl/>
        <w:ind w:firstLine="440" w:firstLineChars="100"/>
        <w:jc w:val="both"/>
        <w:rPr>
          <w:rFonts w:hint="eastAsia" w:ascii="Times New Roman" w:eastAsia="方正小标宋简体"/>
          <w:kern w:val="2"/>
          <w:sz w:val="44"/>
          <w:szCs w:val="44"/>
        </w:rPr>
      </w:pPr>
    </w:p>
    <w:p w14:paraId="48980567">
      <w:pPr>
        <w:widowControl/>
        <w:ind w:firstLine="440" w:firstLineChars="100"/>
        <w:jc w:val="both"/>
        <w:rPr>
          <w:rFonts w:hint="eastAsia" w:ascii="Times New Roman" w:eastAsia="方正小标宋简体"/>
          <w:kern w:val="2"/>
          <w:sz w:val="44"/>
          <w:szCs w:val="44"/>
        </w:rPr>
      </w:pPr>
    </w:p>
    <w:p w14:paraId="1125049B">
      <w:pPr>
        <w:widowControl/>
        <w:ind w:firstLine="440" w:firstLineChars="100"/>
        <w:jc w:val="both"/>
        <w:rPr>
          <w:rFonts w:hint="eastAsia" w:ascii="Times New Roman" w:eastAsia="方正小标宋简体"/>
          <w:kern w:val="2"/>
          <w:sz w:val="44"/>
          <w:szCs w:val="44"/>
        </w:rPr>
      </w:pPr>
    </w:p>
    <w:p w14:paraId="3E3196F4">
      <w:pPr>
        <w:widowControl/>
        <w:ind w:firstLine="440" w:firstLineChars="100"/>
        <w:jc w:val="both"/>
        <w:rPr>
          <w:rFonts w:hint="eastAsia" w:ascii="Times New Roman" w:eastAsia="方正小标宋简体"/>
          <w:kern w:val="2"/>
          <w:sz w:val="44"/>
          <w:szCs w:val="44"/>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2BE02FE4">
      <w:pPr>
        <w:widowControl/>
        <w:ind w:firstLine="440" w:firstLineChars="100"/>
        <w:jc w:val="both"/>
        <w:rPr>
          <w:rFonts w:hint="eastAsia" w:ascii="Times New Roman" w:eastAsia="方正小标宋简体"/>
          <w:kern w:val="2"/>
          <w:sz w:val="44"/>
          <w:szCs w:val="44"/>
        </w:rPr>
      </w:pPr>
    </w:p>
    <w:p w14:paraId="12C60975">
      <w:pPr>
        <w:widowControl/>
        <w:ind w:firstLine="440" w:firstLineChars="100"/>
        <w:jc w:val="both"/>
        <w:rPr>
          <w:rFonts w:hint="eastAsia" w:ascii="Times New Roman" w:eastAsia="方正小标宋简体"/>
          <w:kern w:val="2"/>
          <w:sz w:val="44"/>
          <w:szCs w:val="44"/>
        </w:rPr>
      </w:pPr>
    </w:p>
    <w:p w14:paraId="2D0DC103">
      <w:pPr>
        <w:widowControl/>
        <w:ind w:firstLine="440" w:firstLineChars="100"/>
        <w:jc w:val="both"/>
        <w:rPr>
          <w:rFonts w:hint="eastAsia" w:ascii="Times New Roman" w:eastAsia="方正小标宋简体"/>
          <w:kern w:val="2"/>
          <w:sz w:val="44"/>
          <w:szCs w:val="44"/>
        </w:rPr>
      </w:pPr>
    </w:p>
    <w:p w14:paraId="7854D17C">
      <w:pPr>
        <w:widowControl/>
        <w:ind w:firstLine="440" w:firstLineChars="100"/>
        <w:jc w:val="both"/>
        <w:rPr>
          <w:rFonts w:hint="eastAsia" w:ascii="Times New Roman" w:eastAsia="方正小标宋简体"/>
          <w:kern w:val="2"/>
          <w:sz w:val="44"/>
          <w:szCs w:val="44"/>
        </w:rPr>
      </w:pPr>
    </w:p>
    <w:p w14:paraId="5FC57C35">
      <w:pPr>
        <w:widowControl/>
        <w:ind w:firstLine="440" w:firstLineChars="100"/>
        <w:jc w:val="both"/>
        <w:rPr>
          <w:rFonts w:hint="eastAsia" w:ascii="Times New Roman" w:eastAsia="方正小标宋简体"/>
          <w:kern w:val="2"/>
          <w:sz w:val="44"/>
          <w:szCs w:val="44"/>
        </w:rPr>
      </w:pPr>
    </w:p>
    <w:p w14:paraId="6A7C71EE">
      <w:pPr>
        <w:widowControl/>
        <w:ind w:firstLine="440" w:firstLineChars="100"/>
        <w:jc w:val="both"/>
        <w:rPr>
          <w:rFonts w:hint="eastAsia" w:ascii="Times New Roman" w:eastAsia="方正小标宋简体"/>
          <w:kern w:val="2"/>
          <w:sz w:val="44"/>
          <w:szCs w:val="44"/>
        </w:rPr>
      </w:pPr>
    </w:p>
    <w:p w14:paraId="1F0F8C08">
      <w:pPr>
        <w:widowControl/>
        <w:ind w:firstLine="440" w:firstLineChars="100"/>
        <w:jc w:val="both"/>
        <w:rPr>
          <w:rFonts w:hint="eastAsia" w:ascii="Times New Roman" w:eastAsia="方正小标宋简体"/>
          <w:kern w:val="2"/>
          <w:sz w:val="44"/>
          <w:szCs w:val="44"/>
        </w:rPr>
      </w:pPr>
    </w:p>
    <w:p w14:paraId="42979848">
      <w:pPr>
        <w:widowControl/>
        <w:ind w:firstLine="440" w:firstLineChars="100"/>
        <w:jc w:val="both"/>
        <w:rPr>
          <w:rFonts w:hint="eastAsia" w:ascii="Times New Roman" w:eastAsia="方正小标宋简体"/>
          <w:kern w:val="2"/>
          <w:sz w:val="44"/>
          <w:szCs w:val="44"/>
        </w:rPr>
      </w:pPr>
    </w:p>
    <w:p w14:paraId="13CE80D7">
      <w:pPr>
        <w:widowControl/>
        <w:ind w:firstLine="440" w:firstLineChars="100"/>
        <w:jc w:val="both"/>
        <w:rPr>
          <w:rFonts w:hint="eastAsia" w:ascii="Times New Roman" w:eastAsia="方正小标宋简体"/>
          <w:kern w:val="2"/>
          <w:sz w:val="44"/>
          <w:szCs w:val="44"/>
        </w:rPr>
      </w:pPr>
    </w:p>
    <w:p w14:paraId="0AEBA0B9">
      <w:pPr>
        <w:widowControl/>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2025年度攀枝花市</w:t>
      </w:r>
      <w:bookmarkStart w:id="11" w:name="_Toc15306268"/>
      <w:r>
        <w:rPr>
          <w:rFonts w:hint="eastAsia" w:ascii="Times New Roman" w:eastAsia="方正小标宋简体"/>
          <w:kern w:val="2"/>
          <w:sz w:val="44"/>
          <w:szCs w:val="44"/>
          <w:lang w:eastAsia="zh-CN"/>
        </w:rPr>
        <w:t>生态环境局</w:t>
      </w:r>
    </w:p>
    <w:p w14:paraId="65A5132F">
      <w:pPr>
        <w:widowControl/>
        <w:ind w:firstLine="440" w:firstLineChars="100"/>
        <w:jc w:val="center"/>
        <w:rPr>
          <w:rFonts w:hint="eastAsia" w:ascii="Times New Roman" w:hAnsi="Times New Roman" w:eastAsia="方正小标宋简体"/>
          <w:lang w:eastAsia="zh-CN"/>
        </w:rPr>
        <w:sectPr>
          <w:footerReference r:id="rId7" w:type="first"/>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ascii="Times New Roman" w:eastAsia="方正小标宋简体"/>
          <w:kern w:val="2"/>
          <w:sz w:val="44"/>
          <w:szCs w:val="44"/>
        </w:rPr>
        <w:t>部门</w:t>
      </w:r>
      <w:bookmarkEnd w:id="0"/>
      <w:bookmarkEnd w:id="1"/>
      <w:bookmarkEnd w:id="2"/>
      <w:bookmarkEnd w:id="3"/>
      <w:bookmarkEnd w:id="4"/>
      <w:bookmarkEnd w:id="11"/>
      <w:r>
        <w:rPr>
          <w:rFonts w:hint="eastAsia" w:eastAsia="方正小标宋简体"/>
          <w:kern w:val="2"/>
          <w:sz w:val="44"/>
          <w:szCs w:val="44"/>
          <w:lang w:eastAsia="zh-CN"/>
        </w:rPr>
        <w:t>决算</w:t>
      </w:r>
    </w:p>
    <w:bookmarkEnd w:id="5"/>
    <w:bookmarkEnd w:id="6"/>
    <w:bookmarkEnd w:id="7"/>
    <w:bookmarkEnd w:id="8"/>
    <w:bookmarkEnd w:id="9"/>
    <w:bookmarkEnd w:id="10"/>
    <w:p w14:paraId="1CC8AC3C">
      <w:pPr>
        <w:widowControl/>
        <w:jc w:val="both"/>
        <w:rPr>
          <w:rFonts w:hint="eastAsia" w:ascii="Times New Roman" w:eastAsia="方正小标宋简体"/>
          <w:kern w:val="2"/>
          <w:sz w:val="44"/>
          <w:szCs w:val="44"/>
        </w:rPr>
      </w:pPr>
    </w:p>
    <w:p w14:paraId="1AFE458F">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01089772">
      <w:pPr>
        <w:widowControl/>
        <w:jc w:val="center"/>
        <w:rPr>
          <w:rFonts w:ascii="Times New Roman" w:hAnsi="Times New Roman" w:eastAsia="黑体" w:cstheme="minorBidi"/>
          <w:color w:val="auto"/>
          <w:sz w:val="28"/>
          <w:szCs w:val="28"/>
          <w:highlight w:val="none"/>
        </w:rPr>
      </w:pPr>
    </w:p>
    <w:p w14:paraId="4B54F3A5">
      <w:pPr>
        <w:pStyle w:val="12"/>
        <w:pageBreakBefore w:val="0"/>
        <w:kinsoku/>
        <w:wordWrap/>
        <w:overflowPunct/>
        <w:topLinePunct w:val="0"/>
        <w:autoSpaceDE/>
        <w:autoSpaceDN/>
        <w:bidi w:val="0"/>
        <w:spacing w:line="6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11</w:t>
      </w:r>
      <w:bookmarkStart w:id="73" w:name="_GoBack"/>
      <w:bookmarkEnd w:id="73"/>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14:paraId="7159DD07">
      <w:pPr>
        <w:pageBreakBefore w:val="0"/>
        <w:kinsoku/>
        <w:wordWrap/>
        <w:overflowPunct/>
        <w:topLinePunct w:val="0"/>
        <w:autoSpaceDE/>
        <w:autoSpaceDN/>
        <w:bidi w:val="0"/>
        <w:spacing w:line="600" w:lineRule="exact"/>
        <w:textAlignment w:val="auto"/>
        <w:rPr>
          <w:rFonts w:ascii="Times New Roman" w:hAnsi="Times New Roman"/>
          <w:color w:val="auto"/>
          <w:highlight w:val="none"/>
        </w:rPr>
      </w:pPr>
    </w:p>
    <w:p w14:paraId="4628C1CF">
      <w:pPr>
        <w:pStyle w:val="12"/>
        <w:keepNext w:val="0"/>
        <w:keepLines w:val="0"/>
        <w:pageBreakBefore w:val="0"/>
        <w:kinsoku/>
        <w:wordWrap/>
        <w:overflowPunct/>
        <w:topLinePunct w:val="0"/>
        <w:autoSpaceDE/>
        <w:autoSpaceDN/>
        <w:bidi w:val="0"/>
        <w:adjustRightInd w:val="0"/>
        <w:snapToGrid w:val="0"/>
        <w:spacing w:before="0" w:line="60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Times New Roman"/>
          <w:color w:val="auto"/>
          <w:sz w:val="32"/>
          <w:szCs w:val="32"/>
          <w:lang w:val="en-US" w:eastAsia="zh-CN"/>
        </w:rPr>
        <w:tab/>
      </w:r>
      <w:r>
        <w:rPr>
          <w:rFonts w:hint="eastAsia" w:ascii="Times New Roman" w:hAnsi="Times New Roman" w:eastAsia="黑体" w:cs="Times New Roman"/>
          <w:color w:val="auto"/>
          <w:sz w:val="32"/>
          <w:szCs w:val="32"/>
          <w:lang w:val="en-US" w:eastAsia="zh-CN"/>
        </w:rPr>
        <w:t>1</w:t>
      </w:r>
    </w:p>
    <w:p w14:paraId="7A89B14E">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黑体" w:cs="Times New Roman"/>
          <w:color w:val="auto"/>
          <w:sz w:val="32"/>
          <w:szCs w:val="32"/>
          <w:lang w:val="en-US"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1</w:t>
      </w:r>
    </w:p>
    <w:p w14:paraId="17A8F926">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二、机构设置</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5</w:t>
      </w:r>
    </w:p>
    <w:p w14:paraId="4DF6A856">
      <w:pPr>
        <w:pStyle w:val="12"/>
        <w:keepNext w:val="0"/>
        <w:keepLines w:val="0"/>
        <w:pageBreakBefore w:val="0"/>
        <w:kinsoku/>
        <w:wordWrap/>
        <w:overflowPunct/>
        <w:topLinePunct w:val="0"/>
        <w:autoSpaceDE/>
        <w:autoSpaceDN/>
        <w:bidi w:val="0"/>
        <w:adjustRightInd w:val="0"/>
        <w:snapToGrid w:val="0"/>
        <w:spacing w:before="0" w:line="60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2025年度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Times New Roman"/>
          <w:color w:val="auto"/>
          <w:sz w:val="32"/>
          <w:szCs w:val="32"/>
          <w:lang w:val="en-US" w:eastAsia="zh-CN"/>
        </w:rPr>
        <w:tab/>
      </w:r>
      <w:r>
        <w:rPr>
          <w:rFonts w:hint="eastAsia" w:ascii="Times New Roman" w:hAnsi="Times New Roman" w:eastAsia="黑体" w:cs="Times New Roman"/>
          <w:color w:val="auto"/>
          <w:sz w:val="32"/>
          <w:szCs w:val="32"/>
          <w:lang w:val="en-US" w:eastAsia="zh-CN"/>
        </w:rPr>
        <w:t>6</w:t>
      </w:r>
    </w:p>
    <w:p w14:paraId="38F6C537">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一、收入支出决算总体情况说明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6</w:t>
      </w:r>
    </w:p>
    <w:p w14:paraId="3C8EDC75">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6</w:t>
      </w:r>
    </w:p>
    <w:p w14:paraId="242130BE">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6</w:t>
      </w:r>
    </w:p>
    <w:p w14:paraId="51D5620A">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7</w:t>
      </w:r>
    </w:p>
    <w:p w14:paraId="3F61D396">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7</w:t>
      </w:r>
    </w:p>
    <w:p w14:paraId="5DF9E77E">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10</w:t>
      </w:r>
    </w:p>
    <w:p w14:paraId="54CF3300">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10</w:t>
      </w:r>
    </w:p>
    <w:p w14:paraId="23ECDA37">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八、政府性基金预算支出决算情况说明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13</w:t>
      </w:r>
    </w:p>
    <w:p w14:paraId="6099F849">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13</w:t>
      </w:r>
    </w:p>
    <w:p w14:paraId="0FCE00B3">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13</w:t>
      </w:r>
    </w:p>
    <w:p w14:paraId="40467096">
      <w:pPr>
        <w:pStyle w:val="12"/>
        <w:keepNext w:val="0"/>
        <w:keepLines w:val="0"/>
        <w:pageBreakBefore w:val="0"/>
        <w:kinsoku/>
        <w:wordWrap/>
        <w:overflowPunct/>
        <w:topLinePunct w:val="0"/>
        <w:autoSpaceDE/>
        <w:autoSpaceDN/>
        <w:bidi w:val="0"/>
        <w:adjustRightInd w:val="0"/>
        <w:snapToGrid w:val="0"/>
        <w:spacing w:before="0" w:line="60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Times New Roman"/>
          <w:color w:val="auto"/>
          <w:sz w:val="32"/>
          <w:szCs w:val="32"/>
          <w:lang w:val="en-US" w:eastAsia="zh-CN"/>
        </w:rPr>
        <w:tab/>
      </w:r>
      <w:r>
        <w:rPr>
          <w:rFonts w:hint="eastAsia" w:ascii="Times New Roman" w:hAnsi="Times New Roman" w:eastAsia="黑体" w:cs="Times New Roman"/>
          <w:color w:val="auto"/>
          <w:sz w:val="32"/>
          <w:szCs w:val="32"/>
          <w:lang w:val="en-US" w:eastAsia="zh-CN"/>
        </w:rPr>
        <w:t>15</w:t>
      </w:r>
    </w:p>
    <w:p w14:paraId="44D4C571">
      <w:pPr>
        <w:pStyle w:val="12"/>
        <w:keepNext w:val="0"/>
        <w:keepLines w:val="0"/>
        <w:pageBreakBefore w:val="0"/>
        <w:kinsoku/>
        <w:wordWrap/>
        <w:overflowPunct/>
        <w:topLinePunct w:val="0"/>
        <w:autoSpaceDE/>
        <w:autoSpaceDN/>
        <w:bidi w:val="0"/>
        <w:adjustRightInd w:val="0"/>
        <w:snapToGrid w:val="0"/>
        <w:spacing w:before="0" w:line="60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Times New Roman"/>
          <w:color w:val="auto"/>
          <w:sz w:val="32"/>
          <w:szCs w:val="32"/>
          <w:lang w:val="en-US" w:eastAsia="zh-CN"/>
        </w:rPr>
        <w:tab/>
      </w:r>
      <w:r>
        <w:rPr>
          <w:rFonts w:hint="eastAsia" w:ascii="Times New Roman" w:hAnsi="Times New Roman" w:eastAsia="黑体" w:cs="Times New Roman"/>
          <w:color w:val="auto"/>
          <w:sz w:val="32"/>
          <w:szCs w:val="32"/>
          <w:lang w:val="en-US" w:eastAsia="zh-CN"/>
        </w:rPr>
        <w:t>19</w:t>
      </w:r>
    </w:p>
    <w:p w14:paraId="3956AA59">
      <w:pPr>
        <w:pStyle w:val="12"/>
        <w:keepNext w:val="0"/>
        <w:keepLines w:val="0"/>
        <w:pageBreakBefore w:val="0"/>
        <w:kinsoku/>
        <w:wordWrap/>
        <w:overflowPunct/>
        <w:topLinePunct w:val="0"/>
        <w:autoSpaceDE/>
        <w:autoSpaceDN/>
        <w:bidi w:val="0"/>
        <w:adjustRightInd w:val="0"/>
        <w:snapToGrid w:val="0"/>
        <w:spacing w:before="0" w:line="60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Times New Roman"/>
          <w:color w:val="auto"/>
          <w:sz w:val="32"/>
          <w:szCs w:val="32"/>
          <w:lang w:val="en-US" w:eastAsia="zh-CN"/>
        </w:rPr>
        <w:tab/>
      </w:r>
      <w:r>
        <w:rPr>
          <w:rFonts w:hint="eastAsia" w:ascii="Times New Roman" w:hAnsi="Times New Roman" w:eastAsia="黑体" w:cs="Times New Roman"/>
          <w:color w:val="auto"/>
          <w:sz w:val="32"/>
          <w:szCs w:val="32"/>
          <w:lang w:val="en-US" w:eastAsia="zh-CN"/>
        </w:rPr>
        <w:t>20</w:t>
      </w:r>
    </w:p>
    <w:p w14:paraId="56AD4433">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left"/>
        <w:textAlignment w:val="auto"/>
        <w:rPr>
          <w:rFonts w:hint="eastAsia" w:ascii="Times New Roman" w:hAnsi="Times New Roman" w:eastAsia="仿宋_GB2312" w:cs="仿宋_GB2312"/>
          <w:color w:val="auto"/>
          <w:sz w:val="32"/>
          <w:szCs w:val="32"/>
          <w:highlight w:val="none"/>
        </w:rPr>
        <w:sectPr>
          <w:footerReference r:id="rId9" w:type="first"/>
          <w:footerReference r:id="rId8" w:type="default"/>
          <w:pgSz w:w="11906" w:h="16838"/>
          <w:pgMar w:top="1440" w:right="1800" w:bottom="1440" w:left="1800" w:header="851" w:footer="992" w:gutter="0"/>
          <w:pgNumType w:fmt="decimal" w:start="1"/>
          <w:cols w:space="425" w:num="1"/>
          <w:docGrid w:type="lines" w:linePitch="312" w:charSpace="0"/>
        </w:sectPr>
      </w:pPr>
    </w:p>
    <w:p w14:paraId="056FE453">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357BD16D">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33487441">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3D20C189">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四、财政拨款收入支出决算总表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1FDB745E">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五、财政拨款支出决算明细表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28750097">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六、一般公共预算财政拨款支出决算表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3B437C43">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44BB6050">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6C7424A3">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59CDA74E">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612C34AD">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65845D4D">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570C889E">
      <w:pPr>
        <w:pStyle w:val="14"/>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十三、财政拨款“三公”经费支出决算表</w:t>
      </w:r>
      <w:r>
        <w:rPr>
          <w:rFonts w:hint="eastAsia" w:ascii="Times New Roman" w:hAnsi="Times New Roman" w:eastAsia="黑体" w:cs="Times New Roman"/>
          <w:color w:val="auto"/>
          <w:sz w:val="32"/>
          <w:szCs w:val="32"/>
          <w:lang w:val="en-US" w:eastAsia="zh-CN"/>
        </w:rPr>
        <w:tab/>
      </w:r>
      <w:r>
        <w:rPr>
          <w:rFonts w:hint="eastAsia" w:eastAsia="黑体" w:cs="Times New Roman"/>
          <w:color w:val="auto"/>
          <w:sz w:val="32"/>
          <w:szCs w:val="32"/>
          <w:lang w:val="en-US" w:eastAsia="zh-CN"/>
        </w:rPr>
        <w:t>20</w:t>
      </w:r>
    </w:p>
    <w:p w14:paraId="1CFA1C63">
      <w:pPr>
        <w:pStyle w:val="2"/>
        <w:pageBreakBefore w:val="0"/>
        <w:kinsoku/>
        <w:wordWrap/>
        <w:overflowPunct/>
        <w:topLinePunct w:val="0"/>
        <w:autoSpaceDE/>
        <w:autoSpaceDN/>
        <w:bidi w:val="0"/>
        <w:spacing w:line="600" w:lineRule="exact"/>
        <w:jc w:val="both"/>
        <w:textAlignment w:val="auto"/>
        <w:rPr>
          <w:rFonts w:hint="eastAsia" w:ascii="Times New Roman" w:hAnsi="Times New Roman" w:eastAsia="方正小标宋简体" w:cs="方正小标宋简体"/>
          <w:b w:val="0"/>
          <w:color w:val="auto"/>
          <w:sz w:val="44"/>
          <w:szCs w:val="44"/>
          <w:highlight w:val="none"/>
        </w:rPr>
        <w:sectPr>
          <w:footerReference r:id="rId10" w:type="default"/>
          <w:pgSz w:w="11906" w:h="16838"/>
          <w:pgMar w:top="1440" w:right="1800" w:bottom="1440" w:left="1800" w:header="851" w:footer="992" w:gutter="0"/>
          <w:pgNumType w:fmt="decimal" w:start="1"/>
          <w:cols w:space="425" w:num="1"/>
          <w:docGrid w:type="lines" w:linePitch="312" w:charSpace="0"/>
        </w:sectPr>
      </w:pPr>
      <w:bookmarkStart w:id="12" w:name="_Toc15377196"/>
      <w:bookmarkStart w:id="13" w:name="_Toc15396599"/>
    </w:p>
    <w:p w14:paraId="734C4B5B">
      <w:pPr>
        <w:pStyle w:val="2"/>
        <w:pageBreakBefore w:val="0"/>
        <w:kinsoku/>
        <w:wordWrap/>
        <w:overflowPunct/>
        <w:topLinePunct w:val="0"/>
        <w:autoSpaceDE/>
        <w:autoSpaceDN/>
        <w:bidi w:val="0"/>
        <w:spacing w:line="600" w:lineRule="exact"/>
        <w:jc w:val="center"/>
        <w:textAlignment w:val="auto"/>
        <w:rPr>
          <w:rFonts w:ascii="Times New Roman" w:hAnsi="Times New Roman" w:eastAsia="黑体"/>
          <w:color w:val="auto"/>
          <w:sz w:val="44"/>
          <w:szCs w:val="44"/>
          <w:highlight w:val="none"/>
        </w:rPr>
      </w:pPr>
      <w:r>
        <w:rPr>
          <w:rFonts w:hint="eastAsia" w:ascii="Times New Roman" w:hAnsi="Times New Roman" w:eastAsia="方正小标宋简体" w:cs="方正小标宋简体"/>
          <w:b w:val="0"/>
          <w:color w:val="auto"/>
          <w:sz w:val="44"/>
          <w:szCs w:val="44"/>
          <w:highlight w:val="none"/>
        </w:rPr>
        <w:t>第一部分</w:t>
      </w:r>
      <w:r>
        <w:rPr>
          <w:rFonts w:hint="eastAsia" w:ascii="Times New Roman" w:hAnsi="Times New Roman" w:eastAsia="方正小标宋简体" w:cs="方正小标宋简体"/>
          <w:b w:val="0"/>
          <w:color w:val="auto"/>
          <w:sz w:val="44"/>
          <w:szCs w:val="44"/>
          <w:highlight w:val="none"/>
          <w:lang w:val="en-US" w:eastAsia="zh-CN"/>
        </w:rPr>
        <w:t xml:space="preserve"> </w:t>
      </w:r>
      <w:r>
        <w:rPr>
          <w:rFonts w:hint="eastAsia" w:ascii="Times New Roman" w:hAnsi="Times New Roman" w:eastAsia="方正小标宋简体" w:cs="方正小标宋简体"/>
          <w:b w:val="0"/>
          <w:color w:val="auto"/>
          <w:sz w:val="44"/>
          <w:szCs w:val="44"/>
          <w:highlight w:val="none"/>
        </w:rPr>
        <w:t xml:space="preserve"> </w:t>
      </w:r>
      <w:r>
        <w:rPr>
          <w:rStyle w:val="28"/>
          <w:rFonts w:hint="eastAsia" w:ascii="Times New Roman" w:hAnsi="Times New Roman" w:eastAsia="方正小标宋简体" w:cs="方正小标宋简体"/>
          <w:b w:val="0"/>
          <w:bCs w:val="0"/>
          <w:color w:val="auto"/>
          <w:sz w:val="44"/>
          <w:szCs w:val="44"/>
          <w:highlight w:val="none"/>
        </w:rPr>
        <w:t>部门概况</w:t>
      </w:r>
      <w:bookmarkEnd w:id="12"/>
      <w:bookmarkEnd w:id="13"/>
    </w:p>
    <w:p w14:paraId="00BA3E38">
      <w:pPr>
        <w:pStyle w:val="3"/>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b w:val="0"/>
          <w:color w:val="auto"/>
          <w:highlight w:val="none"/>
          <w:lang w:eastAsia="zh-CN"/>
        </w:rPr>
      </w:pPr>
      <w:bookmarkStart w:id="14" w:name="_Toc15377197"/>
      <w:bookmarkStart w:id="15" w:name="_Toc15396600"/>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eastAsia="zh-CN"/>
        </w:rPr>
        <w:t>部门职责</w:t>
      </w:r>
    </w:p>
    <w:p w14:paraId="3DB3F6DE">
      <w:pPr>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负责建立健全全市生态环境基本制度。会同有关部门拟订并组织实施全市生态环境政策、规划，起草生态环境保护的地方性法规、规章草案，并依法组织实施和监督检查。组织编制环境功能区划，会同有关部门编制并监督实施重点区域、流域、饮用水水源地生态环境规划和水功能区划，组织拟订生态环境地方标准、技术规范。参与制定与全市生态环境相关的经济、技术、资源配置和产业政策。参与拟订全市主体功能区划。</w:t>
      </w:r>
    </w:p>
    <w:p w14:paraId="6FFE7390">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负责全市重大生态环境问题的统筹协调和监督管理。牵头协调全市重特大突发生态环境事件和生态破坏事件的调查处理，指导协调各县（区）对重特大突发生态环境事件的应急、预警工作，牵头指导实施生态环境损害赔偿制度，协调解决有关跨区域环境污染纠纷，统筹协调全市重点区域、流域的生态环境保护工作。</w:t>
      </w:r>
    </w:p>
    <w:p w14:paraId="1789CADE">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负责监督管理全市减排目标的落实。组织制定并监督实施全市各类污染物排放总量控制和排污许可证制度，确定大气、水等环境纳污能力，提出实施总量控制的污染物名称和控制指标，监督检查各县（区）、园区、企业污染物减排任务完成情况，实施生态环境目标责任制。</w:t>
      </w:r>
    </w:p>
    <w:p w14:paraId="14AF6A9D">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负责提出全市生态环境领域固定资产投资规模和方向、市级财政性资金安排的意见，按市政府规定权限审批、核准全市规划内和年度计划规模内固定资产投资项目，配合有关部门做好组织实施和监督工作。参与指导推动全市循环经济和生态环保产业发展。</w:t>
      </w:r>
    </w:p>
    <w:p w14:paraId="3C9C2BC2">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负责全市环境污染防治的监督管理。组织制定并监督实施全市大气、水、土壤、噪声、光、恶臭、固体废物、化学品、机动车等的污染防治管理制度。会同有关部门监督管理饮用水水源地生态环境保护工作，组织指导城乡生态环境综合整治工作，监督指导农业面源污染治理工作。监督指导区域大气环境保护工作，牵头建立区域大气污染联防联控协作机制并监督实施。按职责分工组织开展全市强制性清洁生产审核工作。</w:t>
      </w:r>
    </w:p>
    <w:p w14:paraId="2912A763">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指导协调和监督全市生态保护修复工作。组织编制和监督实施生态保护规划，监督对生态环境有影响的自然资源开发利用活动、重要生态环境建设和生态破坏恢复工作。组织、指导生态示范创建工作。组织制定全市各类自然保护地生态环境监管制度并监督执法，承担自然保护地、生态保护红线相关监管工作。监督野生动植物保护、湿地生态环境保护、荒漠化防治等工作。指导协调和监督全市农村生态环境保护，监督生物技术环境安全，牵头生物物种（含遗传资源）工作，组织协调生物多样性保护工作，参与生态保护补偿工作。</w:t>
      </w:r>
    </w:p>
    <w:p w14:paraId="69FE0B3D">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负责全市核与辐射安全的监督管理。贯彻执行国家、省核与辐射安全法律、法规、规章、政策、规划和技术标准。负责辐射环境事故应急处理工作，参与核事故应急处理。监督管理放射源与射线装置安全，监督管理全市核技术应用、电磁辐射、伴有放射性矿产资源开发利用中的污染防治。负责核与辐射建设项目“三同时”（同时设计、同时施工、同时投产使用）管理工作，参与核设施安全、核设施污染防治监督管理相关工作，参与对核材料的管制和民用核安全设备的设计、制造、安装和无损检验活动的监督管理。负责核与辐射环境监测和执法工作。参与反生化、核与辐射恐怖事件的防范和处理。</w:t>
      </w:r>
    </w:p>
    <w:p w14:paraId="6E3A934A">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负责全市生态环境准入的监督管理。受市政府委托对重大经济和技术政策、发展规划以及重大经济开发计划进行环境影响评价。按规定审批或审查重大开发建设区域、规划、项目环境影响评价文件。拟订并组织实施全市生态环境准入清单。</w:t>
      </w:r>
    </w:p>
    <w:p w14:paraId="1ABC5522">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负责全市生态环境监测、统计和信息发布工作。监督执行国家、省颁布的各类环境标准，负责全市环境监测制度和规范相关工作。会同有关部门统一规划全市生态环境质量监测站点设置，组织实施生态环境质量监测、污染源监督性监测、温室气体减排监测、应急监测。组织对全市生态环境质量状况进行调查评价、预警预测，组织建设和管理全市生态环境监测网和生态环境信息网。负责全市生态环境质量考核和生态环境统计工作。建立和实行生态环境质量公告制度，统一发布全市生态环境综合性报告和重大环境信息。</w:t>
      </w:r>
    </w:p>
    <w:p w14:paraId="04FBCF87">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负责应对气候变化工作。组织实施国家、省应对气候变化及温室气体减排重大战略、规划和政策，组织拟订全市应对气候变化的规划和政策措施。</w:t>
      </w:r>
    </w:p>
    <w:p w14:paraId="3D452890">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（十一）</w:t>
      </w:r>
      <w:r>
        <w:rPr>
          <w:rFonts w:hint="eastAsia" w:ascii="仿宋_GB2312" w:hAnsi="仿宋_GB2312" w:eastAsia="仿宋_GB2312" w:cs="仿宋_GB2312"/>
          <w:sz w:val="32"/>
          <w:szCs w:val="32"/>
        </w:rPr>
        <w:t>负责生态环境保护领域的综合行政执法工作。组织开展全市生态环境保护执法检查。监督实施全市建设项目生态环境保护设施“三同时”制度。查处全市重大生态环境违法问题。负责全市生态环境保护综合执法队伍建设并指导开展业务工作。</w:t>
      </w:r>
    </w:p>
    <w:p w14:paraId="45A59478">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（十二）</w:t>
      </w:r>
      <w:r>
        <w:rPr>
          <w:rFonts w:hint="eastAsia" w:ascii="仿宋_GB2312" w:hAnsi="仿宋_GB2312" w:eastAsia="仿宋_GB2312" w:cs="仿宋_GB2312"/>
          <w:sz w:val="32"/>
          <w:szCs w:val="32"/>
        </w:rPr>
        <w:t>组织指导和协调全市生态环境宣传教育工作。制定并组织实施全市生态环境保护宣传教育有关规划和计划。推动社会组织和公众参与生态环境保护。会同有关部门依法对全市保护和改善生态环境有显著成绩的单位和个人给予表彰和奖励。</w:t>
      </w:r>
    </w:p>
    <w:p w14:paraId="550FDB2D">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（十三）</w:t>
      </w:r>
      <w:r>
        <w:rPr>
          <w:rFonts w:hint="eastAsia" w:ascii="仿宋_GB2312" w:hAnsi="仿宋_GB2312" w:eastAsia="仿宋_GB2312" w:cs="仿宋_GB2312"/>
          <w:sz w:val="32"/>
          <w:szCs w:val="32"/>
        </w:rPr>
        <w:t>开展全市生态环境科技工作。管理全市生态环境保护科技成果并推广应用。组织开展全市生态环境重大科学研究和技术工程示范，推动生态环境技术管理体系建设。</w:t>
      </w:r>
    </w:p>
    <w:p w14:paraId="066BFC18">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（十四）</w:t>
      </w:r>
      <w:r>
        <w:rPr>
          <w:rFonts w:hint="eastAsia" w:ascii="仿宋_GB2312" w:hAnsi="仿宋_GB2312" w:eastAsia="仿宋_GB2312" w:cs="仿宋_GB2312"/>
          <w:sz w:val="32"/>
          <w:szCs w:val="32"/>
        </w:rPr>
        <w:t>开展生态环境对外交流与合作。参与协调市内重要生态环境保护国际活动和区域合作，管理全市生态环境系统对外经济合作，参与处理涉外生态环境保护事务，负责与环境保护国际组织的联系工作。</w:t>
      </w:r>
    </w:p>
    <w:p w14:paraId="75B16822">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（十五）</w:t>
      </w:r>
      <w:r>
        <w:rPr>
          <w:rFonts w:hint="eastAsia" w:ascii="仿宋_GB2312" w:hAnsi="仿宋_GB2312" w:eastAsia="仿宋_GB2312" w:cs="仿宋_GB2312"/>
          <w:sz w:val="32"/>
          <w:szCs w:val="32"/>
        </w:rPr>
        <w:t>负责职责范围内安全生产和职业健康、审批服务便民化等工作。</w:t>
      </w:r>
    </w:p>
    <w:p w14:paraId="7E841C29">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（十六）</w:t>
      </w:r>
      <w:r>
        <w:rPr>
          <w:rFonts w:hint="eastAsia" w:ascii="仿宋_GB2312" w:hAnsi="仿宋_GB2312" w:eastAsia="仿宋_GB2312" w:cs="仿宋_GB2312"/>
          <w:sz w:val="32"/>
          <w:szCs w:val="32"/>
        </w:rPr>
        <w:t>完成市委、市政府和省生态环境厅交办的其他任务。</w:t>
      </w:r>
    </w:p>
    <w:p w14:paraId="30EBE7F5">
      <w:pPr>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（十七）</w:t>
      </w:r>
      <w:r>
        <w:rPr>
          <w:rFonts w:hint="eastAsia" w:ascii="仿宋_GB2312" w:hAnsi="仿宋_GB2312" w:eastAsia="仿宋_GB2312" w:cs="仿宋_GB2312"/>
          <w:sz w:val="32"/>
          <w:szCs w:val="32"/>
        </w:rPr>
        <w:t>职能转变。统一行使全市生态和城乡各类污染排放监管职责，按照国家、省确定的综合行政执法改革要求实施与此对应的行政执法职责，统一负责全市生态环境质量监测、调查评价和考核，切实履行监管责任，加强事中事后监管，全面落实大气、水、土壤污染防治行动计划，强化固体废物、化学品、重金属污染防治监督管理。构建政府为主导、企业为主体、社会组织和公众共同参与的生态环境治理体系，实施最严格的生态环境保护制度，严守生态保护红线和环境质量底线，坚决打好污染防治攻坚战，筑牢长江上游生态屏障，保障生态安全。</w:t>
      </w:r>
      <w:bookmarkStart w:id="16" w:name="_Toc15377200"/>
      <w:bookmarkStart w:id="17" w:name="_Toc15396601"/>
    </w:p>
    <w:p w14:paraId="040A0DBA">
      <w:pPr>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Style w:val="29"/>
          <w:rFonts w:ascii="Times New Roman" w:hAnsi="Times New Roman"/>
          <w:b w:val="0"/>
          <w:bCs w:val="0"/>
          <w:color w:val="auto"/>
          <w:sz w:val="32"/>
          <w:szCs w:val="32"/>
          <w:highlight w:val="none"/>
        </w:rPr>
      </w:pPr>
      <w:r>
        <w:rPr>
          <w:rFonts w:hint="eastAsia" w:ascii="Times New Roman" w:hAnsi="Times New Roman" w:eastAsia="黑体"/>
          <w:b w:val="0"/>
          <w:color w:val="auto"/>
          <w:sz w:val="32"/>
          <w:szCs w:val="32"/>
          <w:highlight w:val="none"/>
        </w:rPr>
        <w:t>二、机</w:t>
      </w:r>
      <w:r>
        <w:rPr>
          <w:rStyle w:val="29"/>
          <w:rFonts w:hint="eastAsia" w:ascii="Times New Roman" w:hAnsi="Times New Roman" w:eastAsia="黑体"/>
          <w:b w:val="0"/>
          <w:bCs w:val="0"/>
          <w:color w:val="auto"/>
          <w:sz w:val="32"/>
          <w:szCs w:val="32"/>
          <w:highlight w:val="none"/>
        </w:rPr>
        <w:t>构设置</w:t>
      </w:r>
      <w:bookmarkEnd w:id="16"/>
      <w:bookmarkEnd w:id="17"/>
    </w:p>
    <w:p w14:paraId="611340AC">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攀枝花市生态环境局（本级）</w:t>
      </w:r>
      <w:r>
        <w:rPr>
          <w:rFonts w:hint="eastAsia" w:ascii="仿宋_GB2312" w:hAnsi="仿宋_GB2312" w:eastAsia="仿宋_GB2312" w:cs="仿宋_GB2312"/>
          <w:color w:val="auto"/>
          <w:sz w:val="32"/>
          <w:szCs w:val="32"/>
          <w:highlight w:val="none"/>
          <w:lang w:eastAsia="zh-CN"/>
        </w:rPr>
        <w:t>为</w:t>
      </w:r>
      <w:r>
        <w:rPr>
          <w:rFonts w:hint="eastAsia" w:ascii="仿宋_GB2312" w:hAnsi="仿宋_GB2312" w:eastAsia="仿宋_GB2312" w:cs="仿宋_GB2312"/>
          <w:color w:val="auto"/>
          <w:sz w:val="32"/>
          <w:szCs w:val="32"/>
          <w:highlight w:val="none"/>
        </w:rPr>
        <w:t>二级</w:t>
      </w:r>
      <w:r>
        <w:rPr>
          <w:rFonts w:hint="eastAsia" w:ascii="仿宋_GB2312" w:hAnsi="仿宋_GB2312" w:eastAsia="仿宋_GB2312" w:cs="仿宋_GB2312"/>
          <w:color w:val="auto"/>
          <w:sz w:val="32"/>
          <w:szCs w:val="32"/>
          <w:highlight w:val="none"/>
          <w:lang w:eastAsia="zh-CN"/>
        </w:rPr>
        <w:t>预算</w:t>
      </w:r>
      <w:r>
        <w:rPr>
          <w:rFonts w:hint="eastAsia" w:ascii="仿宋_GB2312" w:hAnsi="仿宋_GB2312" w:eastAsia="仿宋_GB2312" w:cs="仿宋_GB2312"/>
          <w:color w:val="auto"/>
          <w:sz w:val="32"/>
          <w:szCs w:val="32"/>
          <w:highlight w:val="none"/>
        </w:rPr>
        <w:t>单位，</w:t>
      </w:r>
      <w:r>
        <w:rPr>
          <w:rFonts w:hint="eastAsia" w:ascii="仿宋_GB2312" w:hAnsi="仿宋_GB2312" w:eastAsia="仿宋_GB2312" w:cs="仿宋_GB2312"/>
          <w:sz w:val="32"/>
          <w:szCs w:val="32"/>
        </w:rPr>
        <w:t>内设14个职能科室</w:t>
      </w:r>
      <w:r>
        <w:rPr>
          <w:rFonts w:hint="eastAsia" w:ascii="仿宋_GB2312" w:hAnsi="仿宋_GB2312" w:eastAsia="仿宋_GB2312" w:cs="仿宋_GB2312"/>
          <w:sz w:val="32"/>
          <w:szCs w:val="32"/>
          <w:lang w:eastAsia="zh-CN"/>
        </w:rPr>
        <w:t>，下属未独立核算</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w:t>
      </w:r>
    </w:p>
    <w:p w14:paraId="6CE1BD96">
      <w:pPr>
        <w:pStyle w:val="5"/>
        <w:pageBreakBefore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纳入攀枝花市生态环境局（本级）</w:t>
      </w:r>
      <w:r>
        <w:rPr>
          <w:rFonts w:hint="eastAsia" w:ascii="仿宋_GB2312" w:hAnsi="仿宋_GB2312" w:eastAsia="仿宋_GB2312" w:cs="仿宋_GB2312"/>
          <w:color w:val="auto"/>
          <w:sz w:val="32"/>
          <w:szCs w:val="32"/>
          <w:highlight w:val="none"/>
          <w:lang w:eastAsia="zh-CN"/>
        </w:rPr>
        <w:t>2025年度</w:t>
      </w:r>
      <w:r>
        <w:rPr>
          <w:rFonts w:hint="eastAsia" w:ascii="仿宋_GB2312" w:hAnsi="仿宋_GB2312" w:eastAsia="仿宋_GB2312" w:cs="仿宋_GB2312"/>
          <w:color w:val="auto"/>
          <w:sz w:val="32"/>
          <w:szCs w:val="32"/>
          <w:highlight w:val="none"/>
        </w:rPr>
        <w:t>部门决算编制范围的</w:t>
      </w:r>
      <w:r>
        <w:rPr>
          <w:rFonts w:hint="eastAsia" w:ascii="仿宋_GB2312" w:hAnsi="仿宋_GB2312" w:eastAsia="仿宋_GB2312" w:cs="仿宋_GB2312"/>
          <w:color w:val="auto"/>
          <w:sz w:val="32"/>
          <w:szCs w:val="32"/>
          <w:highlight w:val="none"/>
          <w:lang w:eastAsia="zh-CN"/>
        </w:rPr>
        <w:t>未独立核算单位</w:t>
      </w:r>
      <w:r>
        <w:rPr>
          <w:rFonts w:hint="eastAsia" w:ascii="仿宋_GB2312" w:hAnsi="仿宋_GB2312" w:eastAsia="仿宋_GB2312" w:cs="仿宋_GB2312"/>
          <w:color w:val="auto"/>
          <w:sz w:val="32"/>
          <w:szCs w:val="32"/>
          <w:highlight w:val="none"/>
        </w:rPr>
        <w:t>包括：</w:t>
      </w:r>
    </w:p>
    <w:p w14:paraId="1E5A452D">
      <w:pPr>
        <w:pStyle w:val="5"/>
        <w:pageBreakBefore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_GB2312" w:hAnsi="仿宋_GB2312" w:eastAsia="仿宋_GB2312" w:cs="仿宋_GB2312"/>
          <w:color w:val="auto"/>
          <w:sz w:val="32"/>
          <w:szCs w:val="32"/>
          <w:highlight w:val="none"/>
        </w:rPr>
      </w:pPr>
      <w:bookmarkStart w:id="18" w:name="_Toc15306276"/>
      <w:bookmarkStart w:id="19" w:name="_Toc15377433"/>
      <w:bookmarkStart w:id="20" w:name="_Toc15377202"/>
      <w:bookmarkStart w:id="21" w:name="_Toc15378449"/>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攀枝花市生态环境保护综合行政执法支队</w:t>
      </w:r>
      <w:bookmarkEnd w:id="18"/>
      <w:bookmarkEnd w:id="19"/>
      <w:bookmarkEnd w:id="20"/>
      <w:bookmarkEnd w:id="21"/>
    </w:p>
    <w:p w14:paraId="3105DF17">
      <w:pPr>
        <w:pStyle w:val="5"/>
        <w:pageBreakBefore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攀枝花市生态环境信息与技术评估服务中</w:t>
      </w:r>
      <w:r>
        <w:rPr>
          <w:rFonts w:hint="eastAsia" w:ascii="仿宋_GB2312" w:hAnsi="仿宋_GB2312" w:eastAsia="仿宋_GB2312" w:cs="仿宋_GB2312"/>
          <w:sz w:val="32"/>
          <w:szCs w:val="32"/>
          <w:lang w:eastAsia="zh-CN"/>
        </w:rPr>
        <w:t>心</w:t>
      </w:r>
    </w:p>
    <w:p w14:paraId="5BAEEAF6">
      <w:pPr>
        <w:pStyle w:val="5"/>
        <w:pageBreakBefore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hAnsi="仿宋_GB2312" w:cs="仿宋_GB2312"/>
          <w:sz w:val="32"/>
          <w:szCs w:val="32"/>
          <w:lang w:val="en-US" w:eastAsia="zh-CN"/>
        </w:rPr>
        <w:t>攀</w:t>
      </w:r>
      <w:r>
        <w:rPr>
          <w:rFonts w:hint="eastAsia" w:ascii="仿宋_GB2312" w:hAnsi="仿宋_GB2312" w:eastAsia="仿宋_GB2312" w:cs="仿宋_GB2312"/>
          <w:sz w:val="32"/>
          <w:szCs w:val="32"/>
        </w:rPr>
        <w:t>枝花市固废危化与环境应急事务中心</w:t>
      </w:r>
    </w:p>
    <w:p w14:paraId="1770EE6A">
      <w:pPr>
        <w:pStyle w:val="5"/>
        <w:pageBreakBefore w:val="0"/>
        <w:kinsoku/>
        <w:wordWrap/>
        <w:overflowPunct/>
        <w:topLinePunct w:val="0"/>
        <w:autoSpaceDE/>
        <w:autoSpaceDN/>
        <w:bidi w:val="0"/>
        <w:adjustRightInd w:val="0"/>
        <w:snapToGrid w:val="0"/>
        <w:spacing w:before="93"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攀枝花市东区</w:t>
      </w:r>
      <w:r>
        <w:rPr>
          <w:rFonts w:hint="eastAsia" w:ascii="仿宋_GB2312" w:hAnsi="仿宋_GB2312" w:eastAsia="仿宋_GB2312" w:cs="仿宋_GB2312"/>
          <w:sz w:val="32"/>
          <w:szCs w:val="32"/>
          <w:lang w:eastAsia="zh-CN"/>
        </w:rPr>
        <w:t>生态</w:t>
      </w:r>
      <w:r>
        <w:rPr>
          <w:rFonts w:hint="eastAsia" w:ascii="仿宋_GB2312" w:hAnsi="仿宋_GB2312" w:eastAsia="仿宋_GB2312" w:cs="仿宋_GB2312"/>
          <w:sz w:val="32"/>
          <w:szCs w:val="32"/>
        </w:rPr>
        <w:t>环境监测站</w:t>
      </w:r>
    </w:p>
    <w:p w14:paraId="225A133F">
      <w:pPr>
        <w:pageBreakBefore w:val="0"/>
        <w:widowControl/>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b w:val="0"/>
          <w:color w:val="auto"/>
          <w:sz w:val="44"/>
          <w:szCs w:val="44"/>
          <w:highlight w:val="none"/>
        </w:rPr>
      </w:pPr>
      <w:bookmarkStart w:id="22" w:name="_Toc15396602"/>
      <w:bookmarkStart w:id="23" w:name="_Toc15377204"/>
      <w:r>
        <w:rPr>
          <w:rFonts w:hint="eastAsia" w:ascii="方正小标宋_GBK" w:hAnsi="方正小标宋_GBK" w:eastAsia="方正小标宋_GBK" w:cs="方正小标宋_GBK"/>
          <w:b w:val="0"/>
          <w:color w:val="auto"/>
          <w:sz w:val="44"/>
          <w:szCs w:val="44"/>
          <w:highlight w:val="none"/>
        </w:rPr>
        <w:t>第二部分</w:t>
      </w:r>
      <w:r>
        <w:rPr>
          <w:rFonts w:hint="eastAsia" w:ascii="方正小标宋_GBK" w:hAnsi="方正小标宋_GBK" w:eastAsia="方正小标宋_GBK" w:cs="方正小标宋_GBK"/>
          <w:b w:val="0"/>
          <w:color w:val="auto"/>
          <w:sz w:val="44"/>
          <w:szCs w:val="44"/>
          <w:highlight w:val="none"/>
          <w:lang w:val="en-US" w:eastAsia="zh-CN"/>
        </w:rPr>
        <w:t xml:space="preserve"> </w:t>
      </w:r>
      <w:r>
        <w:rPr>
          <w:rFonts w:hint="eastAsia" w:ascii="方正小标宋_GBK" w:hAnsi="方正小标宋_GBK" w:eastAsia="方正小标宋_GBK" w:cs="方正小标宋_GBK"/>
          <w:b w:val="0"/>
          <w:color w:val="auto"/>
          <w:sz w:val="44"/>
          <w:szCs w:val="44"/>
          <w:highlight w:val="none"/>
        </w:rPr>
        <w:t xml:space="preserve"> </w:t>
      </w:r>
      <w:r>
        <w:rPr>
          <w:rFonts w:hint="eastAsia" w:ascii="方正小标宋_GBK" w:hAnsi="方正小标宋_GBK" w:eastAsia="方正小标宋_GBK" w:cs="方正小标宋_GBK"/>
          <w:b w:val="0"/>
          <w:color w:val="auto"/>
          <w:sz w:val="44"/>
          <w:szCs w:val="44"/>
          <w:highlight w:val="none"/>
          <w:lang w:val="en-US" w:eastAsia="zh-CN"/>
        </w:rPr>
        <w:t>2025年度</w:t>
      </w:r>
      <w:r>
        <w:rPr>
          <w:rFonts w:hint="eastAsia" w:ascii="方正小标宋_GBK" w:hAnsi="方正小标宋_GBK" w:eastAsia="方正小标宋_GBK" w:cs="方正小标宋_GBK"/>
          <w:b w:val="0"/>
          <w:color w:val="auto"/>
          <w:sz w:val="44"/>
          <w:szCs w:val="44"/>
          <w:highlight w:val="none"/>
        </w:rPr>
        <w:t>部门决算情况说明</w:t>
      </w:r>
      <w:bookmarkEnd w:id="22"/>
      <w:bookmarkEnd w:id="23"/>
    </w:p>
    <w:p w14:paraId="324AC5B1">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4" w:name="_Toc15396603"/>
      <w:bookmarkStart w:id="25" w:name="_Toc15377205"/>
    </w:p>
    <w:p w14:paraId="453BD8E8">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24"/>
      <w:bookmarkEnd w:id="25"/>
    </w:p>
    <w:p w14:paraId="68951980">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2025年度收入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3950.57</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上</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总计各减少</w:t>
      </w:r>
      <w:r>
        <w:rPr>
          <w:rFonts w:hint="eastAsia" w:ascii="仿宋_GB2312" w:hAnsi="仿宋_GB2312" w:eastAsia="仿宋_GB2312" w:cs="仿宋_GB2312"/>
          <w:color w:val="auto"/>
          <w:sz w:val="32"/>
          <w:szCs w:val="32"/>
          <w:highlight w:val="none"/>
          <w:lang w:val="en-US" w:eastAsia="zh-CN"/>
        </w:rPr>
        <w:t>1753.48</w:t>
      </w:r>
      <w:r>
        <w:rPr>
          <w:rFonts w:hint="eastAsia" w:ascii="仿宋_GB2312" w:hAnsi="仿宋_GB2312" w:eastAsia="仿宋_GB2312" w:cs="仿宋_GB2312"/>
          <w:color w:val="auto"/>
          <w:sz w:val="32"/>
          <w:szCs w:val="32"/>
          <w:highlight w:val="none"/>
        </w:rPr>
        <w:t>万元，下降</w:t>
      </w:r>
      <w:r>
        <w:rPr>
          <w:rFonts w:hint="eastAsia" w:ascii="仿宋_GB2312" w:hAnsi="仿宋_GB2312" w:eastAsia="仿宋_GB2312" w:cs="仿宋_GB2312"/>
          <w:color w:val="auto"/>
          <w:sz w:val="32"/>
          <w:szCs w:val="32"/>
          <w:highlight w:val="none"/>
          <w:lang w:val="en-US" w:eastAsia="zh-CN"/>
        </w:rPr>
        <w:t>30.7</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本年度项目支出减少。</w:t>
      </w:r>
    </w:p>
    <w:p w14:paraId="401B832E">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val="en-US" w:eastAsia="zh-CN"/>
        </w:rPr>
      </w:pPr>
      <w:r>
        <w:drawing>
          <wp:anchor distT="0" distB="0" distL="114300" distR="114300" simplePos="0" relativeHeight="251659264" behindDoc="1" locked="0" layoutInCell="1" allowOverlap="1">
            <wp:simplePos x="0" y="0"/>
            <wp:positionH relativeFrom="column">
              <wp:posOffset>833755</wp:posOffset>
            </wp:positionH>
            <wp:positionV relativeFrom="paragraph">
              <wp:posOffset>354330</wp:posOffset>
            </wp:positionV>
            <wp:extent cx="4105275" cy="2628900"/>
            <wp:effectExtent l="4445" t="4445" r="5080" b="14605"/>
            <wp:wrapNone/>
            <wp:docPr id="8347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eastAsia="仿宋_GB2312" w:cs="仿宋_GB2312"/>
          <w:color w:val="auto"/>
          <w:sz w:val="32"/>
          <w:szCs w:val="32"/>
          <w:highlight w:val="none"/>
          <w:lang w:val="en-US" w:eastAsia="zh-CN"/>
        </w:rPr>
        <w:t xml:space="preserve"> </w:t>
      </w:r>
    </w:p>
    <w:p w14:paraId="11EDF373">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3F93B5E0">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0A7F1397">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260A1969">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0F7B2BA1">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56033AA4">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65737AFD">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418F4D2B">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图1：</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决算总计变动情况图</w:t>
      </w:r>
      <w:r>
        <w:rPr>
          <w:rFonts w:hint="eastAsia" w:ascii="仿宋_GB2312" w:hAnsi="仿宋_GB2312" w:eastAsia="仿宋_GB2312" w:cs="仿宋_GB2312"/>
          <w:color w:val="auto"/>
          <w:sz w:val="32"/>
          <w:szCs w:val="32"/>
          <w:highlight w:val="none"/>
          <w:lang w:eastAsia="zh-CN"/>
        </w:rPr>
        <w:t>（单位：万元）</w:t>
      </w:r>
    </w:p>
    <w:p w14:paraId="3B27CCD1">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6" w:name="_Toc15377206"/>
      <w:bookmarkStart w:id="27" w:name="_Toc15396604"/>
      <w:r>
        <w:rPr>
          <w:rFonts w:hint="eastAsia" w:ascii="Times New Roman" w:hAnsi="Times New Roman" w:eastAsia="黑体"/>
          <w:color w:val="auto"/>
          <w:sz w:val="32"/>
          <w:szCs w:val="32"/>
          <w:highlight w:val="none"/>
          <w:lang w:eastAsia="zh-CN"/>
        </w:rPr>
        <w:t>二、收入决算情况说明</w:t>
      </w:r>
      <w:bookmarkEnd w:id="26"/>
      <w:bookmarkEnd w:id="27"/>
    </w:p>
    <w:p w14:paraId="1234D2DC">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2025年度本年收入合计</w:t>
      </w:r>
      <w:r>
        <w:rPr>
          <w:rFonts w:hint="eastAsia" w:ascii="仿宋_GB2312" w:hAnsi="仿宋_GB2312" w:eastAsia="仿宋_GB2312" w:cs="仿宋_GB2312"/>
          <w:sz w:val="32"/>
          <w:szCs w:val="32"/>
        </w:rPr>
        <w:t>3950.57</w:t>
      </w:r>
      <w:r>
        <w:rPr>
          <w:rFonts w:hint="eastAsia" w:ascii="仿宋_GB2312" w:hAnsi="仿宋_GB2312" w:eastAsia="仿宋_GB2312" w:cs="仿宋_GB2312"/>
          <w:color w:val="auto"/>
          <w:sz w:val="32"/>
          <w:szCs w:val="32"/>
          <w:highlight w:val="none"/>
          <w:lang w:eastAsia="zh-CN"/>
        </w:rPr>
        <w:t>万元，其中：一般公共预算财政拨款收入</w:t>
      </w:r>
      <w:r>
        <w:rPr>
          <w:rFonts w:hint="eastAsia" w:ascii="仿宋_GB2312" w:hAnsi="仿宋_GB2312" w:eastAsia="仿宋_GB2312" w:cs="仿宋_GB2312"/>
          <w:sz w:val="32"/>
          <w:szCs w:val="32"/>
        </w:rPr>
        <w:t>3950.57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p>
    <w:p w14:paraId="5755825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8" w:name="_Toc15377207"/>
      <w:bookmarkStart w:id="29"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8"/>
      <w:bookmarkEnd w:id="29"/>
    </w:p>
    <w:p w14:paraId="4F1AC915">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2025年度本年支出合计</w:t>
      </w:r>
      <w:r>
        <w:rPr>
          <w:rFonts w:hint="eastAsia" w:ascii="仿宋_GB2312" w:hAnsi="仿宋_GB2312" w:eastAsia="仿宋_GB2312" w:cs="仿宋_GB2312"/>
          <w:sz w:val="32"/>
          <w:szCs w:val="32"/>
        </w:rPr>
        <w:t>3950.57</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2351.4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59.5</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1599.17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auto"/>
          <w:sz w:val="32"/>
          <w:szCs w:val="32"/>
          <w:highlight w:val="none"/>
          <w:lang w:eastAsia="zh-CN"/>
        </w:rPr>
        <w:t>%。</w:t>
      </w:r>
    </w:p>
    <w:p w14:paraId="63A06E6B">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3479CF1F">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6A69CAAE">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27EE7F4B">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20F30CAA">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372CF026">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4ADF3CCC">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35DAB59D">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1"/>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0288" behindDoc="0" locked="0" layoutInCell="1" allowOverlap="1">
            <wp:simplePos x="0" y="0"/>
            <wp:positionH relativeFrom="column">
              <wp:posOffset>271145</wp:posOffset>
            </wp:positionH>
            <wp:positionV relativeFrom="paragraph">
              <wp:posOffset>-1767205</wp:posOffset>
            </wp:positionV>
            <wp:extent cx="4305935" cy="2057400"/>
            <wp:effectExtent l="4445" t="4445" r="13970" b="14605"/>
            <wp:wrapNone/>
            <wp:docPr id="83471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99A0A7D">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280" w:firstLineChars="4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图</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：支出决算结构图（单位：万元）</w:t>
      </w:r>
    </w:p>
    <w:p w14:paraId="2550871E">
      <w:pPr>
        <w:pageBreakBefore w:val="0"/>
        <w:kinsoku/>
        <w:wordWrap/>
        <w:overflowPunct/>
        <w:topLinePunct w:val="0"/>
        <w:autoSpaceDE/>
        <w:autoSpaceDN/>
        <w:bidi w:val="0"/>
        <w:spacing w:line="600" w:lineRule="exact"/>
        <w:ind w:firstLine="640" w:firstLineChars="200"/>
        <w:textAlignment w:val="auto"/>
        <w:outlineLvl w:val="1"/>
        <w:rPr>
          <w:rStyle w:val="29"/>
          <w:rFonts w:ascii="Times New Roman" w:hAnsi="Times New Roman" w:eastAsia="黑体"/>
          <w:b w:val="0"/>
          <w:color w:val="auto"/>
          <w:highlight w:val="none"/>
        </w:rPr>
      </w:pPr>
      <w:bookmarkStart w:id="30" w:name="_Toc15396606"/>
      <w:bookmarkStart w:id="31" w:name="_Toc15377208"/>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30"/>
      <w:bookmarkEnd w:id="31"/>
    </w:p>
    <w:p w14:paraId="4D92AC76">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2025年度财政拨款收入、支出总计均为</w:t>
      </w:r>
      <w:r>
        <w:rPr>
          <w:rFonts w:hint="eastAsia" w:ascii="仿宋_GB2312" w:hAnsi="仿宋_GB2312" w:eastAsia="仿宋_GB2312" w:cs="仿宋_GB2312"/>
          <w:sz w:val="32"/>
          <w:szCs w:val="32"/>
        </w:rPr>
        <w:t>3950.57</w:t>
      </w:r>
      <w:r>
        <w:rPr>
          <w:rFonts w:hint="eastAsia" w:ascii="仿宋_GB2312" w:hAnsi="仿宋_GB2312" w:eastAsia="仿宋_GB2312" w:cs="仿宋_GB2312"/>
          <w:color w:val="auto"/>
          <w:kern w:val="2"/>
          <w:sz w:val="32"/>
          <w:szCs w:val="32"/>
          <w:highlight w:val="none"/>
          <w:lang w:val="en-US" w:eastAsia="zh-CN" w:bidi="ar-SA"/>
        </w:rPr>
        <w:t>万元。与上年度相比，财政拨款收入、支出总计各减少1753.48万元，下降30.7%。主要变动原因是</w:t>
      </w:r>
      <w:r>
        <w:rPr>
          <w:rFonts w:hint="eastAsia" w:ascii="仿宋_GB2312" w:hAnsi="仿宋_GB2312" w:eastAsia="仿宋_GB2312" w:cs="仿宋_GB2312"/>
          <w:color w:val="auto"/>
          <w:sz w:val="32"/>
          <w:szCs w:val="32"/>
          <w:highlight w:val="none"/>
          <w:lang w:eastAsia="zh-CN"/>
        </w:rPr>
        <w:t>本年度项目支出减少。</w:t>
      </w:r>
    </w:p>
    <w:p w14:paraId="36DCFBE0">
      <w:pPr>
        <w:pStyle w:val="19"/>
        <w:pageBreakBefore w:val="0"/>
        <w:kinsoku/>
        <w:wordWrap/>
        <w:overflowPunct/>
        <w:topLinePunct w:val="0"/>
        <w:autoSpaceDE/>
        <w:autoSpaceDN/>
        <w:bidi w:val="0"/>
        <w:spacing w:line="600" w:lineRule="exact"/>
        <w:textAlignment w:val="auto"/>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3360" behindDoc="0" locked="0" layoutInCell="1" allowOverlap="1">
            <wp:simplePos x="0" y="0"/>
            <wp:positionH relativeFrom="column">
              <wp:posOffset>877570</wp:posOffset>
            </wp:positionH>
            <wp:positionV relativeFrom="paragraph">
              <wp:posOffset>135890</wp:posOffset>
            </wp:positionV>
            <wp:extent cx="3510280" cy="2741930"/>
            <wp:effectExtent l="4445" t="4445" r="9525" b="15875"/>
            <wp:wrapNone/>
            <wp:docPr id="83472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lang w:val="en-US" w:eastAsia="zh-CN"/>
        </w:rPr>
        <w:t xml:space="preserve">                 </w:t>
      </w:r>
    </w:p>
    <w:p w14:paraId="43BA7340">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7212EA7E">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1B530746">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00E403B9">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2264FAE1">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6B7A4F71">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4379890C">
      <w:pPr>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图3：财政拨款收、支决算总计变动情况（单位：万元）</w:t>
      </w:r>
    </w:p>
    <w:p w14:paraId="5CE2E83B">
      <w:pPr>
        <w:pageBreakBefore w:val="0"/>
        <w:kinsoku/>
        <w:wordWrap/>
        <w:overflowPunct/>
        <w:topLinePunct w:val="0"/>
        <w:autoSpaceDE/>
        <w:autoSpaceDN/>
        <w:bidi w:val="0"/>
        <w:spacing w:line="600" w:lineRule="exact"/>
        <w:ind w:firstLine="640" w:firstLineChars="200"/>
        <w:textAlignment w:val="auto"/>
        <w:outlineLvl w:val="1"/>
        <w:rPr>
          <w:rStyle w:val="29"/>
          <w:rFonts w:ascii="Times New Roman" w:hAnsi="Times New Roman" w:eastAsia="黑体"/>
          <w:b w:val="0"/>
          <w:color w:val="auto"/>
          <w:highlight w:val="none"/>
        </w:rPr>
      </w:pPr>
      <w:bookmarkStart w:id="32" w:name="_Toc15396607"/>
      <w:bookmarkStart w:id="33"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32"/>
      <w:bookmarkEnd w:id="33"/>
    </w:p>
    <w:p w14:paraId="4615D8A0">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4"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4"/>
    </w:p>
    <w:p w14:paraId="2D80723B">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2025年度一般公共预算财政拨款支出</w:t>
      </w:r>
      <w:r>
        <w:rPr>
          <w:rFonts w:hint="eastAsia" w:ascii="仿宋_GB2312" w:hAnsi="仿宋_GB2312" w:eastAsia="仿宋_GB2312" w:cs="仿宋_GB2312"/>
          <w:sz w:val="32"/>
          <w:szCs w:val="32"/>
        </w:rPr>
        <w:t>3950.57</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%。与上年度相比，一般公共预算财政拨款支出减少918.71万元，下降18.9%。主要变动原因是</w:t>
      </w:r>
      <w:r>
        <w:rPr>
          <w:rFonts w:hint="eastAsia" w:ascii="仿宋_GB2312" w:hAnsi="仿宋_GB2312" w:eastAsia="仿宋_GB2312" w:cs="仿宋_GB2312"/>
          <w:color w:val="auto"/>
          <w:sz w:val="32"/>
          <w:szCs w:val="32"/>
          <w:highlight w:val="none"/>
          <w:lang w:eastAsia="zh-CN"/>
        </w:rPr>
        <w:t>本年度项目支出减少。</w:t>
      </w:r>
    </w:p>
    <w:p w14:paraId="11CE54A0">
      <w:pPr>
        <w:pageBreakBefore w:val="0"/>
        <w:kinsoku/>
        <w:wordWrap/>
        <w:overflowPunct/>
        <w:topLinePunct w:val="0"/>
        <w:autoSpaceDE/>
        <w:autoSpaceDN/>
        <w:bidi w:val="0"/>
        <w:spacing w:line="600" w:lineRule="exact"/>
        <w:textAlignment w:val="auto"/>
        <w:rPr>
          <w:rFonts w:hint="eastAsia" w:eastAsia="仿宋_GB2312" w:cs="仿宋_GB2312"/>
          <w:color w:val="auto"/>
          <w:sz w:val="32"/>
          <w:szCs w:val="32"/>
          <w:highlight w:val="none"/>
          <w:lang w:eastAsia="zh-CN"/>
        </w:rPr>
      </w:pPr>
    </w:p>
    <w:p w14:paraId="5E663469">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sz w:val="32"/>
          <w:szCs w:val="32"/>
          <w:highlight w:val="none"/>
          <w:lang w:eastAsia="zh-CN"/>
        </w:rPr>
      </w:pPr>
    </w:p>
    <w:p w14:paraId="11C7AC99">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sz w:val="32"/>
          <w:szCs w:val="32"/>
          <w:highlight w:val="none"/>
          <w:lang w:eastAsia="zh-CN"/>
        </w:rPr>
      </w:pPr>
    </w:p>
    <w:p w14:paraId="6883684F">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sz w:val="32"/>
          <w:szCs w:val="32"/>
          <w:highlight w:val="none"/>
          <w:lang w:eastAsia="zh-CN"/>
        </w:rPr>
      </w:pPr>
    </w:p>
    <w:p w14:paraId="313A59DD">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sz w:val="32"/>
          <w:szCs w:val="32"/>
          <w:highlight w:val="none"/>
          <w:lang w:eastAsia="zh-CN"/>
        </w:rPr>
      </w:pPr>
    </w:p>
    <w:p w14:paraId="54E117E4">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sz w:val="32"/>
          <w:szCs w:val="32"/>
          <w:highlight w:val="none"/>
          <w:lang w:eastAsia="zh-CN"/>
        </w:rPr>
      </w:pPr>
      <w:r>
        <w:drawing>
          <wp:anchor distT="0" distB="0" distL="114300" distR="114300" simplePos="0" relativeHeight="251661312" behindDoc="0" locked="0" layoutInCell="1" allowOverlap="1">
            <wp:simplePos x="0" y="0"/>
            <wp:positionH relativeFrom="column">
              <wp:posOffset>410845</wp:posOffset>
            </wp:positionH>
            <wp:positionV relativeFrom="paragraph">
              <wp:posOffset>-1652270</wp:posOffset>
            </wp:positionV>
            <wp:extent cx="4371975" cy="1943100"/>
            <wp:effectExtent l="4445" t="5080" r="5080" b="13970"/>
            <wp:wrapNone/>
            <wp:docPr id="8347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062A5F12">
      <w:pPr>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0"/>
          <w:szCs w:val="30"/>
          <w:highlight w:val="none"/>
          <w:lang w:val="en-US" w:eastAsia="zh-CN" w:bidi="ar-SA"/>
        </w:rPr>
        <w:t>图4：一般公共预算财政拨款支出决算变动情况（单位：万元）</w:t>
      </w:r>
    </w:p>
    <w:p w14:paraId="568468FA">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5"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5"/>
    </w:p>
    <w:p w14:paraId="745540DA">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2025年度一般公共预算财政拨款支出</w:t>
      </w:r>
      <w:r>
        <w:rPr>
          <w:rFonts w:hint="eastAsia" w:ascii="仿宋_GB2312" w:hAnsi="仿宋_GB2312" w:eastAsia="仿宋_GB2312" w:cs="仿宋_GB2312"/>
          <w:sz w:val="32"/>
          <w:szCs w:val="32"/>
        </w:rPr>
        <w:t>3950.57</w:t>
      </w:r>
      <w:r>
        <w:rPr>
          <w:rFonts w:hint="eastAsia" w:ascii="仿宋_GB2312" w:hAnsi="仿宋_GB2312" w:eastAsia="仿宋_GB2312" w:cs="仿宋_GB2312"/>
          <w:color w:val="auto"/>
          <w:kern w:val="2"/>
          <w:sz w:val="32"/>
          <w:szCs w:val="32"/>
          <w:highlight w:val="none"/>
          <w:lang w:val="en-US" w:eastAsia="zh-CN" w:bidi="ar-SA"/>
        </w:rPr>
        <w:t>万元，主要用于以下方面：一般公共服务支出1.21万元，占0%；社会保障和就业支出503.25万元，占12.7%；卫生健康支出104.61万元，占2.7%；节能环保支出3198.81万元，占81%；住房保障支出142.69万元，占3.6%。</w:t>
      </w:r>
    </w:p>
    <w:p w14:paraId="7AA5B5EA">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kern w:val="2"/>
          <w:sz w:val="32"/>
          <w:szCs w:val="32"/>
          <w:highlight w:val="none"/>
          <w:lang w:val="en-US" w:eastAsia="zh-CN" w:bidi="ar-SA"/>
        </w:rPr>
      </w:pPr>
      <w:r>
        <w:drawing>
          <wp:anchor distT="0" distB="0" distL="114300" distR="114300" simplePos="0" relativeHeight="251662336" behindDoc="0" locked="0" layoutInCell="1" allowOverlap="1">
            <wp:simplePos x="0" y="0"/>
            <wp:positionH relativeFrom="column">
              <wp:posOffset>635635</wp:posOffset>
            </wp:positionH>
            <wp:positionV relativeFrom="paragraph">
              <wp:posOffset>130175</wp:posOffset>
            </wp:positionV>
            <wp:extent cx="4251960" cy="2186305"/>
            <wp:effectExtent l="4445" t="4445" r="10795" b="19050"/>
            <wp:wrapNone/>
            <wp:docPr id="8347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5E1EF194">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kern w:val="2"/>
          <w:sz w:val="32"/>
          <w:szCs w:val="32"/>
          <w:highlight w:val="none"/>
          <w:lang w:val="en-US" w:eastAsia="zh-CN" w:bidi="ar-SA"/>
        </w:rPr>
      </w:pPr>
    </w:p>
    <w:p w14:paraId="2DF71C14">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kern w:val="2"/>
          <w:sz w:val="32"/>
          <w:szCs w:val="32"/>
          <w:highlight w:val="none"/>
          <w:lang w:val="en-US" w:eastAsia="zh-CN" w:bidi="ar-SA"/>
        </w:rPr>
      </w:pPr>
    </w:p>
    <w:p w14:paraId="24422BB6">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kern w:val="2"/>
          <w:sz w:val="32"/>
          <w:szCs w:val="32"/>
          <w:highlight w:val="none"/>
          <w:lang w:val="en-US" w:eastAsia="zh-CN" w:bidi="ar-SA"/>
        </w:rPr>
      </w:pPr>
    </w:p>
    <w:p w14:paraId="4738046C">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kern w:val="2"/>
          <w:sz w:val="32"/>
          <w:szCs w:val="32"/>
          <w:highlight w:val="none"/>
          <w:lang w:val="en-US" w:eastAsia="zh-CN" w:bidi="ar-SA"/>
        </w:rPr>
      </w:pPr>
    </w:p>
    <w:p w14:paraId="7793AB26">
      <w:pPr>
        <w:pageBreakBefore w:val="0"/>
        <w:kinsoku/>
        <w:wordWrap/>
        <w:overflowPunct/>
        <w:topLinePunct w:val="0"/>
        <w:autoSpaceDE/>
        <w:autoSpaceDN/>
        <w:bidi w:val="0"/>
        <w:spacing w:line="600" w:lineRule="exact"/>
        <w:ind w:firstLine="640"/>
        <w:textAlignment w:val="auto"/>
        <w:rPr>
          <w:rFonts w:hint="eastAsia" w:eastAsia="仿宋_GB2312" w:cs="仿宋_GB2312"/>
          <w:color w:val="auto"/>
          <w:kern w:val="2"/>
          <w:sz w:val="32"/>
          <w:szCs w:val="32"/>
          <w:highlight w:val="none"/>
          <w:lang w:val="en-US" w:eastAsia="zh-CN" w:bidi="ar-SA"/>
        </w:rPr>
      </w:pPr>
    </w:p>
    <w:p w14:paraId="4FB947C9">
      <w:pPr>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图5：一般公共预算财政拨款支出决算结构（单位：万元）</w:t>
      </w:r>
    </w:p>
    <w:p w14:paraId="6551C801">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6"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6"/>
    </w:p>
    <w:p w14:paraId="25AD6491">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bookmarkStart w:id="37" w:name="_Toc15377213"/>
      <w:bookmarkStart w:id="38" w:name="_Toc15377444"/>
      <w:bookmarkStart w:id="39" w:name="_Toc15378460"/>
      <w:r>
        <w:rPr>
          <w:rFonts w:hint="eastAsia" w:ascii="仿宋_GB2312" w:hAnsi="仿宋_GB2312" w:eastAsia="仿宋_GB2312" w:cs="仿宋_GB2312"/>
          <w:color w:val="auto"/>
          <w:kern w:val="2"/>
          <w:sz w:val="32"/>
          <w:szCs w:val="32"/>
          <w:highlight w:val="none"/>
          <w:lang w:val="en-US" w:eastAsia="zh-CN" w:bidi="ar-SA"/>
        </w:rPr>
        <w:t>2025年度一般公共预算支出决算数为</w:t>
      </w:r>
      <w:r>
        <w:rPr>
          <w:rFonts w:hint="eastAsia" w:ascii="仿宋_GB2312" w:hAnsi="仿宋_GB2312" w:eastAsia="仿宋_GB2312" w:cs="仿宋_GB2312"/>
          <w:sz w:val="32"/>
          <w:szCs w:val="32"/>
        </w:rPr>
        <w:t>3950.57</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color w:val="auto"/>
          <w:kern w:val="2"/>
          <w:sz w:val="32"/>
          <w:szCs w:val="32"/>
          <w:highlight w:val="none"/>
          <w:lang w:val="en-US" w:eastAsia="zh-CN" w:bidi="ar-SA"/>
        </w:rPr>
        <w:t>，完成预算100%。其中：</w:t>
      </w:r>
      <w:bookmarkEnd w:id="37"/>
      <w:bookmarkEnd w:id="38"/>
      <w:bookmarkEnd w:id="39"/>
    </w:p>
    <w:p w14:paraId="579F4D07">
      <w:pPr>
        <w:pageBreakBefore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1.一般公共服务（类）组织事务（款）其他组织事务（项）：支出决算为1.21万元，完成预算100%。</w:t>
      </w:r>
    </w:p>
    <w:p w14:paraId="656264DB">
      <w:pPr>
        <w:pageBreakBefore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社会保障和就业（类）人力资源和社会保障管理事务（款）其他人力资源和社会保障管理事务（项）:支出决算为20.72万元，完成预算100%；行政事业单位养老支出（款）行政单位离退休（项）：支出决算为140.84万元，完成预算100%；行政事业单位养老支出（款）事业单位离退休（项）：支出决算为132.82万元，完成预算100%；行政事业单位养老支出（款）机关事业单位基本养老保险缴费支出（款）：支出决算为174.02万元，完成预算100%；行政事业单位养老支出（款）机关事业单位职业年金缴费支出（款）：支出决算为27.21万元，完成预算100%；抚恤（款）死亡抚恤（项）：支出决算为7.64万元，完成预算100%。</w:t>
      </w:r>
    </w:p>
    <w:p w14:paraId="5E477129">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卫生健康（类）行政事业单位医疗（款）行政单位医疗（项）：支出决算为69.46万元，完成预算100%；行政事业单位医疗（款）事业单位医疗（项）：支出决算为24.27万元，完成预算100%；行政事业单位医疗（款）公务员医疗补助（项）：支出决算为10.88万元，完成预算100%。</w:t>
      </w:r>
    </w:p>
    <w:p w14:paraId="0C55A0B5">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节能环保（类）环境保护管理事务（款）行政运行（项）：支出决算为1218.35万元，完成预算100%；环境保护管理事务（款）其他环境保护管理事务（项）：支出决算为400.61万元，完成预算100%；污染防治（款）其他污染防治支出（项）支出决算为1421.08万元，完成预算100%；其他节能环保（款）其他节能环保支出（项）：支出决算为158.77万元，完成预算100%。</w:t>
      </w:r>
    </w:p>
    <w:p w14:paraId="4DA4D084">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5.住房保障（类）住房改革支出（款）住房公积金（项）：支出决算为142.69万元，完成预算100%。</w:t>
      </w:r>
    </w:p>
    <w:p w14:paraId="7042197F">
      <w:pPr>
        <w:pageBreakBefore w:val="0"/>
        <w:tabs>
          <w:tab w:val="right" w:pos="8306"/>
        </w:tabs>
        <w:kinsoku/>
        <w:wordWrap/>
        <w:overflowPunct/>
        <w:topLinePunct w:val="0"/>
        <w:autoSpaceDE/>
        <w:autoSpaceDN/>
        <w:bidi w:val="0"/>
        <w:spacing w:line="600" w:lineRule="exact"/>
        <w:ind w:firstLine="640"/>
        <w:textAlignment w:val="auto"/>
        <w:outlineLvl w:val="1"/>
        <w:rPr>
          <w:rStyle w:val="29"/>
          <w:rFonts w:ascii="Times New Roman" w:hAnsi="Times New Roman"/>
          <w:color w:val="auto"/>
          <w:highlight w:val="none"/>
        </w:rPr>
      </w:pPr>
      <w:bookmarkStart w:id="40" w:name="_Toc15396608"/>
      <w:bookmarkStart w:id="41"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40"/>
      <w:bookmarkEnd w:id="41"/>
      <w:r>
        <w:rPr>
          <w:rStyle w:val="29"/>
          <w:rFonts w:ascii="Times New Roman" w:hAnsi="Times New Roman" w:eastAsia="黑体"/>
          <w:b w:val="0"/>
          <w:color w:val="auto"/>
          <w:highlight w:val="none"/>
        </w:rPr>
        <w:tab/>
      </w:r>
    </w:p>
    <w:p w14:paraId="1B8A25F1">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2025年度一般公共预算财政拨款基本支出</w:t>
      </w:r>
      <w:r>
        <w:rPr>
          <w:rFonts w:hint="eastAsia" w:ascii="仿宋_GB2312" w:hAnsi="仿宋_GB2312" w:eastAsia="仿宋_GB2312" w:cs="仿宋_GB2312"/>
          <w:sz w:val="32"/>
          <w:szCs w:val="32"/>
        </w:rPr>
        <w:t>2351.4</w:t>
      </w:r>
      <w:r>
        <w:rPr>
          <w:rFonts w:hint="eastAsia" w:ascii="仿宋_GB2312" w:hAnsi="仿宋_GB2312" w:eastAsia="仿宋_GB2312" w:cs="仿宋_GB2312"/>
          <w:color w:val="auto"/>
          <w:kern w:val="2"/>
          <w:sz w:val="32"/>
          <w:szCs w:val="32"/>
          <w:highlight w:val="none"/>
          <w:lang w:val="en-US" w:eastAsia="zh-CN" w:bidi="ar-SA"/>
        </w:rPr>
        <w:t>万元，其中：</w:t>
      </w:r>
    </w:p>
    <w:p w14:paraId="7B42AA83">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2076.77</w:t>
      </w:r>
      <w:r>
        <w:rPr>
          <w:rFonts w:hint="eastAsia" w:ascii="仿宋_GB2312" w:hAnsi="仿宋_GB2312" w:eastAsia="仿宋_GB2312" w:cs="仿宋_GB2312"/>
          <w:color w:val="auto"/>
          <w:kern w:val="2"/>
          <w:sz w:val="32"/>
          <w:szCs w:val="32"/>
          <w:highlight w:val="none"/>
          <w:lang w:val="en-US" w:eastAsia="zh-CN" w:bidi="ar-SA"/>
        </w:rPr>
        <w:t>万元，主要包括：基本工资、津贴补贴、奖金、绩效工资、机关事业单位基本养老保险缴费、职业年金缴费、其他社会保障缴费、离休费、退休费、抚恤金、生活补助、医疗费补助、住房公积金、其他对个人和家庭的补助支出等。</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274.63</w:t>
      </w:r>
      <w:r>
        <w:rPr>
          <w:rFonts w:hint="eastAsia" w:ascii="仿宋_GB2312" w:hAnsi="仿宋_GB2312" w:eastAsia="仿宋_GB2312" w:cs="仿宋_GB2312"/>
          <w:color w:val="auto"/>
          <w:kern w:val="2"/>
          <w:sz w:val="32"/>
          <w:szCs w:val="32"/>
          <w:highlight w:val="none"/>
          <w:lang w:val="en-US" w:eastAsia="zh-CN" w:bidi="ar-SA"/>
        </w:rPr>
        <w:t>万元，主要包括：办公费、水费、电费、邮电费、物业管理费、差旅费、维修（护）费、会议费、培训费、公务接待费、工会经费、福利费、公务用车运行维护费、其他交通费、其他商品和服务支出、办公设备购置等。</w:t>
      </w:r>
    </w:p>
    <w:p w14:paraId="7706EA90">
      <w:pPr>
        <w:pageBreakBefore w:val="0"/>
        <w:kinsoku/>
        <w:wordWrap/>
        <w:overflowPunct/>
        <w:topLinePunct w:val="0"/>
        <w:autoSpaceDE/>
        <w:autoSpaceDN/>
        <w:bidi w:val="0"/>
        <w:spacing w:line="600" w:lineRule="exact"/>
        <w:ind w:firstLine="640"/>
        <w:textAlignment w:val="auto"/>
        <w:outlineLvl w:val="1"/>
        <w:rPr>
          <w:rStyle w:val="29"/>
          <w:rFonts w:ascii="Times New Roman" w:hAnsi="Times New Roman" w:eastAsia="黑体"/>
          <w:b w:val="0"/>
          <w:color w:val="auto"/>
          <w:highlight w:val="none"/>
        </w:rPr>
      </w:pPr>
      <w:bookmarkStart w:id="42" w:name="_Toc15396609"/>
      <w:bookmarkStart w:id="43" w:name="_Toc15377215"/>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42"/>
      <w:bookmarkEnd w:id="43"/>
    </w:p>
    <w:p w14:paraId="2AB84EBA">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4"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44"/>
    </w:p>
    <w:p w14:paraId="183D7EE2">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2025年度财政拨款“三公”经费支出决算为</w:t>
      </w:r>
      <w:r>
        <w:rPr>
          <w:rFonts w:hint="eastAsia" w:ascii="仿宋_GB2312" w:hAnsi="仿宋_GB2312" w:eastAsia="仿宋_GB2312" w:cs="仿宋_GB2312"/>
          <w:sz w:val="32"/>
          <w:szCs w:val="32"/>
        </w:rPr>
        <w:t>74.92</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%，较上年度增加0.59万元，增长0.8%。</w:t>
      </w:r>
    </w:p>
    <w:p w14:paraId="3D07631D">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5"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45"/>
    </w:p>
    <w:p w14:paraId="618163B9">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2025年度财政拨款“三公”经费支出决算中，因公出国（境）费支出决算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万元；公务用车购置及运行维护费支出决算</w:t>
      </w:r>
      <w:r>
        <w:rPr>
          <w:rFonts w:hint="eastAsia" w:ascii="仿宋_GB2312" w:hAnsi="仿宋_GB2312" w:eastAsia="仿宋_GB2312" w:cs="仿宋_GB2312"/>
          <w:sz w:val="32"/>
          <w:szCs w:val="32"/>
        </w:rPr>
        <w:t>73.4</w:t>
      </w:r>
      <w:r>
        <w:rPr>
          <w:rFonts w:hint="eastAsia" w:ascii="仿宋_GB2312" w:hAnsi="仿宋_GB2312" w:eastAsia="仿宋_GB2312" w:cs="仿宋_GB2312"/>
          <w:color w:val="auto"/>
          <w:kern w:val="2"/>
          <w:sz w:val="32"/>
          <w:szCs w:val="32"/>
          <w:highlight w:val="none"/>
          <w:lang w:val="en-US" w:eastAsia="zh-CN" w:bidi="ar-SA"/>
        </w:rPr>
        <w:t>万元，占98%；公务接待费支出决算</w:t>
      </w:r>
      <w:r>
        <w:rPr>
          <w:rFonts w:hint="eastAsia" w:ascii="仿宋_GB2312" w:hAnsi="仿宋_GB2312" w:eastAsia="仿宋_GB2312" w:cs="仿宋_GB2312"/>
          <w:sz w:val="32"/>
          <w:szCs w:val="32"/>
        </w:rPr>
        <w:t>1.52</w:t>
      </w:r>
      <w:r>
        <w:rPr>
          <w:rFonts w:hint="eastAsia" w:ascii="仿宋_GB2312" w:hAnsi="仿宋_GB2312" w:eastAsia="仿宋_GB2312" w:cs="仿宋_GB2312"/>
          <w:color w:val="auto"/>
          <w:kern w:val="2"/>
          <w:sz w:val="32"/>
          <w:szCs w:val="32"/>
          <w:highlight w:val="none"/>
          <w:lang w:val="en-US" w:eastAsia="zh-CN" w:bidi="ar-SA"/>
        </w:rPr>
        <w:t>万元，占2%。具体情况如下：</w:t>
      </w:r>
    </w:p>
    <w:p w14:paraId="73AD06E2">
      <w:pPr>
        <w:pStyle w:val="19"/>
        <w:pageBreakBefore w:val="0"/>
        <w:kinsoku/>
        <w:wordWrap/>
        <w:overflowPunct/>
        <w:topLinePunct w:val="0"/>
        <w:autoSpaceDE/>
        <w:autoSpaceDN/>
        <w:bidi w:val="0"/>
        <w:spacing w:line="600" w:lineRule="exact"/>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     </w:t>
      </w:r>
    </w:p>
    <w:p w14:paraId="2024C433">
      <w:pPr>
        <w:pageBreakBefore w:val="0"/>
        <w:kinsoku/>
        <w:wordWrap/>
        <w:overflowPunct/>
        <w:topLinePunct w:val="0"/>
        <w:autoSpaceDE/>
        <w:autoSpaceDN/>
        <w:bidi w:val="0"/>
        <w:spacing w:line="600" w:lineRule="exact"/>
        <w:ind w:firstLine="1280" w:firstLineChars="400"/>
        <w:textAlignment w:val="auto"/>
        <w:rPr>
          <w:rFonts w:hint="eastAsia" w:ascii="仿宋_GB2312" w:hAnsi="仿宋_GB2312" w:eastAsia="仿宋_GB2312" w:cs="仿宋_GB2312"/>
          <w:color w:val="auto"/>
          <w:kern w:val="2"/>
          <w:sz w:val="32"/>
          <w:szCs w:val="32"/>
          <w:highlight w:val="none"/>
          <w:lang w:val="en-US" w:eastAsia="zh-CN" w:bidi="ar-SA"/>
        </w:rPr>
      </w:pPr>
    </w:p>
    <w:p w14:paraId="552F2FA7">
      <w:pPr>
        <w:pageBreakBefore w:val="0"/>
        <w:kinsoku/>
        <w:wordWrap/>
        <w:overflowPunct/>
        <w:topLinePunct w:val="0"/>
        <w:autoSpaceDE/>
        <w:autoSpaceDN/>
        <w:bidi w:val="0"/>
        <w:spacing w:line="600" w:lineRule="exact"/>
        <w:ind w:firstLine="1280" w:firstLineChars="400"/>
        <w:textAlignment w:val="auto"/>
        <w:rPr>
          <w:rFonts w:hint="eastAsia" w:ascii="仿宋_GB2312" w:hAnsi="仿宋_GB2312" w:eastAsia="仿宋_GB2312" w:cs="仿宋_GB2312"/>
          <w:color w:val="auto"/>
          <w:kern w:val="2"/>
          <w:sz w:val="32"/>
          <w:szCs w:val="32"/>
          <w:highlight w:val="none"/>
          <w:lang w:val="en-US" w:eastAsia="zh-CN" w:bidi="ar-SA"/>
        </w:rPr>
      </w:pPr>
    </w:p>
    <w:p w14:paraId="5B8623F3">
      <w:pPr>
        <w:pageBreakBefore w:val="0"/>
        <w:kinsoku/>
        <w:wordWrap/>
        <w:overflowPunct/>
        <w:topLinePunct w:val="0"/>
        <w:autoSpaceDE/>
        <w:autoSpaceDN/>
        <w:bidi w:val="0"/>
        <w:spacing w:line="600" w:lineRule="exact"/>
        <w:ind w:firstLine="1280" w:firstLineChars="400"/>
        <w:textAlignment w:val="auto"/>
        <w:rPr>
          <w:rFonts w:hint="eastAsia" w:ascii="仿宋_GB2312" w:hAnsi="仿宋_GB2312" w:eastAsia="仿宋_GB2312" w:cs="仿宋_GB2312"/>
          <w:color w:val="auto"/>
          <w:kern w:val="2"/>
          <w:sz w:val="32"/>
          <w:szCs w:val="32"/>
          <w:highlight w:val="none"/>
          <w:lang w:val="en-US" w:eastAsia="zh-CN" w:bidi="ar-SA"/>
        </w:rPr>
      </w:pPr>
    </w:p>
    <w:p w14:paraId="24F1A403">
      <w:pPr>
        <w:pageBreakBefore w:val="0"/>
        <w:kinsoku/>
        <w:wordWrap/>
        <w:overflowPunct/>
        <w:topLinePunct w:val="0"/>
        <w:autoSpaceDE/>
        <w:autoSpaceDN/>
        <w:bidi w:val="0"/>
        <w:spacing w:line="600" w:lineRule="exact"/>
        <w:ind w:firstLine="1280" w:firstLineChars="400"/>
        <w:textAlignment w:val="auto"/>
        <w:rPr>
          <w:rFonts w:hint="eastAsia" w:ascii="仿宋_GB2312" w:hAnsi="仿宋_GB2312" w:eastAsia="仿宋_GB2312" w:cs="仿宋_GB2312"/>
          <w:color w:val="auto"/>
          <w:kern w:val="2"/>
          <w:sz w:val="32"/>
          <w:szCs w:val="32"/>
          <w:highlight w:val="none"/>
          <w:lang w:val="en-US" w:eastAsia="zh-CN" w:bidi="ar-SA"/>
        </w:rPr>
      </w:pPr>
    </w:p>
    <w:p w14:paraId="27DA0479">
      <w:pPr>
        <w:pageBreakBefore w:val="0"/>
        <w:kinsoku/>
        <w:wordWrap/>
        <w:overflowPunct/>
        <w:topLinePunct w:val="0"/>
        <w:autoSpaceDE/>
        <w:autoSpaceDN/>
        <w:bidi w:val="0"/>
        <w:spacing w:line="600" w:lineRule="exact"/>
        <w:ind w:firstLine="1280" w:firstLineChars="400"/>
        <w:textAlignment w:val="auto"/>
        <w:rPr>
          <w:rFonts w:hint="eastAsia" w:ascii="仿宋_GB2312" w:hAnsi="仿宋_GB2312" w:eastAsia="仿宋_GB2312" w:cs="仿宋_GB2312"/>
          <w:color w:val="auto"/>
          <w:kern w:val="2"/>
          <w:sz w:val="32"/>
          <w:szCs w:val="32"/>
          <w:highlight w:val="none"/>
          <w:lang w:val="en-US" w:eastAsia="zh-CN" w:bidi="ar-SA"/>
        </w:rPr>
      </w:pPr>
    </w:p>
    <w:p w14:paraId="0586B3F1">
      <w:pPr>
        <w:pageBreakBefore w:val="0"/>
        <w:kinsoku/>
        <w:wordWrap/>
        <w:overflowPunct/>
        <w:topLinePunct w:val="0"/>
        <w:autoSpaceDE/>
        <w:autoSpaceDN/>
        <w:bidi w:val="0"/>
        <w:spacing w:line="600" w:lineRule="exact"/>
        <w:ind w:firstLine="840" w:firstLineChars="400"/>
        <w:textAlignment w:val="auto"/>
        <w:rPr>
          <w:rFonts w:hint="eastAsia" w:ascii="仿宋_GB2312" w:hAnsi="仿宋_GB2312" w:eastAsia="仿宋_GB2312" w:cs="仿宋_GB2312"/>
          <w:color w:val="auto"/>
          <w:kern w:val="2"/>
          <w:sz w:val="32"/>
          <w:szCs w:val="32"/>
          <w:highlight w:val="none"/>
          <w:lang w:val="en-US" w:eastAsia="zh-CN" w:bidi="ar-SA"/>
        </w:rPr>
      </w:pPr>
      <w:r>
        <w:drawing>
          <wp:anchor distT="0" distB="0" distL="114300" distR="114300" simplePos="0" relativeHeight="251664384" behindDoc="0" locked="0" layoutInCell="1" allowOverlap="1">
            <wp:simplePos x="0" y="0"/>
            <wp:positionH relativeFrom="column">
              <wp:posOffset>537845</wp:posOffset>
            </wp:positionH>
            <wp:positionV relativeFrom="paragraph">
              <wp:posOffset>-2129155</wp:posOffset>
            </wp:positionV>
            <wp:extent cx="4181475" cy="2428875"/>
            <wp:effectExtent l="4445" t="4445" r="5080" b="5080"/>
            <wp:wrapNone/>
            <wp:docPr id="83486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4DF6E8FF">
      <w:pPr>
        <w:pageBreakBefore w:val="0"/>
        <w:kinsoku/>
        <w:wordWrap/>
        <w:overflowPunct/>
        <w:topLinePunct w:val="0"/>
        <w:autoSpaceDE/>
        <w:autoSpaceDN/>
        <w:bidi w:val="0"/>
        <w:spacing w:line="600" w:lineRule="exact"/>
        <w:ind w:firstLine="320" w:firstLineChars="1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图6：财政拨款“三公”经费支出结构（单位：万元）</w:t>
      </w:r>
    </w:p>
    <w:p w14:paraId="67C3DF3E">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1.因公出国（境）经费支出</w:t>
      </w:r>
      <w:r>
        <w:rPr>
          <w:rFonts w:hint="eastAsia" w:ascii="仿宋_GB2312" w:hAnsi="仿宋_GB2312" w:eastAsia="仿宋_GB2312" w:cs="仿宋_GB2312"/>
          <w:sz w:val="32"/>
          <w:szCs w:val="32"/>
        </w:rPr>
        <w:t>0</w:t>
      </w:r>
      <w:r>
        <w:rPr>
          <w:rFonts w:hint="eastAsia" w:ascii="仿宋_GB2312" w:hAnsi="仿宋_GB2312" w:eastAsia="仿宋_GB2312" w:cs="仿宋_GB2312"/>
          <w:b/>
          <w:bCs/>
          <w:color w:val="auto"/>
          <w:kern w:val="2"/>
          <w:sz w:val="32"/>
          <w:szCs w:val="32"/>
          <w:highlight w:val="none"/>
          <w:lang w:val="en-US" w:eastAsia="zh-CN" w:bidi="ar-SA"/>
        </w:rPr>
        <w:t>万元，完成预算100%。</w:t>
      </w:r>
      <w:r>
        <w:rPr>
          <w:rFonts w:hint="eastAsia" w:ascii="仿宋_GB2312" w:hAnsi="仿宋_GB2312" w:eastAsia="仿宋_GB2312" w:cs="仿宋_GB2312"/>
          <w:color w:val="auto"/>
          <w:kern w:val="2"/>
          <w:sz w:val="32"/>
          <w:szCs w:val="32"/>
          <w:highlight w:val="none"/>
          <w:lang w:val="en-US" w:eastAsia="zh-CN" w:bidi="ar-SA"/>
        </w:rPr>
        <w:t>全年安排因公出国（境）团组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人。因公出国（境）支出决算与上年度持平。</w:t>
      </w:r>
    </w:p>
    <w:p w14:paraId="231BBBC4">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2.公务用车购置及运行维护费支出73.4万元，完成预算100%。</w:t>
      </w:r>
      <w:r>
        <w:rPr>
          <w:rFonts w:hint="eastAsia" w:ascii="仿宋_GB2312" w:hAnsi="仿宋_GB2312" w:eastAsia="仿宋_GB2312" w:cs="仿宋_GB2312"/>
          <w:color w:val="auto"/>
          <w:kern w:val="2"/>
          <w:sz w:val="32"/>
          <w:szCs w:val="32"/>
          <w:highlight w:val="none"/>
          <w:lang w:val="en-US" w:eastAsia="zh-CN" w:bidi="ar-SA"/>
        </w:rPr>
        <w:t>公务用车购置及运行维护费支出决算比上年度增加0.16万元，增长0.2%。主要原因是车辆通行费的增加。</w:t>
      </w:r>
    </w:p>
    <w:p w14:paraId="4E2938A0">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万元。全年按规定更新购置公务用车0辆，其中：轿车0辆、金额0万元，越野车0辆、金额0万元，载客汽车0辆、金额0万元。截至2025年12月31日，单位共有公务用车31辆，其中：轿车5辆、越野车24辆、</w:t>
      </w:r>
      <w:r>
        <w:rPr>
          <w:rFonts w:hint="eastAsia" w:ascii="仿宋_GB2312" w:hAnsi="仿宋_GB2312" w:eastAsia="仿宋_GB2312" w:cs="仿宋_GB2312"/>
          <w:color w:val="auto"/>
          <w:sz w:val="32"/>
          <w:szCs w:val="32"/>
        </w:rPr>
        <w:t>其他专用车辆</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辆。</w:t>
      </w:r>
    </w:p>
    <w:p w14:paraId="7F26861E">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73.4</w:t>
      </w:r>
      <w:r>
        <w:rPr>
          <w:rFonts w:hint="eastAsia" w:ascii="仿宋_GB2312" w:hAnsi="仿宋_GB2312" w:eastAsia="仿宋_GB2312" w:cs="仿宋_GB2312"/>
          <w:color w:val="auto"/>
          <w:kern w:val="2"/>
          <w:sz w:val="32"/>
          <w:szCs w:val="32"/>
          <w:highlight w:val="none"/>
          <w:lang w:val="en-US" w:eastAsia="zh-CN" w:bidi="ar-SA"/>
        </w:rPr>
        <w:t>万元。主要</w:t>
      </w:r>
      <w:r>
        <w:rPr>
          <w:rFonts w:hint="eastAsia" w:ascii="仿宋_GB2312" w:hAnsi="仿宋_GB2312" w:eastAsia="仿宋_GB2312" w:cs="仿宋_GB2312"/>
          <w:sz w:val="32"/>
          <w:szCs w:val="32"/>
        </w:rPr>
        <w:t>用于环境</w:t>
      </w:r>
      <w:r>
        <w:rPr>
          <w:rFonts w:hint="eastAsia" w:ascii="仿宋_GB2312" w:hAnsi="仿宋_GB2312" w:eastAsia="仿宋_GB2312" w:cs="仿宋_GB2312"/>
          <w:sz w:val="32"/>
          <w:szCs w:val="32"/>
          <w:lang w:eastAsia="zh-CN"/>
        </w:rPr>
        <w:t>综合</w:t>
      </w:r>
      <w:r>
        <w:rPr>
          <w:rFonts w:hint="eastAsia" w:ascii="仿宋_GB2312" w:hAnsi="仿宋_GB2312" w:eastAsia="仿宋_GB2312" w:cs="仿宋_GB2312"/>
          <w:sz w:val="32"/>
          <w:szCs w:val="32"/>
        </w:rPr>
        <w:t>执法检查、污染物减排核查、大气环境质量专项检查、环保督察等</w:t>
      </w:r>
      <w:r>
        <w:rPr>
          <w:rFonts w:hint="eastAsia" w:ascii="仿宋_GB2312" w:hAnsi="仿宋_GB2312" w:eastAsia="仿宋_GB2312" w:cs="仿宋_GB2312"/>
          <w:color w:val="auto"/>
          <w:kern w:val="2"/>
          <w:sz w:val="32"/>
          <w:szCs w:val="32"/>
          <w:highlight w:val="none"/>
          <w:lang w:val="en-US" w:eastAsia="zh-CN" w:bidi="ar-SA"/>
        </w:rPr>
        <w:t>所需的公务用车燃料费、维修费、过路过桥费、保险费等支出。</w:t>
      </w:r>
    </w:p>
    <w:p w14:paraId="22FA221B">
      <w:pPr>
        <w:keepNext w:val="0"/>
        <w:keepLines w:val="0"/>
        <w:pageBreakBefore w:val="0"/>
        <w:widowControl/>
        <w:suppressLineNumbers w:val="0"/>
        <w:kinsoku/>
        <w:wordWrap/>
        <w:overflowPunct/>
        <w:topLinePunct w:val="0"/>
        <w:autoSpaceDE/>
        <w:autoSpaceDN/>
        <w:bidi w:val="0"/>
        <w:spacing w:line="600" w:lineRule="exact"/>
        <w:ind w:firstLine="643"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3.公务接待费支出1.52万元，完成预算100%。</w:t>
      </w:r>
      <w:r>
        <w:rPr>
          <w:rFonts w:hint="eastAsia" w:ascii="仿宋_GB2312" w:hAnsi="仿宋_GB2312" w:eastAsia="仿宋_GB2312" w:cs="仿宋_GB2312"/>
          <w:color w:val="auto"/>
          <w:kern w:val="2"/>
          <w:sz w:val="32"/>
          <w:szCs w:val="32"/>
          <w:highlight w:val="none"/>
          <w:lang w:val="en-US" w:eastAsia="zh-CN" w:bidi="ar-SA"/>
        </w:rPr>
        <w:t>公务接待费支出决算比上年度增加0.43万元，增长39.5%。主要原因是上年度接待费基数较小，导致本年度接待费同比增幅较大。其中：</w:t>
      </w:r>
    </w:p>
    <w:p w14:paraId="217CCD5C">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国内公务接待支出</w:t>
      </w:r>
      <w:r>
        <w:rPr>
          <w:rFonts w:hint="eastAsia" w:ascii="仿宋_GB2312" w:hAnsi="仿宋_GB2312" w:eastAsia="仿宋_GB2312" w:cs="仿宋_GB2312"/>
          <w:sz w:val="32"/>
          <w:szCs w:val="32"/>
        </w:rPr>
        <w:t>1.52</w:t>
      </w:r>
      <w:r>
        <w:rPr>
          <w:rFonts w:hint="eastAsia" w:ascii="仿宋_GB2312" w:hAnsi="仿宋_GB2312" w:eastAsia="仿宋_GB2312" w:cs="仿宋_GB2312"/>
          <w:color w:val="auto"/>
          <w:kern w:val="2"/>
          <w:sz w:val="32"/>
          <w:szCs w:val="32"/>
          <w:highlight w:val="none"/>
          <w:lang w:val="en-US" w:eastAsia="zh-CN" w:bidi="ar-SA"/>
        </w:rPr>
        <w:t>万元，主要用于上级单位来攀调研、农村环境整治核查、环保督察整改验收等方面的用餐费。国内公务接待</w:t>
      </w:r>
      <w:r>
        <w:rPr>
          <w:rFonts w:hint="eastAsia" w:ascii="仿宋_GB2312" w:hAnsi="仿宋_GB2312" w:eastAsia="仿宋_GB2312" w:cs="仿宋_GB2312"/>
          <w:sz w:val="32"/>
          <w:szCs w:val="32"/>
        </w:rPr>
        <w:t>15</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88</w:t>
      </w:r>
      <w:r>
        <w:rPr>
          <w:rFonts w:hint="eastAsia" w:ascii="仿宋_GB2312" w:hAnsi="仿宋_GB2312" w:eastAsia="仿宋_GB2312" w:cs="仿宋_GB2312"/>
          <w:color w:val="auto"/>
          <w:kern w:val="2"/>
          <w:sz w:val="32"/>
          <w:szCs w:val="32"/>
          <w:highlight w:val="none"/>
          <w:lang w:val="en-US" w:eastAsia="zh-CN" w:bidi="ar-SA"/>
        </w:rPr>
        <w:t>人次（不包括陪同人员），共计支出1.52万元，具体内容包括：省规划院调研742元，农村环境整治常态化检查610元，土壤和地下水保护“十五五”规划调研979.94元，千村示范工程交叉检查750元，银江镇历史遗留固废调查795元，化工园区复核3880元，辐射安全许可现场督察599元，土壤污染源头管控项目省级评估868元，倮果断面水质降类问题整改指导648元，中央环保督察整改验收799元，环境突出问题整改督导790元，十五五生态环境规划编制调研1034元，中、省专项资金动态监督检查668元，土壤污染治理与修复效果评估1083元，大气环境监测数字化调研969元。</w:t>
      </w:r>
    </w:p>
    <w:p w14:paraId="164BCEEC">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外事接待支出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人次（不包括陪同人员），共计支出0万元。</w:t>
      </w:r>
      <w:bookmarkStart w:id="46" w:name="_Toc15377218"/>
      <w:bookmarkStart w:id="47" w:name="_Toc15396610"/>
    </w:p>
    <w:p w14:paraId="68DDDAAB">
      <w:pPr>
        <w:pageBreakBefore w:val="0"/>
        <w:kinsoku/>
        <w:wordWrap/>
        <w:overflowPunct/>
        <w:topLinePunct w:val="0"/>
        <w:autoSpaceDE/>
        <w:autoSpaceDN/>
        <w:bidi w:val="0"/>
        <w:spacing w:line="600" w:lineRule="exact"/>
        <w:ind w:firstLine="640"/>
        <w:textAlignment w:val="auto"/>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6"/>
      <w:bookmarkEnd w:id="47"/>
    </w:p>
    <w:p w14:paraId="7A05928F">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%。与上年度相比，政府性基金预算财政拨款支出减少834.77万元，下降100%。主要变动原因是本年度未安排政府性基金预算项目支出。</w:t>
      </w:r>
    </w:p>
    <w:p w14:paraId="3C85D494">
      <w:pPr>
        <w:pageBreakBefore w:val="0"/>
        <w:numPr>
          <w:ilvl w:val="0"/>
          <w:numId w:val="0"/>
        </w:numPr>
        <w:kinsoku/>
        <w:wordWrap/>
        <w:overflowPunct/>
        <w:topLinePunct w:val="0"/>
        <w:autoSpaceDE/>
        <w:autoSpaceDN/>
        <w:bidi w:val="0"/>
        <w:spacing w:line="600" w:lineRule="exact"/>
        <w:ind w:left="630" w:leftChars="0"/>
        <w:textAlignment w:val="auto"/>
        <w:outlineLvl w:val="1"/>
        <w:rPr>
          <w:rStyle w:val="29"/>
          <w:rFonts w:ascii="Times New Roman" w:hAnsi="Times New Roman" w:eastAsia="黑体"/>
          <w:b w:val="0"/>
          <w:color w:val="auto"/>
          <w:highlight w:val="none"/>
        </w:rPr>
      </w:pPr>
      <w:bookmarkStart w:id="48" w:name="_Toc15396611"/>
      <w:bookmarkStart w:id="49"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8"/>
      <w:bookmarkEnd w:id="49"/>
    </w:p>
    <w:p w14:paraId="19024E59">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%。与上年度持平。</w:t>
      </w:r>
    </w:p>
    <w:p w14:paraId="3FCF42DF">
      <w:pPr>
        <w:pageBreakBefore w:val="0"/>
        <w:numPr>
          <w:ilvl w:val="0"/>
          <w:numId w:val="0"/>
        </w:numPr>
        <w:kinsoku/>
        <w:wordWrap/>
        <w:overflowPunct/>
        <w:topLinePunct w:val="0"/>
        <w:autoSpaceDE/>
        <w:autoSpaceDN/>
        <w:bidi w:val="0"/>
        <w:spacing w:line="600" w:lineRule="exact"/>
        <w:ind w:left="630" w:leftChars="0"/>
        <w:textAlignment w:val="auto"/>
        <w:outlineLvl w:val="1"/>
        <w:rPr>
          <w:rStyle w:val="29"/>
          <w:rFonts w:hint="eastAsia" w:ascii="Times New Roman" w:hAnsi="Times New Roman" w:eastAsia="黑体"/>
          <w:b w:val="0"/>
          <w:color w:val="auto"/>
          <w:highlight w:val="none"/>
        </w:rPr>
      </w:pPr>
      <w:bookmarkStart w:id="50" w:name="_Toc15377221"/>
      <w:bookmarkStart w:id="51" w:name="_Toc15396612"/>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50"/>
      <w:bookmarkEnd w:id="51"/>
    </w:p>
    <w:p w14:paraId="1913E1B3">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2" w:name="_Toc15377222"/>
      <w:r>
        <w:rPr>
          <w:rFonts w:hint="eastAsia" w:ascii="Times New Roman" w:hAnsi="Times New Roman" w:eastAsia="楷体_GB2312" w:cs="楷体_GB2312"/>
          <w:b/>
          <w:color w:val="auto"/>
          <w:sz w:val="32"/>
          <w:szCs w:val="32"/>
          <w:highlight w:val="none"/>
        </w:rPr>
        <w:t>（一）机关运行经费支出情况</w:t>
      </w:r>
      <w:bookmarkEnd w:id="52"/>
    </w:p>
    <w:p w14:paraId="10CEA0B0">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w:t>
      </w:r>
      <w:r>
        <w:rPr>
          <w:rFonts w:hint="eastAsia" w:ascii="仿宋_GB2312" w:hAnsi="仿宋_GB2312" w:eastAsia="仿宋_GB2312" w:cs="仿宋_GB2312"/>
          <w:sz w:val="32"/>
          <w:szCs w:val="32"/>
        </w:rPr>
        <w:t>攀枝花市生态环境局（本级）</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274.63</w:t>
      </w:r>
      <w:r>
        <w:rPr>
          <w:rFonts w:hint="eastAsia" w:ascii="仿宋_GB2312" w:hAnsi="仿宋_GB2312" w:eastAsia="仿宋_GB2312" w:cs="仿宋_GB2312"/>
          <w:color w:val="auto"/>
          <w:kern w:val="2"/>
          <w:sz w:val="32"/>
          <w:szCs w:val="32"/>
          <w:highlight w:val="none"/>
          <w:lang w:val="en-US" w:eastAsia="zh-CN" w:bidi="ar-SA"/>
        </w:rPr>
        <w:t>万元，比上年度减少4.11万元，下降1.5%。主要原因是本年度严控办公费、水电费等支出。</w:t>
      </w:r>
    </w:p>
    <w:p w14:paraId="1AB86B68">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3" w:name="_Toc15377223"/>
      <w:r>
        <w:rPr>
          <w:rFonts w:hint="eastAsia" w:ascii="Times New Roman" w:hAnsi="Times New Roman" w:eastAsia="楷体_GB2312" w:cs="楷体_GB2312"/>
          <w:b/>
          <w:color w:val="auto"/>
          <w:sz w:val="32"/>
          <w:szCs w:val="32"/>
          <w:highlight w:val="none"/>
        </w:rPr>
        <w:t>（二）政府采购支出情况</w:t>
      </w:r>
      <w:bookmarkEnd w:id="53"/>
    </w:p>
    <w:p w14:paraId="4A61D776">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w:t>
      </w:r>
      <w:r>
        <w:rPr>
          <w:rFonts w:hint="eastAsia" w:ascii="仿宋_GB2312" w:hAnsi="仿宋_GB2312" w:eastAsia="仿宋_GB2312" w:cs="仿宋_GB2312"/>
          <w:sz w:val="32"/>
          <w:szCs w:val="32"/>
        </w:rPr>
        <w:t>攀枝花市生态环境局（本级）</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619.29</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160.74</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458.55</w:t>
      </w:r>
      <w:r>
        <w:rPr>
          <w:rFonts w:hint="eastAsia" w:ascii="仿宋_GB2312" w:hAnsi="仿宋_GB2312" w:eastAsia="仿宋_GB2312" w:cs="仿宋_GB2312"/>
          <w:color w:val="auto"/>
          <w:kern w:val="2"/>
          <w:sz w:val="32"/>
          <w:szCs w:val="32"/>
          <w:highlight w:val="none"/>
          <w:lang w:val="en-US" w:eastAsia="zh-CN" w:bidi="ar-SA"/>
        </w:rPr>
        <w:t>万元。主要用于公务车辆燃油、维修保养采购、综合行政执法信息化项目智慧执法监管与服务平台、观音岩水质自动站运维项目、水生态监管系统项目、新污染物调查评估项目等。授予中小企业合同金额</w:t>
      </w:r>
      <w:r>
        <w:rPr>
          <w:rFonts w:hint="eastAsia" w:ascii="仿宋_GB2312" w:hAnsi="仿宋_GB2312" w:eastAsia="仿宋_GB2312" w:cs="仿宋_GB2312"/>
          <w:sz w:val="32"/>
          <w:szCs w:val="32"/>
        </w:rPr>
        <w:t>546.98</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88.3</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223.92</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36.</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auto"/>
          <w:kern w:val="2"/>
          <w:sz w:val="32"/>
          <w:szCs w:val="32"/>
          <w:highlight w:val="none"/>
          <w:lang w:val="en-US" w:eastAsia="zh-CN" w:bidi="ar-SA"/>
        </w:rPr>
        <w:t>%。</w:t>
      </w:r>
    </w:p>
    <w:p w14:paraId="15B35813">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4" w:name="_Toc15377224"/>
      <w:r>
        <w:rPr>
          <w:rFonts w:hint="eastAsia" w:ascii="Times New Roman" w:hAnsi="Times New Roman" w:eastAsia="楷体_GB2312" w:cs="楷体_GB2312"/>
          <w:b/>
          <w:color w:val="auto"/>
          <w:sz w:val="32"/>
          <w:szCs w:val="32"/>
          <w:highlight w:val="none"/>
        </w:rPr>
        <w:t>（三）国有资产占有使用情况</w:t>
      </w:r>
      <w:bookmarkEnd w:id="54"/>
    </w:p>
    <w:p w14:paraId="6EC40718">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截至2025年12月31日，</w:t>
      </w:r>
      <w:r>
        <w:rPr>
          <w:rFonts w:hint="eastAsia" w:ascii="仿宋_GB2312" w:hAnsi="仿宋_GB2312" w:eastAsia="仿宋_GB2312" w:cs="仿宋_GB2312"/>
          <w:sz w:val="32"/>
          <w:szCs w:val="32"/>
        </w:rPr>
        <w:t>攀枝花市生态环境局（本级）</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31</w:t>
      </w:r>
      <w:r>
        <w:rPr>
          <w:rFonts w:hint="eastAsia" w:ascii="仿宋_GB2312" w:hAnsi="仿宋_GB2312" w:eastAsia="仿宋_GB2312" w:cs="仿宋_GB2312"/>
          <w:color w:val="auto"/>
          <w:kern w:val="2"/>
          <w:sz w:val="32"/>
          <w:szCs w:val="32"/>
          <w:highlight w:val="none"/>
          <w:lang w:val="en-US" w:eastAsia="zh-CN" w:bidi="ar-SA"/>
        </w:rPr>
        <w:t>辆，其中：副部（省）级及以上领导用车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辆、执法执勤用车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辆、特种专业技术用车</w:t>
      </w:r>
      <w:r>
        <w:rPr>
          <w:rFonts w:hint="eastAsia" w:ascii="仿宋_GB2312" w:hAnsi="仿宋_GB2312" w:eastAsia="仿宋_GB2312" w:cs="仿宋_GB2312"/>
          <w:sz w:val="32"/>
          <w:szCs w:val="32"/>
        </w:rPr>
        <w:t>30</w:t>
      </w:r>
      <w:r>
        <w:rPr>
          <w:rFonts w:hint="eastAsia" w:ascii="仿宋_GB2312" w:hAnsi="仿宋_GB2312" w:eastAsia="仿宋_GB2312" w:cs="仿宋_GB2312"/>
          <w:color w:val="auto"/>
          <w:kern w:val="2"/>
          <w:sz w:val="32"/>
          <w:szCs w:val="32"/>
          <w:highlight w:val="none"/>
          <w:lang w:val="en-US" w:eastAsia="zh-CN" w:bidi="ar-SA"/>
        </w:rPr>
        <w:t>辆、离退休干部服务用车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17</w:t>
      </w:r>
      <w:r>
        <w:rPr>
          <w:rFonts w:hint="eastAsia" w:ascii="仿宋_GB2312" w:hAnsi="仿宋_GB2312" w:eastAsia="仿宋_GB2312" w:cs="仿宋_GB2312"/>
          <w:color w:val="auto"/>
          <w:kern w:val="2"/>
          <w:sz w:val="32"/>
          <w:szCs w:val="32"/>
          <w:highlight w:val="none"/>
          <w:lang w:val="en-US" w:eastAsia="zh-CN" w:bidi="ar-SA"/>
        </w:rPr>
        <w:t>台（套）。</w:t>
      </w:r>
    </w:p>
    <w:p w14:paraId="6107B96B">
      <w:pPr>
        <w:pageBreakBefore w:val="0"/>
        <w:kinsoku/>
        <w:wordWrap/>
        <w:overflowPunct/>
        <w:topLinePunct w:val="0"/>
        <w:autoSpaceDE/>
        <w:autoSpaceDN/>
        <w:bidi w:val="0"/>
        <w:spacing w:line="60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7B8EF05">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预算绩效管理要求，攀枝花市生态环境局在2025年度，组织对国省控环境空气质量自动监测站点站房改造搬迁拆除项目、大气污染物检测设备项目、VOCs排放源走航调查分析项目等6个项目涉及金额851.9万元开展了事前绩效评估，对30个项目编制了绩效目标，在预算执行过程中，所有项目均开展了绩效监控。</w:t>
      </w:r>
    </w:p>
    <w:p w14:paraId="5191829D">
      <w:pPr>
        <w:pageBreakBefore w:val="0"/>
        <w:kinsoku/>
        <w:wordWrap/>
        <w:overflowPunct/>
        <w:topLinePunct w:val="0"/>
        <w:autoSpaceDE/>
        <w:autoSpaceDN/>
        <w:bidi w:val="0"/>
        <w:spacing w:line="600" w:lineRule="exact"/>
        <w:ind w:firstLine="640"/>
        <w:textAlignment w:val="auto"/>
        <w:rPr>
          <w:rFonts w:hint="eastAsia" w:ascii="方正小标宋_GBK" w:hAnsi="方正小标宋_GBK" w:eastAsia="方正小标宋_GBK" w:cs="方正小标宋_GBK"/>
          <w:color w:val="auto"/>
          <w:kern w:val="2"/>
          <w:sz w:val="44"/>
          <w:szCs w:val="44"/>
          <w:highlight w:val="none"/>
          <w:lang w:val="en-US" w:eastAsia="zh-CN" w:bidi="ar-SA"/>
        </w:rPr>
      </w:pPr>
    </w:p>
    <w:p w14:paraId="3889F985">
      <w:pPr>
        <w:pageBreakBefore w:val="0"/>
        <w:numPr>
          <w:ilvl w:val="0"/>
          <w:numId w:val="0"/>
        </w:numPr>
        <w:kinsoku/>
        <w:wordWrap/>
        <w:overflowPunct/>
        <w:topLinePunct w:val="0"/>
        <w:autoSpaceDE/>
        <w:autoSpaceDN/>
        <w:bidi w:val="0"/>
        <w:spacing w:line="600" w:lineRule="exact"/>
        <w:jc w:val="center"/>
        <w:textAlignment w:val="auto"/>
        <w:outlineLvl w:val="0"/>
        <w:rPr>
          <w:rFonts w:hint="eastAsia" w:ascii="方正小标宋_GBK" w:hAnsi="方正小标宋_GBK" w:eastAsia="方正小标宋_GBK" w:cs="方正小标宋_GBK"/>
          <w:color w:val="auto"/>
          <w:sz w:val="44"/>
          <w:szCs w:val="44"/>
          <w:highlight w:val="none"/>
        </w:rPr>
      </w:pPr>
      <w:bookmarkStart w:id="55" w:name="_Toc15396613"/>
      <w:bookmarkStart w:id="56" w:name="_Toc15377225"/>
    </w:p>
    <w:p w14:paraId="7696F2CF">
      <w:pPr>
        <w:pageBreakBefore w:val="0"/>
        <w:numPr>
          <w:ilvl w:val="0"/>
          <w:numId w:val="0"/>
        </w:numPr>
        <w:kinsoku/>
        <w:wordWrap/>
        <w:overflowPunct/>
        <w:topLinePunct w:val="0"/>
        <w:autoSpaceDE/>
        <w:autoSpaceDN/>
        <w:bidi w:val="0"/>
        <w:spacing w:line="600" w:lineRule="exact"/>
        <w:jc w:val="center"/>
        <w:textAlignment w:val="auto"/>
        <w:outlineLvl w:val="0"/>
        <w:rPr>
          <w:rFonts w:hint="eastAsia" w:ascii="方正小标宋_GBK" w:hAnsi="方正小标宋_GBK" w:eastAsia="方正小标宋_GBK" w:cs="方正小标宋_GBK"/>
          <w:color w:val="auto"/>
          <w:sz w:val="44"/>
          <w:szCs w:val="44"/>
          <w:highlight w:val="none"/>
        </w:rPr>
      </w:pPr>
    </w:p>
    <w:p w14:paraId="789A32A6">
      <w:pPr>
        <w:pageBreakBefore w:val="0"/>
        <w:numPr>
          <w:ilvl w:val="0"/>
          <w:numId w:val="0"/>
        </w:numPr>
        <w:kinsoku/>
        <w:wordWrap/>
        <w:overflowPunct/>
        <w:topLinePunct w:val="0"/>
        <w:autoSpaceDE/>
        <w:autoSpaceDN/>
        <w:bidi w:val="0"/>
        <w:spacing w:line="600" w:lineRule="exact"/>
        <w:jc w:val="center"/>
        <w:textAlignment w:val="auto"/>
        <w:outlineLvl w:val="0"/>
        <w:rPr>
          <w:rFonts w:hint="eastAsia" w:ascii="方正小标宋_GBK" w:hAnsi="方正小标宋_GBK" w:eastAsia="方正小标宋_GBK" w:cs="方正小标宋_GBK"/>
          <w:color w:val="auto"/>
          <w:sz w:val="44"/>
          <w:szCs w:val="44"/>
          <w:highlight w:val="none"/>
        </w:rPr>
      </w:pPr>
    </w:p>
    <w:p w14:paraId="1C246F90">
      <w:pPr>
        <w:pageBreakBefore w:val="0"/>
        <w:numPr>
          <w:ilvl w:val="0"/>
          <w:numId w:val="0"/>
        </w:numPr>
        <w:kinsoku/>
        <w:wordWrap/>
        <w:overflowPunct/>
        <w:topLinePunct w:val="0"/>
        <w:autoSpaceDE/>
        <w:autoSpaceDN/>
        <w:bidi w:val="0"/>
        <w:spacing w:line="600" w:lineRule="exact"/>
        <w:jc w:val="center"/>
        <w:textAlignment w:val="auto"/>
        <w:outlineLvl w:val="0"/>
        <w:rPr>
          <w:rFonts w:hint="eastAsia" w:ascii="方正小标宋_GBK" w:hAnsi="方正小标宋_GBK" w:eastAsia="方正小标宋_GBK" w:cs="方正小标宋_GBK"/>
          <w:color w:val="auto"/>
          <w:sz w:val="44"/>
          <w:szCs w:val="44"/>
          <w:highlight w:val="none"/>
        </w:rPr>
      </w:pPr>
    </w:p>
    <w:p w14:paraId="4E3B96E1">
      <w:pPr>
        <w:pageBreakBefore w:val="0"/>
        <w:numPr>
          <w:ilvl w:val="0"/>
          <w:numId w:val="0"/>
        </w:numPr>
        <w:kinsoku/>
        <w:wordWrap/>
        <w:overflowPunct/>
        <w:topLinePunct w:val="0"/>
        <w:autoSpaceDE/>
        <w:autoSpaceDN/>
        <w:bidi w:val="0"/>
        <w:spacing w:line="600" w:lineRule="exact"/>
        <w:jc w:val="center"/>
        <w:textAlignment w:val="auto"/>
        <w:outlineLvl w:val="0"/>
        <w:rPr>
          <w:rFonts w:hint="eastAsia" w:ascii="方正小标宋_GBK" w:hAnsi="方正小标宋_GBK" w:eastAsia="方正小标宋_GBK" w:cs="方正小标宋_GBK"/>
          <w:color w:val="auto"/>
          <w:sz w:val="44"/>
          <w:szCs w:val="44"/>
          <w:highlight w:val="none"/>
        </w:rPr>
      </w:pPr>
    </w:p>
    <w:p w14:paraId="1E234926">
      <w:pPr>
        <w:pageBreakBefore w:val="0"/>
        <w:numPr>
          <w:ilvl w:val="0"/>
          <w:numId w:val="0"/>
        </w:numPr>
        <w:kinsoku/>
        <w:wordWrap/>
        <w:overflowPunct/>
        <w:topLinePunct w:val="0"/>
        <w:autoSpaceDE/>
        <w:autoSpaceDN/>
        <w:bidi w:val="0"/>
        <w:spacing w:line="600" w:lineRule="exact"/>
        <w:jc w:val="center"/>
        <w:textAlignment w:val="auto"/>
        <w:outlineLvl w:val="0"/>
        <w:rPr>
          <w:rFonts w:hint="eastAsia" w:ascii="方正小标宋_GBK" w:hAnsi="方正小标宋_GBK" w:eastAsia="方正小标宋_GBK" w:cs="方正小标宋_GBK"/>
          <w:color w:val="auto"/>
          <w:sz w:val="44"/>
          <w:szCs w:val="44"/>
          <w:highlight w:val="none"/>
        </w:rPr>
      </w:pPr>
    </w:p>
    <w:p w14:paraId="2B1E8A41">
      <w:pPr>
        <w:pageBreakBefore w:val="0"/>
        <w:numPr>
          <w:ilvl w:val="0"/>
          <w:numId w:val="0"/>
        </w:numPr>
        <w:kinsoku/>
        <w:wordWrap/>
        <w:overflowPunct/>
        <w:topLinePunct w:val="0"/>
        <w:autoSpaceDE/>
        <w:autoSpaceDN/>
        <w:bidi w:val="0"/>
        <w:spacing w:line="600" w:lineRule="exact"/>
        <w:jc w:val="center"/>
        <w:textAlignment w:val="auto"/>
        <w:outlineLvl w:val="0"/>
        <w:rPr>
          <w:rFonts w:hint="eastAsia" w:ascii="方正小标宋_GBK" w:hAnsi="方正小标宋_GBK" w:eastAsia="方正小标宋_GBK" w:cs="方正小标宋_GBK"/>
          <w:color w:val="auto"/>
          <w:sz w:val="44"/>
          <w:szCs w:val="44"/>
          <w:highlight w:val="none"/>
        </w:rPr>
      </w:pPr>
    </w:p>
    <w:p w14:paraId="791C3FA6">
      <w:pPr>
        <w:pageBreakBefore w:val="0"/>
        <w:numPr>
          <w:ilvl w:val="0"/>
          <w:numId w:val="0"/>
        </w:numPr>
        <w:kinsoku/>
        <w:wordWrap/>
        <w:overflowPunct/>
        <w:topLinePunct w:val="0"/>
        <w:autoSpaceDE/>
        <w:autoSpaceDN/>
        <w:bidi w:val="0"/>
        <w:spacing w:line="600" w:lineRule="exact"/>
        <w:jc w:val="center"/>
        <w:textAlignment w:val="auto"/>
        <w:outlineLvl w:val="0"/>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第</w:t>
      </w:r>
      <w:r>
        <w:rPr>
          <w:rFonts w:hint="eastAsia" w:ascii="方正小标宋_GBK" w:hAnsi="方正小标宋_GBK" w:eastAsia="方正小标宋_GBK" w:cs="方正小标宋_GBK"/>
          <w:color w:val="auto"/>
          <w:sz w:val="44"/>
          <w:szCs w:val="44"/>
          <w:highlight w:val="none"/>
          <w:lang w:eastAsia="zh-CN"/>
        </w:rPr>
        <w:t>三</w:t>
      </w:r>
      <w:r>
        <w:rPr>
          <w:rFonts w:hint="eastAsia" w:ascii="方正小标宋_GBK" w:hAnsi="方正小标宋_GBK" w:eastAsia="方正小标宋_GBK" w:cs="方正小标宋_GBK"/>
          <w:color w:val="auto"/>
          <w:sz w:val="44"/>
          <w:szCs w:val="44"/>
          <w:highlight w:val="none"/>
        </w:rPr>
        <w:t>部分</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名词解释</w:t>
      </w:r>
      <w:bookmarkEnd w:id="55"/>
      <w:bookmarkEnd w:id="56"/>
    </w:p>
    <w:p w14:paraId="28DC0A0A">
      <w:pPr>
        <w:pageBreakBefore w:val="0"/>
        <w:kinsoku/>
        <w:wordWrap/>
        <w:overflowPunct/>
        <w:topLinePunct w:val="0"/>
        <w:autoSpaceDE/>
        <w:autoSpaceDN/>
        <w:bidi w:val="0"/>
        <w:spacing w:line="600" w:lineRule="exact"/>
        <w:jc w:val="left"/>
        <w:textAlignment w:val="auto"/>
        <w:rPr>
          <w:rFonts w:ascii="Times New Roman" w:hAnsi="Times New Roman"/>
          <w:b/>
          <w:color w:val="auto"/>
          <w:sz w:val="44"/>
          <w:szCs w:val="44"/>
          <w:highlight w:val="none"/>
        </w:rPr>
      </w:pPr>
    </w:p>
    <w:p w14:paraId="071C8AC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14:paraId="3EF7041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2.其他收入：指单位取得的除上述收入以外的各项收入。主要是利息收入、上级下达环保专项资金收入等。</w:t>
      </w:r>
    </w:p>
    <w:p w14:paraId="5E86060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.年初结转和结余：指以前年度尚未完成、结转到本年按有关规定继续使用的资金。</w:t>
      </w:r>
    </w:p>
    <w:p w14:paraId="4B0EB13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.结余分配：指事业单位按照会计制度规定缴纳的所得税、提取的专用结余以及转入非财政拨款结余的金额等。</w:t>
      </w:r>
    </w:p>
    <w:p w14:paraId="19B22FF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.年末结转和结余：指单位按有关规定结转到下年或以后年度继续使用的资金。</w:t>
      </w:r>
    </w:p>
    <w:p w14:paraId="36E367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6.一般公共服务支出（类）组织事务（款）其他组织事务支出（项）：反映其他用于中国共产党组织部门的事务支出。</w:t>
      </w:r>
    </w:p>
    <w:p w14:paraId="3F1578D3">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人力资源和社会保障管理事务（款）其他人力资源和社会保障管理事务支出（项）：反映其他用于人力资源和社会保障管理事务方面的支出。</w:t>
      </w:r>
    </w:p>
    <w:p w14:paraId="22F8DB6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（类）行政事业单位养老支出（款）行政单位离退休（项）：反映行政单位（包括实行公务员管理的事业单位）开支的离退休经费。</w:t>
      </w:r>
    </w:p>
    <w:p w14:paraId="37225F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（类）行政事业单位养老支出（款）事业单位离退休（项）：反映事业单位开支的离退休经费。</w:t>
      </w:r>
    </w:p>
    <w:p w14:paraId="124F45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（类）行政事业单位养老支出（款）机关事业单位基本养老保险缴费支出（项）：反映机关事业单位实施养老保险制度由单位缴纳的基本养老保险费支出。</w:t>
      </w:r>
    </w:p>
    <w:p w14:paraId="6AA799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11.社会保障和就业支出（类）行政事业单位养老支出（款）机关事业单位职业年金缴费支出（项）：反映机关事业单位实施养老保险制度由单位实际缴纳的职业年金支出（含职业年金补记支出）。</w:t>
      </w:r>
    </w:p>
    <w:p w14:paraId="72C791D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.社会保障和就业（类）抚恤（款）死亡抚恤（项）：反映按规定用于烈士和牺牲、病故人员家属的一次性和定期抚恤金、丧葬补助费以及烈士褒扬金。</w:t>
      </w:r>
    </w:p>
    <w:p w14:paraId="6155CF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13.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14:paraId="1FE3A7F4">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14.卫生健康支出（类）行政事业单位医疗（款）事业单位医疗（项）：反映财政部门安排的事业单位基本医疗保险缴费经费、未参加医疗保险的事业单位的公费医疗经费，按国家规定享受离休人员待遇的医疗经费。</w:t>
      </w:r>
    </w:p>
    <w:p w14:paraId="7706A40C">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kern w:val="2"/>
          <w:sz w:val="32"/>
          <w:szCs w:val="32"/>
          <w:lang w:val="en-US" w:eastAsia="zh-CN" w:bidi="ar-SA"/>
        </w:rPr>
        <w:t>15.卫生健康支出（类）行政事业单位医疗（款）公务员医疗补助（项）：反映财政部门安排的公务员医疗补助经费。</w:t>
      </w:r>
    </w:p>
    <w:p w14:paraId="52C741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.节能环保（类）环境保护管理事务（款）行政运行（项）：反映行政单位（包括实行公务员管理的事业单位）的基本支出。</w:t>
      </w:r>
    </w:p>
    <w:p w14:paraId="47D71A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.节能环保（类）环境保护管理事务（款）其他环境保护管理事务支出（项）：反映其他用于环境保护管理事务方面的支出。</w:t>
      </w:r>
    </w:p>
    <w:p w14:paraId="5D3C04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.节能环保（类）污染防治（款）其他污染防治支出（项）：反映其他用于污染防治方面的支出。</w:t>
      </w:r>
    </w:p>
    <w:p w14:paraId="11C5DA4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19.节能环保（类）其他节能环保支出（款）其他节能环保支出（项）：反映其他用于节能环保方面的支出。</w:t>
      </w:r>
    </w:p>
    <w:p w14:paraId="12E9075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.住房保障支出（类）住房改革支出（款）住房公积金（项）：反映行政事业单位按人力资源社会保障部、财政部规定的基本工资和津补贴以及规定比例为职工缴纳的住房公积金。</w:t>
      </w:r>
    </w:p>
    <w:p w14:paraId="488C60C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.基本支出：指为保障机构正常运转、完成日常工作任务而发生的人员支出和公用支出。</w:t>
      </w:r>
    </w:p>
    <w:p w14:paraId="7DAAC1F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.项目支出：指在基本支出之外为完成特定行政任务和事业发展目标所发生的支出。 </w:t>
      </w:r>
    </w:p>
    <w:p w14:paraId="2C6B091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9D9421F">
      <w:pPr>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仿宋_GB2312" w:eastAsia="仿宋_GB2312" w:cs="仿宋_GB2312"/>
          <w:sz w:val="32"/>
          <w:szCs w:val="32"/>
        </w:rPr>
        <w:br w:type="page"/>
      </w:r>
    </w:p>
    <w:p w14:paraId="4EEBD525">
      <w:pPr>
        <w:pageBreakBefore w:val="0"/>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color w:val="auto"/>
          <w:sz w:val="44"/>
          <w:szCs w:val="44"/>
          <w:highlight w:val="none"/>
        </w:rPr>
      </w:pPr>
      <w:bookmarkStart w:id="57" w:name="_Toc15396614"/>
      <w:bookmarkStart w:id="58" w:name="_Toc15377226"/>
      <w:r>
        <w:rPr>
          <w:rFonts w:hint="eastAsia" w:ascii="方正小标宋_GBK" w:hAnsi="方正小标宋_GBK" w:eastAsia="方正小标宋_GBK" w:cs="方正小标宋_GBK"/>
          <w:color w:val="auto"/>
          <w:sz w:val="44"/>
          <w:szCs w:val="44"/>
          <w:highlight w:val="none"/>
        </w:rPr>
        <w:t>第四部分</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 xml:space="preserve"> 附件</w:t>
      </w:r>
      <w:bookmarkEnd w:id="57"/>
    </w:p>
    <w:p w14:paraId="26BBA6F8">
      <w:pPr>
        <w:pStyle w:val="19"/>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shd w:val="clear" w:color="auto" w:fill="FFFFFF"/>
        </w:rPr>
        <w:t>部门预算项目支出绩效自评表（202</w:t>
      </w:r>
      <w:r>
        <w:rPr>
          <w:rFonts w:hint="eastAsia" w:ascii="仿宋_GB2312" w:hAnsi="仿宋_GB2312" w:eastAsia="仿宋_GB2312" w:cs="仿宋_GB2312"/>
          <w:b w:val="0"/>
          <w:bCs/>
          <w:sz w:val="32"/>
          <w:szCs w:val="32"/>
          <w:shd w:val="clear" w:color="auto" w:fill="FFFFFF"/>
          <w:lang w:val="en-US" w:eastAsia="zh-CN"/>
        </w:rPr>
        <w:t>5</w:t>
      </w:r>
      <w:r>
        <w:rPr>
          <w:rFonts w:hint="eastAsia" w:ascii="仿宋_GB2312" w:hAnsi="仿宋_GB2312" w:eastAsia="仿宋_GB2312" w:cs="仿宋_GB2312"/>
          <w:b w:val="0"/>
          <w:bCs/>
          <w:sz w:val="32"/>
          <w:szCs w:val="32"/>
          <w:shd w:val="clear" w:color="auto" w:fill="FFFFFF"/>
        </w:rPr>
        <w:t>年度</w:t>
      </w:r>
      <w:r>
        <w:rPr>
          <w:rFonts w:hint="eastAsia" w:ascii="仿宋_GB2312" w:hAnsi="仿宋_GB2312" w:eastAsia="仿宋_GB2312" w:cs="仿宋_GB2312"/>
          <w:b w:val="0"/>
          <w:bCs/>
          <w:sz w:val="32"/>
          <w:szCs w:val="32"/>
          <w:shd w:val="clear" w:color="auto" w:fill="FFFFFF"/>
          <w:lang w:eastAsia="zh-CN"/>
        </w:rPr>
        <w:t>）。</w:t>
      </w:r>
    </w:p>
    <w:p w14:paraId="090E1558">
      <w:pPr>
        <w:keepNext w:val="0"/>
        <w:keepLines w:val="0"/>
        <w:pageBreakBefore w:val="0"/>
        <w:kinsoku/>
        <w:wordWrap/>
        <w:overflowPunct/>
        <w:topLinePunct w:val="0"/>
        <w:autoSpaceDE/>
        <w:autoSpaceDN/>
        <w:bidi w:val="0"/>
        <w:spacing w:line="600" w:lineRule="exact"/>
        <w:jc w:val="left"/>
        <w:textAlignment w:val="auto"/>
        <w:outlineLvl w:val="0"/>
        <w:rPr>
          <w:rFonts w:hint="eastAsia" w:ascii="Times New Roman" w:hAnsi="Times New Roman" w:eastAsia="黑体" w:cs="黑体"/>
          <w:color w:val="FF0000"/>
          <w:sz w:val="32"/>
          <w:szCs w:val="32"/>
          <w:highlight w:val="none"/>
        </w:rPr>
      </w:pPr>
    </w:p>
    <w:p w14:paraId="5E1A8B9D">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bookmarkStart w:id="59" w:name="_Toc15396618"/>
    </w:p>
    <w:p w14:paraId="037C15FD">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0AAA3F8D">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585EF6CC">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2950E3B8">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119B2E10">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240B34D7">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1E33E8CA">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542E702A">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4959C7A1">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2086E58D">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3A579FEB">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0DC73639">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77D669B2">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403C25F2">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1F1906E8">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6321EB7C">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14DDF72A">
      <w:pPr>
        <w:pageBreakBefore w:val="0"/>
        <w:widowControl/>
        <w:kinsoku/>
        <w:wordWrap/>
        <w:overflowPunct/>
        <w:topLinePunct w:val="0"/>
        <w:autoSpaceDE/>
        <w:autoSpaceDN/>
        <w:bidi w:val="0"/>
        <w:spacing w:line="600" w:lineRule="exact"/>
        <w:jc w:val="center"/>
        <w:textAlignment w:val="auto"/>
        <w:rPr>
          <w:rFonts w:hint="eastAsia" w:ascii="Times New Roman" w:hAnsi="Times New Roman" w:eastAsia="黑体"/>
          <w:color w:val="auto"/>
          <w:sz w:val="44"/>
          <w:szCs w:val="44"/>
          <w:highlight w:val="none"/>
        </w:rPr>
      </w:pPr>
    </w:p>
    <w:p w14:paraId="0CFEC6B6">
      <w:pPr>
        <w:pStyle w:val="19"/>
        <w:rPr>
          <w:rFonts w:hint="eastAsia"/>
        </w:rPr>
      </w:pPr>
    </w:p>
    <w:p w14:paraId="757355A9">
      <w:pPr>
        <w:pageBreakBefore w:val="0"/>
        <w:widowControl/>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b w:val="0"/>
          <w:color w:val="auto"/>
          <w:sz w:val="44"/>
          <w:szCs w:val="44"/>
          <w:highlight w:val="none"/>
        </w:rPr>
      </w:pPr>
      <w:r>
        <w:rPr>
          <w:rFonts w:hint="eastAsia" w:ascii="方正小标宋_GBK" w:hAnsi="方正小标宋_GBK" w:eastAsia="方正小标宋_GBK" w:cs="方正小标宋_GBK"/>
          <w:color w:val="auto"/>
          <w:sz w:val="44"/>
          <w:szCs w:val="44"/>
          <w:highlight w:val="none"/>
        </w:rPr>
        <w:t>第</w:t>
      </w:r>
      <w:r>
        <w:rPr>
          <w:rStyle w:val="28"/>
          <w:rFonts w:hint="eastAsia" w:ascii="方正小标宋_GBK" w:hAnsi="方正小标宋_GBK" w:eastAsia="方正小标宋_GBK" w:cs="方正小标宋_GBK"/>
          <w:b w:val="0"/>
          <w:color w:val="auto"/>
          <w:sz w:val="44"/>
          <w:szCs w:val="44"/>
          <w:highlight w:val="none"/>
        </w:rPr>
        <w:t>五部分 附表</w:t>
      </w:r>
      <w:bookmarkEnd w:id="58"/>
      <w:bookmarkEnd w:id="59"/>
      <w:bookmarkStart w:id="60" w:name="_Toc15396619"/>
    </w:p>
    <w:p w14:paraId="74E525BC">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仿宋_GB2312"/>
          <w:color w:val="auto"/>
          <w:sz w:val="32"/>
          <w:szCs w:val="32"/>
          <w:highlight w:val="none"/>
        </w:rPr>
      </w:pPr>
    </w:p>
    <w:p w14:paraId="6C8D821C">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bookmarkEnd w:id="60"/>
    </w:p>
    <w:p w14:paraId="50CB4882">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61" w:name="_Toc15396620"/>
      <w:r>
        <w:rPr>
          <w:rFonts w:hint="eastAsia" w:ascii="仿宋_GB2312" w:hAnsi="仿宋_GB2312" w:eastAsia="仿宋_GB2312" w:cs="仿宋_GB2312"/>
          <w:color w:val="auto"/>
          <w:sz w:val="32"/>
          <w:szCs w:val="32"/>
          <w:highlight w:val="none"/>
        </w:rPr>
        <w:t>二、收入决算表</w:t>
      </w:r>
      <w:bookmarkEnd w:id="61"/>
    </w:p>
    <w:p w14:paraId="28D65409">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62" w:name="_Toc15396621"/>
      <w:r>
        <w:rPr>
          <w:rFonts w:hint="eastAsia" w:ascii="仿宋_GB2312" w:hAnsi="仿宋_GB2312" w:eastAsia="仿宋_GB2312" w:cs="仿宋_GB2312"/>
          <w:color w:val="auto"/>
          <w:sz w:val="32"/>
          <w:szCs w:val="32"/>
          <w:highlight w:val="none"/>
        </w:rPr>
        <w:t>三、支出决算表</w:t>
      </w:r>
      <w:bookmarkEnd w:id="62"/>
    </w:p>
    <w:p w14:paraId="68C713D1">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63" w:name="_Toc15396622"/>
      <w:r>
        <w:rPr>
          <w:rFonts w:hint="eastAsia" w:ascii="仿宋_GB2312" w:hAnsi="仿宋_GB2312" w:eastAsia="仿宋_GB2312" w:cs="仿宋_GB2312"/>
          <w:color w:val="auto"/>
          <w:sz w:val="32"/>
          <w:szCs w:val="32"/>
          <w:highlight w:val="none"/>
        </w:rPr>
        <w:t>四、财政拨款收入支出决算总表</w:t>
      </w:r>
      <w:bookmarkEnd w:id="63"/>
    </w:p>
    <w:p w14:paraId="13FF56D0">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64" w:name="_Toc15396623"/>
      <w:r>
        <w:rPr>
          <w:rFonts w:hint="eastAsia" w:ascii="仿宋_GB2312" w:hAnsi="仿宋_GB2312" w:eastAsia="仿宋_GB2312" w:cs="仿宋_GB2312"/>
          <w:color w:val="auto"/>
          <w:sz w:val="32"/>
          <w:szCs w:val="32"/>
          <w:highlight w:val="none"/>
        </w:rPr>
        <w:t>五、财政拨款支出决算明细表</w:t>
      </w:r>
      <w:bookmarkEnd w:id="64"/>
      <w:bookmarkStart w:id="65" w:name="_Toc15396624"/>
    </w:p>
    <w:p w14:paraId="19F9A972">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六、一般公共预算财政拨款支出决算表</w:t>
      </w:r>
      <w:bookmarkEnd w:id="65"/>
    </w:p>
    <w:p w14:paraId="1A7A5ECC">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66" w:name="_Toc15396625"/>
      <w:r>
        <w:rPr>
          <w:rFonts w:hint="eastAsia" w:ascii="仿宋_GB2312" w:hAnsi="仿宋_GB2312" w:eastAsia="仿宋_GB2312" w:cs="仿宋_GB2312"/>
          <w:color w:val="auto"/>
          <w:sz w:val="32"/>
          <w:szCs w:val="32"/>
          <w:highlight w:val="none"/>
        </w:rPr>
        <w:t>七、一般公共预算财政拨款支出决算明细表</w:t>
      </w:r>
      <w:bookmarkEnd w:id="66"/>
    </w:p>
    <w:p w14:paraId="0E435A41">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67" w:name="_Toc15396626"/>
      <w:r>
        <w:rPr>
          <w:rFonts w:hint="eastAsia" w:ascii="仿宋_GB2312" w:hAnsi="仿宋_GB2312" w:eastAsia="仿宋_GB2312" w:cs="仿宋_GB2312"/>
          <w:color w:val="auto"/>
          <w:sz w:val="32"/>
          <w:szCs w:val="32"/>
          <w:highlight w:val="none"/>
        </w:rPr>
        <w:t>八、一般公共预算财政拨款基本支出决算表</w:t>
      </w:r>
      <w:bookmarkEnd w:id="67"/>
    </w:p>
    <w:p w14:paraId="5CFBF7B0">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68" w:name="_Toc15396627"/>
      <w:r>
        <w:rPr>
          <w:rFonts w:hint="eastAsia" w:ascii="仿宋_GB2312" w:hAnsi="仿宋_GB2312" w:eastAsia="仿宋_GB2312" w:cs="仿宋_GB2312"/>
          <w:color w:val="auto"/>
          <w:sz w:val="32"/>
          <w:szCs w:val="32"/>
          <w:highlight w:val="none"/>
        </w:rPr>
        <w:t>九、一般公共预算财政拨款项目支出决算表</w:t>
      </w:r>
      <w:bookmarkEnd w:id="68"/>
    </w:p>
    <w:p w14:paraId="25414C27">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69" w:name="_Toc15396628"/>
      <w:r>
        <w:rPr>
          <w:rFonts w:hint="eastAsia" w:ascii="仿宋_GB2312" w:hAnsi="仿宋_GB2312" w:eastAsia="仿宋_GB2312" w:cs="仿宋_GB2312"/>
          <w:color w:val="auto"/>
          <w:sz w:val="32"/>
          <w:szCs w:val="32"/>
          <w:highlight w:val="none"/>
        </w:rPr>
        <w:t>十、</w:t>
      </w:r>
      <w:bookmarkEnd w:id="69"/>
      <w:r>
        <w:rPr>
          <w:rFonts w:hint="eastAsia" w:ascii="仿宋_GB2312" w:hAnsi="仿宋_GB2312" w:eastAsia="仿宋_GB2312" w:cs="仿宋_GB2312"/>
          <w:color w:val="auto"/>
          <w:sz w:val="32"/>
          <w:szCs w:val="32"/>
          <w:highlight w:val="none"/>
        </w:rPr>
        <w:t>政府性基金预算财政拨款收入支出决算表</w:t>
      </w:r>
    </w:p>
    <w:p w14:paraId="6FF18C74">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70" w:name="_Toc15396629"/>
      <w:r>
        <w:rPr>
          <w:rFonts w:hint="eastAsia" w:ascii="仿宋_GB2312" w:hAnsi="仿宋_GB2312" w:eastAsia="仿宋_GB2312" w:cs="仿宋_GB2312"/>
          <w:color w:val="auto"/>
          <w:sz w:val="32"/>
          <w:szCs w:val="32"/>
          <w:highlight w:val="none"/>
        </w:rPr>
        <w:t>十一、</w:t>
      </w:r>
      <w:bookmarkEnd w:id="70"/>
      <w:r>
        <w:rPr>
          <w:rFonts w:hint="eastAsia" w:ascii="仿宋_GB2312" w:hAnsi="仿宋_GB2312" w:eastAsia="仿宋_GB2312" w:cs="仿宋_GB2312"/>
          <w:color w:val="auto"/>
          <w:sz w:val="32"/>
          <w:szCs w:val="32"/>
          <w:highlight w:val="none"/>
        </w:rPr>
        <w:t>国有资本经营预算</w:t>
      </w:r>
      <w:r>
        <w:rPr>
          <w:rFonts w:hint="eastAsia" w:ascii="仿宋_GB2312" w:hAnsi="仿宋_GB2312" w:eastAsia="仿宋_GB2312" w:cs="仿宋_GB2312"/>
          <w:color w:val="auto"/>
          <w:sz w:val="32"/>
          <w:szCs w:val="32"/>
          <w:highlight w:val="none"/>
          <w:lang w:eastAsia="zh-CN"/>
        </w:rPr>
        <w:t>财政拨款收入</w:t>
      </w:r>
      <w:r>
        <w:rPr>
          <w:rFonts w:hint="eastAsia" w:ascii="仿宋_GB2312" w:hAnsi="仿宋_GB2312" w:eastAsia="仿宋_GB2312" w:cs="仿宋_GB2312"/>
          <w:color w:val="auto"/>
          <w:sz w:val="32"/>
          <w:szCs w:val="32"/>
          <w:highlight w:val="none"/>
        </w:rPr>
        <w:t>支出决算表</w:t>
      </w:r>
    </w:p>
    <w:p w14:paraId="5251B316">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rPr>
      </w:pPr>
      <w:bookmarkStart w:id="71" w:name="_Toc15396630"/>
      <w:r>
        <w:rPr>
          <w:rFonts w:hint="eastAsia" w:ascii="仿宋_GB2312" w:hAnsi="仿宋_GB2312" w:eastAsia="仿宋_GB2312" w:cs="仿宋_GB2312"/>
          <w:color w:val="auto"/>
          <w:sz w:val="32"/>
          <w:szCs w:val="32"/>
          <w:highlight w:val="none"/>
        </w:rPr>
        <w:t>十二、</w:t>
      </w:r>
      <w:bookmarkEnd w:id="71"/>
      <w:r>
        <w:rPr>
          <w:rFonts w:hint="eastAsia" w:ascii="仿宋_GB2312" w:hAnsi="仿宋_GB2312" w:eastAsia="仿宋_GB2312" w:cs="仿宋_GB2312"/>
          <w:color w:val="auto"/>
          <w:sz w:val="32"/>
          <w:szCs w:val="32"/>
          <w:highlight w:val="none"/>
          <w:lang w:eastAsia="zh-CN"/>
        </w:rPr>
        <w:t>国有资本经营预算财政拨款支出决算表</w:t>
      </w:r>
    </w:p>
    <w:p w14:paraId="6847C41B">
      <w:pPr>
        <w:pStyle w:val="14"/>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color w:val="auto"/>
          <w:sz w:val="32"/>
          <w:szCs w:val="32"/>
          <w:highlight w:val="none"/>
          <w:lang w:eastAsia="zh-CN"/>
        </w:rPr>
      </w:pPr>
      <w:bookmarkStart w:id="72" w:name="_Toc15396631"/>
      <w:r>
        <w:rPr>
          <w:rFonts w:hint="eastAsia" w:ascii="仿宋_GB2312" w:hAnsi="仿宋_GB2312" w:eastAsia="仿宋_GB2312" w:cs="仿宋_GB2312"/>
          <w:color w:val="auto"/>
          <w:sz w:val="32"/>
          <w:szCs w:val="32"/>
          <w:highlight w:val="none"/>
        </w:rPr>
        <w:t>十三、</w:t>
      </w:r>
      <w:bookmarkEnd w:id="72"/>
      <w:r>
        <w:rPr>
          <w:rFonts w:hint="eastAsia" w:ascii="仿宋_GB2312" w:hAnsi="仿宋_GB2312" w:eastAsia="仿宋_GB2312" w:cs="仿宋_GB2312"/>
          <w:color w:val="auto"/>
          <w:sz w:val="32"/>
          <w:szCs w:val="32"/>
          <w:highlight w:val="none"/>
          <w:lang w:eastAsia="zh-CN"/>
        </w:rPr>
        <w:t>财政拨款“三公”经费支出决算表</w:t>
      </w:r>
    </w:p>
    <w:p w14:paraId="35DF19D0">
      <w:pPr>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sz w:val="32"/>
          <w:szCs w:val="32"/>
          <w:lang w:eastAsia="zh-CN"/>
        </w:rPr>
      </w:pPr>
    </w:p>
    <w:sectPr>
      <w:footerReference r:id="rId11"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634F">
    <w:pPr>
      <w:pStyle w:val="10"/>
      <w:jc w:val="center"/>
    </w:pPr>
  </w:p>
  <w:p w14:paraId="65C62196">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5B689">
    <w:pPr>
      <w:pStyle w:val="10"/>
    </w:pPr>
    <w:r>
      <w:rPr>
        <w:rFonts w:hint="eastAsia"/>
        <w:lang w:val="en-US" w:eastAsia="zh-CN"/>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04C55">
    <w:pPr>
      <w:pStyle w:val="10"/>
      <w:jc w:val="center"/>
    </w:pPr>
  </w:p>
  <w:p w14:paraId="439C54EF">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8DA6E">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30E5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D230E5F">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537EF">
    <w:pPr>
      <w:pStyle w:val="10"/>
      <w:jc w:val="center"/>
    </w:pPr>
  </w:p>
  <w:p w14:paraId="7A8CF943">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021C4">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E5F50">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2DE5F50">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56399">
    <w:pPr>
      <w:pStyle w:val="10"/>
      <w:jc w:val="center"/>
    </w:pPr>
  </w:p>
  <w:p w14:paraId="3901B8F1">
    <w:pPr>
      <w:pStyle w:val="1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B5920">
    <w:pPr>
      <w:pStyle w:val="10"/>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539E89">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7539E89">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103C98DF">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377EA">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2317B1B"/>
    <w:rsid w:val="02FEBE30"/>
    <w:rsid w:val="061E35DE"/>
    <w:rsid w:val="066E0107"/>
    <w:rsid w:val="07996F6E"/>
    <w:rsid w:val="07DFD8BA"/>
    <w:rsid w:val="08DB07E4"/>
    <w:rsid w:val="09867E8F"/>
    <w:rsid w:val="0A2032A3"/>
    <w:rsid w:val="0AED2C80"/>
    <w:rsid w:val="0C6C4794"/>
    <w:rsid w:val="0CA8290A"/>
    <w:rsid w:val="0D35B1ED"/>
    <w:rsid w:val="0DE07E2B"/>
    <w:rsid w:val="0E96A1F7"/>
    <w:rsid w:val="0F36A008"/>
    <w:rsid w:val="0F98263C"/>
    <w:rsid w:val="101860EC"/>
    <w:rsid w:val="10C055FF"/>
    <w:rsid w:val="11772AA4"/>
    <w:rsid w:val="118107EC"/>
    <w:rsid w:val="13957196"/>
    <w:rsid w:val="13D50BC4"/>
    <w:rsid w:val="13FFE163"/>
    <w:rsid w:val="14022904"/>
    <w:rsid w:val="14CFE30B"/>
    <w:rsid w:val="152F2A07"/>
    <w:rsid w:val="165E0673"/>
    <w:rsid w:val="16BB723D"/>
    <w:rsid w:val="16F13FCB"/>
    <w:rsid w:val="186504BB"/>
    <w:rsid w:val="18FF80A5"/>
    <w:rsid w:val="1938089F"/>
    <w:rsid w:val="19A445FC"/>
    <w:rsid w:val="19B7A3E4"/>
    <w:rsid w:val="19FE3AA0"/>
    <w:rsid w:val="1AFB542B"/>
    <w:rsid w:val="1B7D550C"/>
    <w:rsid w:val="1BE8440E"/>
    <w:rsid w:val="1BFF9E34"/>
    <w:rsid w:val="1CB34777"/>
    <w:rsid w:val="1D155CEE"/>
    <w:rsid w:val="1DCF78D9"/>
    <w:rsid w:val="1DE178F3"/>
    <w:rsid w:val="1E740ACF"/>
    <w:rsid w:val="1EBCD9AE"/>
    <w:rsid w:val="1FF35744"/>
    <w:rsid w:val="1FF6BC77"/>
    <w:rsid w:val="21962A9E"/>
    <w:rsid w:val="21AE7C77"/>
    <w:rsid w:val="22BC3C41"/>
    <w:rsid w:val="23860B96"/>
    <w:rsid w:val="240371BF"/>
    <w:rsid w:val="260F557C"/>
    <w:rsid w:val="281408E2"/>
    <w:rsid w:val="29FD04D3"/>
    <w:rsid w:val="2AF700BF"/>
    <w:rsid w:val="2BFF7BC6"/>
    <w:rsid w:val="2C7A054E"/>
    <w:rsid w:val="2C8A61B5"/>
    <w:rsid w:val="2D2E01CF"/>
    <w:rsid w:val="2DF04E50"/>
    <w:rsid w:val="2E9545B0"/>
    <w:rsid w:val="2ECF0BA0"/>
    <w:rsid w:val="2F040D46"/>
    <w:rsid w:val="2F768C32"/>
    <w:rsid w:val="2FAE5751"/>
    <w:rsid w:val="2FAF5B47"/>
    <w:rsid w:val="2FB1A395"/>
    <w:rsid w:val="2FD9A7D8"/>
    <w:rsid w:val="2FFA7FDF"/>
    <w:rsid w:val="2FFFBB15"/>
    <w:rsid w:val="319F7F4E"/>
    <w:rsid w:val="321B2544"/>
    <w:rsid w:val="3304709D"/>
    <w:rsid w:val="33EF1D1B"/>
    <w:rsid w:val="33FFFD2F"/>
    <w:rsid w:val="34281836"/>
    <w:rsid w:val="349D6851"/>
    <w:rsid w:val="35BA6CAF"/>
    <w:rsid w:val="35D37231"/>
    <w:rsid w:val="364D14C1"/>
    <w:rsid w:val="36AA5135"/>
    <w:rsid w:val="36BE0DA7"/>
    <w:rsid w:val="376B6AA6"/>
    <w:rsid w:val="376D39B2"/>
    <w:rsid w:val="37E16F03"/>
    <w:rsid w:val="37F53A3B"/>
    <w:rsid w:val="389B6C89"/>
    <w:rsid w:val="38D469F0"/>
    <w:rsid w:val="393B6DEC"/>
    <w:rsid w:val="39627CCD"/>
    <w:rsid w:val="397BAF1F"/>
    <w:rsid w:val="3AB65041"/>
    <w:rsid w:val="3AB79AF3"/>
    <w:rsid w:val="3B475269"/>
    <w:rsid w:val="3B77DBC0"/>
    <w:rsid w:val="3B7A2034"/>
    <w:rsid w:val="3B7EF35A"/>
    <w:rsid w:val="3B9FDB6C"/>
    <w:rsid w:val="3BF5BC2F"/>
    <w:rsid w:val="3CEBA265"/>
    <w:rsid w:val="3D98207C"/>
    <w:rsid w:val="3D9B0D99"/>
    <w:rsid w:val="3DEE7CF3"/>
    <w:rsid w:val="3DF02244"/>
    <w:rsid w:val="3DFF6D95"/>
    <w:rsid w:val="3E78745D"/>
    <w:rsid w:val="3F1AA0F7"/>
    <w:rsid w:val="3F37B064"/>
    <w:rsid w:val="3F5745E8"/>
    <w:rsid w:val="3F7A2AD0"/>
    <w:rsid w:val="3FBFB088"/>
    <w:rsid w:val="3FDB796A"/>
    <w:rsid w:val="3FE92212"/>
    <w:rsid w:val="3FEFB9AB"/>
    <w:rsid w:val="3FF4CAE0"/>
    <w:rsid w:val="3FF7B227"/>
    <w:rsid w:val="40E54C45"/>
    <w:rsid w:val="41313393"/>
    <w:rsid w:val="43A407DF"/>
    <w:rsid w:val="44515BEA"/>
    <w:rsid w:val="44E268DA"/>
    <w:rsid w:val="453F7E5B"/>
    <w:rsid w:val="47FF9590"/>
    <w:rsid w:val="486A6C7A"/>
    <w:rsid w:val="49176D9B"/>
    <w:rsid w:val="494006BD"/>
    <w:rsid w:val="4A627F82"/>
    <w:rsid w:val="4B0E749A"/>
    <w:rsid w:val="4B4F25DA"/>
    <w:rsid w:val="4BBF1D0E"/>
    <w:rsid w:val="4BDA0CFB"/>
    <w:rsid w:val="4BE068DB"/>
    <w:rsid w:val="4D3C0CCC"/>
    <w:rsid w:val="4D577224"/>
    <w:rsid w:val="4DBF1CEB"/>
    <w:rsid w:val="4E75E3C7"/>
    <w:rsid w:val="4EAB630A"/>
    <w:rsid w:val="4ECE2238"/>
    <w:rsid w:val="4EE97081"/>
    <w:rsid w:val="4F7F6D25"/>
    <w:rsid w:val="4F833267"/>
    <w:rsid w:val="4FB72E87"/>
    <w:rsid w:val="4FE9BD67"/>
    <w:rsid w:val="4FF9263D"/>
    <w:rsid w:val="4FFB052F"/>
    <w:rsid w:val="53083A92"/>
    <w:rsid w:val="537E6D0A"/>
    <w:rsid w:val="53AF27A2"/>
    <w:rsid w:val="53DEFE63"/>
    <w:rsid w:val="53F74C96"/>
    <w:rsid w:val="56B99CFA"/>
    <w:rsid w:val="56D3E97E"/>
    <w:rsid w:val="56E47B74"/>
    <w:rsid w:val="57B4C115"/>
    <w:rsid w:val="57BD3DD4"/>
    <w:rsid w:val="57E6F1FF"/>
    <w:rsid w:val="57F38949"/>
    <w:rsid w:val="58FEAE29"/>
    <w:rsid w:val="59FEB97B"/>
    <w:rsid w:val="5AF92295"/>
    <w:rsid w:val="5BDD79E6"/>
    <w:rsid w:val="5BF561CA"/>
    <w:rsid w:val="5BFF5DFC"/>
    <w:rsid w:val="5CD71FC4"/>
    <w:rsid w:val="5CFF37AC"/>
    <w:rsid w:val="5CFFF534"/>
    <w:rsid w:val="5D1F11B5"/>
    <w:rsid w:val="5DAE1B18"/>
    <w:rsid w:val="5DB4BC19"/>
    <w:rsid w:val="5DDD9214"/>
    <w:rsid w:val="5DE7D9E5"/>
    <w:rsid w:val="5ECEC941"/>
    <w:rsid w:val="5F2EC7E5"/>
    <w:rsid w:val="5F493CB7"/>
    <w:rsid w:val="5F578F49"/>
    <w:rsid w:val="5F6F30ED"/>
    <w:rsid w:val="5F9F244A"/>
    <w:rsid w:val="5FB7A34D"/>
    <w:rsid w:val="5FBF9FF3"/>
    <w:rsid w:val="5FC52F56"/>
    <w:rsid w:val="5FCD4E2C"/>
    <w:rsid w:val="5FD15F49"/>
    <w:rsid w:val="5FEF394A"/>
    <w:rsid w:val="5FF67715"/>
    <w:rsid w:val="5FF733EF"/>
    <w:rsid w:val="5FF9DE9B"/>
    <w:rsid w:val="5FFB884B"/>
    <w:rsid w:val="5FFCE3F3"/>
    <w:rsid w:val="5FFE1274"/>
    <w:rsid w:val="5FFE59D3"/>
    <w:rsid w:val="5FFE701A"/>
    <w:rsid w:val="5FFEFE6E"/>
    <w:rsid w:val="62BF3928"/>
    <w:rsid w:val="62FD44A3"/>
    <w:rsid w:val="647F5392"/>
    <w:rsid w:val="664B1D71"/>
    <w:rsid w:val="6679AC7F"/>
    <w:rsid w:val="66BF39B2"/>
    <w:rsid w:val="66D4562D"/>
    <w:rsid w:val="67572CB3"/>
    <w:rsid w:val="677F7114"/>
    <w:rsid w:val="67AA3209"/>
    <w:rsid w:val="681C4F0D"/>
    <w:rsid w:val="68FFE78E"/>
    <w:rsid w:val="69046D0F"/>
    <w:rsid w:val="698D0931"/>
    <w:rsid w:val="69DF9D28"/>
    <w:rsid w:val="69F61AD9"/>
    <w:rsid w:val="6A993CED"/>
    <w:rsid w:val="6B053271"/>
    <w:rsid w:val="6BCE6674"/>
    <w:rsid w:val="6BDF2ACC"/>
    <w:rsid w:val="6BEDDC9B"/>
    <w:rsid w:val="6C4A05C8"/>
    <w:rsid w:val="6C8742B8"/>
    <w:rsid w:val="6C8A170F"/>
    <w:rsid w:val="6C8FFFD1"/>
    <w:rsid w:val="6CB54609"/>
    <w:rsid w:val="6D5EB1B2"/>
    <w:rsid w:val="6DBF5E93"/>
    <w:rsid w:val="6DF62A1B"/>
    <w:rsid w:val="6DFF077E"/>
    <w:rsid w:val="6DFF333B"/>
    <w:rsid w:val="6E7E3605"/>
    <w:rsid w:val="6E7FDCC7"/>
    <w:rsid w:val="6ED6A62E"/>
    <w:rsid w:val="6EE00B15"/>
    <w:rsid w:val="6EFB6996"/>
    <w:rsid w:val="6EFF24DA"/>
    <w:rsid w:val="6F544B20"/>
    <w:rsid w:val="6F660597"/>
    <w:rsid w:val="6F67FF8D"/>
    <w:rsid w:val="6F6FB3EB"/>
    <w:rsid w:val="6F784160"/>
    <w:rsid w:val="6F8731EA"/>
    <w:rsid w:val="6F8927C9"/>
    <w:rsid w:val="6FCE010D"/>
    <w:rsid w:val="6FCE6052"/>
    <w:rsid w:val="6FD57C00"/>
    <w:rsid w:val="6FDF43CA"/>
    <w:rsid w:val="6FEFFFD8"/>
    <w:rsid w:val="6FF5CC65"/>
    <w:rsid w:val="6FFB47EC"/>
    <w:rsid w:val="6FFE8C27"/>
    <w:rsid w:val="6FFF034A"/>
    <w:rsid w:val="70496804"/>
    <w:rsid w:val="712A28F1"/>
    <w:rsid w:val="715C0E4B"/>
    <w:rsid w:val="72233669"/>
    <w:rsid w:val="72734D90"/>
    <w:rsid w:val="7332FE48"/>
    <w:rsid w:val="7372C887"/>
    <w:rsid w:val="737B7948"/>
    <w:rsid w:val="737F1823"/>
    <w:rsid w:val="7397568E"/>
    <w:rsid w:val="73AB61DA"/>
    <w:rsid w:val="73AD73D5"/>
    <w:rsid w:val="73B6EB34"/>
    <w:rsid w:val="73FA497D"/>
    <w:rsid w:val="744731E5"/>
    <w:rsid w:val="74527205"/>
    <w:rsid w:val="74BBD01D"/>
    <w:rsid w:val="74ED5379"/>
    <w:rsid w:val="74FC2395"/>
    <w:rsid w:val="751F1206"/>
    <w:rsid w:val="759D1141"/>
    <w:rsid w:val="75C9E13C"/>
    <w:rsid w:val="75D3DD2B"/>
    <w:rsid w:val="75DEEEC2"/>
    <w:rsid w:val="75F9E9A1"/>
    <w:rsid w:val="76AF7522"/>
    <w:rsid w:val="76E3355F"/>
    <w:rsid w:val="76F9D800"/>
    <w:rsid w:val="76FF5125"/>
    <w:rsid w:val="776F6FFA"/>
    <w:rsid w:val="77778032"/>
    <w:rsid w:val="778769C8"/>
    <w:rsid w:val="77AF9056"/>
    <w:rsid w:val="77DC22F5"/>
    <w:rsid w:val="77EFF455"/>
    <w:rsid w:val="77F990FE"/>
    <w:rsid w:val="77F9B537"/>
    <w:rsid w:val="78F6EC98"/>
    <w:rsid w:val="79086DAD"/>
    <w:rsid w:val="7996D45D"/>
    <w:rsid w:val="79974F09"/>
    <w:rsid w:val="79BB7360"/>
    <w:rsid w:val="79D7FD79"/>
    <w:rsid w:val="79EE5BA4"/>
    <w:rsid w:val="7A894339"/>
    <w:rsid w:val="7AFF7572"/>
    <w:rsid w:val="7B6C7DFB"/>
    <w:rsid w:val="7B7D0495"/>
    <w:rsid w:val="7BBBC9A6"/>
    <w:rsid w:val="7BBFBED0"/>
    <w:rsid w:val="7BC3E394"/>
    <w:rsid w:val="7BD472ED"/>
    <w:rsid w:val="7BEF7B88"/>
    <w:rsid w:val="7BF5E716"/>
    <w:rsid w:val="7BF78872"/>
    <w:rsid w:val="7BFE99FF"/>
    <w:rsid w:val="7C1F3737"/>
    <w:rsid w:val="7C3F63E2"/>
    <w:rsid w:val="7CBB6918"/>
    <w:rsid w:val="7CBFC87B"/>
    <w:rsid w:val="7CD77977"/>
    <w:rsid w:val="7CFE0F48"/>
    <w:rsid w:val="7D2FC988"/>
    <w:rsid w:val="7D7ADEFA"/>
    <w:rsid w:val="7D7EC23E"/>
    <w:rsid w:val="7D7F48AB"/>
    <w:rsid w:val="7D916348"/>
    <w:rsid w:val="7DCF67C9"/>
    <w:rsid w:val="7DE60725"/>
    <w:rsid w:val="7DEF0D8E"/>
    <w:rsid w:val="7DFF4122"/>
    <w:rsid w:val="7E6F4183"/>
    <w:rsid w:val="7E7CF4BE"/>
    <w:rsid w:val="7E7F413B"/>
    <w:rsid w:val="7E8ADEBF"/>
    <w:rsid w:val="7E9F35B1"/>
    <w:rsid w:val="7EEB5DAC"/>
    <w:rsid w:val="7EEDC62D"/>
    <w:rsid w:val="7EEF11D3"/>
    <w:rsid w:val="7EEFEC69"/>
    <w:rsid w:val="7EFDF5CB"/>
    <w:rsid w:val="7EFFE33F"/>
    <w:rsid w:val="7EFFE988"/>
    <w:rsid w:val="7F0971A6"/>
    <w:rsid w:val="7F3F679B"/>
    <w:rsid w:val="7F3FEFC2"/>
    <w:rsid w:val="7F4FC4EF"/>
    <w:rsid w:val="7F5980AA"/>
    <w:rsid w:val="7F5E4D54"/>
    <w:rsid w:val="7F6974B9"/>
    <w:rsid w:val="7F6E0135"/>
    <w:rsid w:val="7F6F4CA0"/>
    <w:rsid w:val="7F734C98"/>
    <w:rsid w:val="7F7BDD43"/>
    <w:rsid w:val="7F7F3B3C"/>
    <w:rsid w:val="7F98BF61"/>
    <w:rsid w:val="7F99B77E"/>
    <w:rsid w:val="7FA30C79"/>
    <w:rsid w:val="7FAF8ABF"/>
    <w:rsid w:val="7FB7269E"/>
    <w:rsid w:val="7FC96657"/>
    <w:rsid w:val="7FDA9588"/>
    <w:rsid w:val="7FDF220F"/>
    <w:rsid w:val="7FDF57C8"/>
    <w:rsid w:val="7FE26AF0"/>
    <w:rsid w:val="7FE6BE39"/>
    <w:rsid w:val="7FE77680"/>
    <w:rsid w:val="7FE7D13F"/>
    <w:rsid w:val="7FEDC5F7"/>
    <w:rsid w:val="7FEDD9DE"/>
    <w:rsid w:val="7FEF2260"/>
    <w:rsid w:val="7FF5890D"/>
    <w:rsid w:val="7FF66DD0"/>
    <w:rsid w:val="7FF770F9"/>
    <w:rsid w:val="7FF79E53"/>
    <w:rsid w:val="7FF7F5FA"/>
    <w:rsid w:val="7FF93490"/>
    <w:rsid w:val="7FFDE631"/>
    <w:rsid w:val="7FFF5593"/>
    <w:rsid w:val="7FFF61AD"/>
    <w:rsid w:val="81BF37C8"/>
    <w:rsid w:val="85FF9DD7"/>
    <w:rsid w:val="8BAF18DD"/>
    <w:rsid w:val="927D5AC8"/>
    <w:rsid w:val="92A13337"/>
    <w:rsid w:val="93D7BB17"/>
    <w:rsid w:val="95FD27F4"/>
    <w:rsid w:val="99FF2014"/>
    <w:rsid w:val="9DDB6402"/>
    <w:rsid w:val="9DDF0729"/>
    <w:rsid w:val="9DFB09D8"/>
    <w:rsid w:val="9F71FA40"/>
    <w:rsid w:val="A6DD0D7F"/>
    <w:rsid w:val="ABCF3269"/>
    <w:rsid w:val="ADC6F725"/>
    <w:rsid w:val="ADDFA156"/>
    <w:rsid w:val="AF7FDE42"/>
    <w:rsid w:val="AFCADE48"/>
    <w:rsid w:val="B2B14E2F"/>
    <w:rsid w:val="B5F7D27B"/>
    <w:rsid w:val="B5FD41B2"/>
    <w:rsid w:val="B7CF06AB"/>
    <w:rsid w:val="B7CFA926"/>
    <w:rsid w:val="B7F8786B"/>
    <w:rsid w:val="B93FA68A"/>
    <w:rsid w:val="B9B6738B"/>
    <w:rsid w:val="BABB6AA1"/>
    <w:rsid w:val="BAFFDFD8"/>
    <w:rsid w:val="BB2F4199"/>
    <w:rsid w:val="BCBDB56F"/>
    <w:rsid w:val="BD079C78"/>
    <w:rsid w:val="BD733540"/>
    <w:rsid w:val="BD97A522"/>
    <w:rsid w:val="BDBEA359"/>
    <w:rsid w:val="BDC93353"/>
    <w:rsid w:val="BDDBA157"/>
    <w:rsid w:val="BDF30458"/>
    <w:rsid w:val="BDFF180E"/>
    <w:rsid w:val="BE1D554D"/>
    <w:rsid w:val="BE1F78E2"/>
    <w:rsid w:val="BF1D486F"/>
    <w:rsid w:val="BF3735D5"/>
    <w:rsid w:val="BF7BDDD9"/>
    <w:rsid w:val="BF7D24E4"/>
    <w:rsid w:val="BF7EF6B7"/>
    <w:rsid w:val="BF7F09AC"/>
    <w:rsid w:val="BFA7970C"/>
    <w:rsid w:val="BFD475C3"/>
    <w:rsid w:val="BFDE5EA6"/>
    <w:rsid w:val="BFFF7A74"/>
    <w:rsid w:val="C35FD0A8"/>
    <w:rsid w:val="C68775EF"/>
    <w:rsid w:val="C97F25F2"/>
    <w:rsid w:val="CBF79268"/>
    <w:rsid w:val="CCF37529"/>
    <w:rsid w:val="CF6FC6F3"/>
    <w:rsid w:val="CF7F0904"/>
    <w:rsid w:val="CFD3D3D7"/>
    <w:rsid w:val="CFDF1009"/>
    <w:rsid w:val="D3FF98CC"/>
    <w:rsid w:val="D733B0AC"/>
    <w:rsid w:val="D77B7177"/>
    <w:rsid w:val="D7D7B16A"/>
    <w:rsid w:val="D7DACB33"/>
    <w:rsid w:val="D7EF82D0"/>
    <w:rsid w:val="D7FF7428"/>
    <w:rsid w:val="D8D6DB89"/>
    <w:rsid w:val="D938B8A7"/>
    <w:rsid w:val="DAE71E67"/>
    <w:rsid w:val="DB6C5680"/>
    <w:rsid w:val="DB6F4CAB"/>
    <w:rsid w:val="DB775D56"/>
    <w:rsid w:val="DB777682"/>
    <w:rsid w:val="DBDD1FE1"/>
    <w:rsid w:val="DBEECBEC"/>
    <w:rsid w:val="DD1FB521"/>
    <w:rsid w:val="DDBD4A99"/>
    <w:rsid w:val="DDDC506E"/>
    <w:rsid w:val="DDEFC6C8"/>
    <w:rsid w:val="DE6E6F53"/>
    <w:rsid w:val="DEFBFEAE"/>
    <w:rsid w:val="DEFE79CD"/>
    <w:rsid w:val="DF1F3B80"/>
    <w:rsid w:val="DF3D60A0"/>
    <w:rsid w:val="DF6F9789"/>
    <w:rsid w:val="DFBFBE54"/>
    <w:rsid w:val="DFDB4EBE"/>
    <w:rsid w:val="DFDDC58A"/>
    <w:rsid w:val="DFF9176D"/>
    <w:rsid w:val="DFFA0F0C"/>
    <w:rsid w:val="DFFFA9E8"/>
    <w:rsid w:val="E2FF70A4"/>
    <w:rsid w:val="E4FF6176"/>
    <w:rsid w:val="E5F4E9DC"/>
    <w:rsid w:val="E5FE2EFB"/>
    <w:rsid w:val="E70FE695"/>
    <w:rsid w:val="E73F93D0"/>
    <w:rsid w:val="E78BC3D4"/>
    <w:rsid w:val="E79F5C12"/>
    <w:rsid w:val="E7EB565A"/>
    <w:rsid w:val="E7EDF319"/>
    <w:rsid w:val="E9BF3323"/>
    <w:rsid w:val="EB5F5B6F"/>
    <w:rsid w:val="EB7D12B0"/>
    <w:rsid w:val="EBB02CAA"/>
    <w:rsid w:val="EBBF8D1F"/>
    <w:rsid w:val="EBDF2300"/>
    <w:rsid w:val="ECFED1BC"/>
    <w:rsid w:val="ED1D69BB"/>
    <w:rsid w:val="ED7FC59B"/>
    <w:rsid w:val="ED7FD312"/>
    <w:rsid w:val="EDCF057B"/>
    <w:rsid w:val="EEB23534"/>
    <w:rsid w:val="EEF3EEE9"/>
    <w:rsid w:val="EEFB6A10"/>
    <w:rsid w:val="EF53993F"/>
    <w:rsid w:val="EF5F9116"/>
    <w:rsid w:val="EF6BF6EF"/>
    <w:rsid w:val="EF6FD633"/>
    <w:rsid w:val="EFBFB2F4"/>
    <w:rsid w:val="EFBFC851"/>
    <w:rsid w:val="EFBFFA21"/>
    <w:rsid w:val="EFC7EEE4"/>
    <w:rsid w:val="EFEF7772"/>
    <w:rsid w:val="EFFFCD8E"/>
    <w:rsid w:val="F19F4C8A"/>
    <w:rsid w:val="F26DE1BD"/>
    <w:rsid w:val="F2BEBCB8"/>
    <w:rsid w:val="F36FB518"/>
    <w:rsid w:val="F3714895"/>
    <w:rsid w:val="F3DE1A04"/>
    <w:rsid w:val="F3E3C05B"/>
    <w:rsid w:val="F3E7DFEC"/>
    <w:rsid w:val="F3F722E5"/>
    <w:rsid w:val="F57F277A"/>
    <w:rsid w:val="F5BFFEC4"/>
    <w:rsid w:val="F67D181B"/>
    <w:rsid w:val="F6EF261E"/>
    <w:rsid w:val="F6FD906E"/>
    <w:rsid w:val="F737F5F4"/>
    <w:rsid w:val="F797ADAA"/>
    <w:rsid w:val="F7BF4D34"/>
    <w:rsid w:val="F7E741D0"/>
    <w:rsid w:val="F7F6BDF3"/>
    <w:rsid w:val="F7F742DC"/>
    <w:rsid w:val="F7F7E56D"/>
    <w:rsid w:val="F7FD1FE2"/>
    <w:rsid w:val="F7FEA447"/>
    <w:rsid w:val="F8F3DB88"/>
    <w:rsid w:val="F9AB49BC"/>
    <w:rsid w:val="F9E6A5BF"/>
    <w:rsid w:val="FA5F1E70"/>
    <w:rsid w:val="FA5FC2DE"/>
    <w:rsid w:val="FA5FDB97"/>
    <w:rsid w:val="FAA8BB78"/>
    <w:rsid w:val="FB74F0FA"/>
    <w:rsid w:val="FB7F486A"/>
    <w:rsid w:val="FBBBD317"/>
    <w:rsid w:val="FBF7F3E6"/>
    <w:rsid w:val="FBFBFF3B"/>
    <w:rsid w:val="FBFF5B2E"/>
    <w:rsid w:val="FCE92B18"/>
    <w:rsid w:val="FD39148B"/>
    <w:rsid w:val="FD3BD561"/>
    <w:rsid w:val="FD7DABAC"/>
    <w:rsid w:val="FD7FFE2B"/>
    <w:rsid w:val="FDBB5B65"/>
    <w:rsid w:val="FDBBDDBF"/>
    <w:rsid w:val="FDDFC30C"/>
    <w:rsid w:val="FDEE196B"/>
    <w:rsid w:val="FDFE6575"/>
    <w:rsid w:val="FE7E850A"/>
    <w:rsid w:val="FED792C5"/>
    <w:rsid w:val="FEDFDDC2"/>
    <w:rsid w:val="FEEA3377"/>
    <w:rsid w:val="FEED32F6"/>
    <w:rsid w:val="FEF32D91"/>
    <w:rsid w:val="FEF62967"/>
    <w:rsid w:val="FEF781DD"/>
    <w:rsid w:val="FEFBE0F7"/>
    <w:rsid w:val="FEFEAEF4"/>
    <w:rsid w:val="FF023D14"/>
    <w:rsid w:val="FF1F507A"/>
    <w:rsid w:val="FF2F743A"/>
    <w:rsid w:val="FF3BB997"/>
    <w:rsid w:val="FF3EA46D"/>
    <w:rsid w:val="FF3F7E3F"/>
    <w:rsid w:val="FF3FFB7A"/>
    <w:rsid w:val="FF5F5CA5"/>
    <w:rsid w:val="FF5FC1AA"/>
    <w:rsid w:val="FF6FBA6B"/>
    <w:rsid w:val="FF725DAB"/>
    <w:rsid w:val="FF7B2F9B"/>
    <w:rsid w:val="FF7E4B90"/>
    <w:rsid w:val="FF7F451B"/>
    <w:rsid w:val="FFAADB52"/>
    <w:rsid w:val="FFB32C46"/>
    <w:rsid w:val="FFB7C796"/>
    <w:rsid w:val="FFBA12D7"/>
    <w:rsid w:val="FFBFCF19"/>
    <w:rsid w:val="FFC95489"/>
    <w:rsid w:val="FFD7CC5E"/>
    <w:rsid w:val="FFDF9183"/>
    <w:rsid w:val="FFDFFAEE"/>
    <w:rsid w:val="FFF9B57B"/>
    <w:rsid w:val="FFFA4720"/>
    <w:rsid w:val="FFFAA373"/>
    <w:rsid w:val="FFFBD173"/>
    <w:rsid w:val="FFFD61D9"/>
    <w:rsid w:val="FFFD8F59"/>
    <w:rsid w:val="FFFF24C2"/>
    <w:rsid w:val="FFFF2BB1"/>
    <w:rsid w:val="FFFF957E"/>
    <w:rsid w:val="FFFFB04D"/>
    <w:rsid w:val="FFFFED40"/>
    <w:rsid w:val="FFFFF63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next w:val="1"/>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2"/>
    <w:qFormat/>
    <w:uiPriority w:val="9"/>
    <w:rPr>
      <w:rFonts w:ascii="Times New Roman" w:hAnsi="Times New Roman"/>
      <w:b/>
      <w:bCs/>
      <w:kern w:val="44"/>
      <w:sz w:val="44"/>
      <w:szCs w:val="44"/>
    </w:rPr>
  </w:style>
  <w:style w:type="character" w:customStyle="1" w:styleId="29">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4"/>
    <w:qFormat/>
    <w:uiPriority w:val="9"/>
    <w:rPr>
      <w:rFonts w:ascii="Times New Roman" w:hAnsi="Times New Roman"/>
      <w:b/>
      <w:bCs/>
      <w:kern w:val="2"/>
      <w:sz w:val="32"/>
      <w:szCs w:val="32"/>
    </w:rPr>
  </w:style>
  <w:style w:type="paragraph" w:customStyle="1" w:styleId="33">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6.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5&#24180;&#20915;&#31639;&#20844;&#24320;/&#22270;&#34920;&#65288;&#26412;&#32423;&#652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4&#24180;&#20915;&#31639;&#20844;&#24320;/&#24066;&#23616;&#36164;&#26009;/&#22270;&#34920;&#65288;&#26412;&#32423;&#6528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4&#24180;&#20915;&#31639;&#20844;&#24320;/&#24066;&#23616;&#36164;&#26009;/&#22270;&#34920;&#65288;&#26412;&#32423;&#6528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4&#24180;&#20915;&#31639;&#20844;&#24320;/&#24066;&#23616;&#36164;&#26009;/&#22270;&#34920;&#65288;&#26412;&#32423;&#6528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4&#24180;&#20915;&#31639;&#20844;&#24320;/&#24066;&#23616;&#36164;&#26009;/&#22270;&#34920;&#65288;&#26412;&#32423;&#6528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edia/user/d121a682-c441-4635-a409-18dbc9717ea9/E&#30424;/&#36130;&#21153;/&#20449;&#24687;&#20844;&#24320;/2025&#24180;&#20915;&#31639;&#20844;&#24320;/&#22270;&#34920;&#65288;&#26412;&#32423;&#6528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400766283525"/>
          <c:y val="0.0618128512093819"/>
          <c:w val="0.820285057471264"/>
          <c:h val="0.762365013437576"/>
        </c:manualLayout>
      </c:layout>
      <c:barChart>
        <c:barDir val="col"/>
        <c:grouping val="clustered"/>
        <c:varyColors val="0"/>
        <c:ser>
          <c:idx val="0"/>
          <c:order val="0"/>
          <c:invertIfNegative val="0"/>
          <c:dLbls>
            <c:delete val="1"/>
          </c:dLbls>
          <c:cat>
            <c:numRef>
              <c:f>'[图表（本级）.xls]市本级'!$C$1:$D$1</c:f>
              <c:numCache>
                <c:formatCode>General</c:formatCode>
                <c:ptCount val="2"/>
                <c:pt idx="0">
                  <c:v>2024</c:v>
                </c:pt>
                <c:pt idx="1">
                  <c:v>2025</c:v>
                </c:pt>
              </c:numCache>
            </c:numRef>
          </c:cat>
          <c:val>
            <c:numRef>
              <c:f>'[图表（本级）.xls]市本级'!$C$2:$D$2</c:f>
              <c:numCache>
                <c:formatCode>General</c:formatCode>
                <c:ptCount val="2"/>
                <c:pt idx="0">
                  <c:v>5704.05</c:v>
                </c:pt>
                <c:pt idx="1">
                  <c:v>3950.57</c:v>
                </c:pt>
              </c:numCache>
            </c:numRef>
          </c:val>
        </c:ser>
        <c:ser>
          <c:idx val="1"/>
          <c:order val="1"/>
          <c:spPr>
            <a:solidFill>
              <a:srgbClr val="993366"/>
            </a:solidFill>
            <a:ln w="12700">
              <a:solidFill>
                <a:srgbClr val="000000">
                  <a:alpha val="100000"/>
                </a:srgbClr>
              </a:solidFill>
              <a:prstDash val="solid"/>
            </a:ln>
            <a:effectLst/>
          </c:spPr>
          <c:invertIfNegative val="0"/>
          <c:dLbls>
            <c:delete val="1"/>
          </c:dLbls>
          <c:cat>
            <c:numRef>
              <c:f>'[图表（本级）.xls]市本级'!$C$1:$D$1</c:f>
              <c:numCache>
                <c:formatCode>General</c:formatCode>
                <c:ptCount val="2"/>
                <c:pt idx="0">
                  <c:v>2024</c:v>
                </c:pt>
                <c:pt idx="1">
                  <c:v>2025</c:v>
                </c:pt>
              </c:numCache>
            </c:numRef>
          </c:cat>
          <c:val>
            <c:numRef>
              <c:f>'[图表（本级）.xls]市本级'!$C$3:$D$3</c:f>
              <c:numCache>
                <c:formatCode>General</c:formatCode>
                <c:ptCount val="2"/>
              </c:numCache>
            </c:numRef>
          </c:val>
        </c:ser>
        <c:dLbls>
          <c:showLegendKey val="0"/>
          <c:showVal val="0"/>
          <c:showCatName val="0"/>
          <c:showSerName val="0"/>
          <c:showPercent val="0"/>
          <c:showBubbleSize val="0"/>
        </c:dLbls>
        <c:gapWidth val="150"/>
        <c:overlap val="0"/>
        <c:axId val="789878789"/>
        <c:axId val="381456125"/>
      </c:barChart>
      <c:catAx>
        <c:axId val="789878789"/>
        <c:scaling>
          <c:orientation val="minMax"/>
        </c:scaling>
        <c:delete val="0"/>
        <c:axPos val="b"/>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46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81456125"/>
        <c:crosses val="autoZero"/>
        <c:auto val="1"/>
        <c:lblAlgn val="ctr"/>
        <c:lblOffset val="100"/>
        <c:noMultiLvlLbl val="0"/>
      </c:catAx>
      <c:valAx>
        <c:axId val="381456125"/>
        <c:scaling>
          <c:orientation val="minMax"/>
          <c:max val="6000"/>
          <c:min val="0"/>
        </c:scaling>
        <c:delete val="0"/>
        <c:axPos val="l"/>
        <c:majorGridlines>
          <c:spPr>
            <a:ln w="3175" cap="flat" cmpd="sng" algn="ctr">
              <a:solidFill>
                <a:srgbClr val="000000">
                  <a:alpha val="100000"/>
                </a:srgbClr>
              </a:solidFill>
              <a:prstDash val="solid"/>
              <a:round/>
            </a:ln>
            <a:effectLst/>
          </c:spPr>
        </c:majorGridlines>
        <c:numFmt formatCode="General" sourceLinked="1"/>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46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789878789"/>
        <c:crosses val="autoZero"/>
        <c:crossBetween val="between"/>
        <c:minorUnit val="200"/>
      </c:valAx>
    </c:plotArea>
    <c:plotVisOnly val="1"/>
    <c:dispBlanksAs val="gap"/>
    <c:showDLblsOverMax val="0"/>
    <c:extLst>
      <c:ext uri="{0b15fc19-7d7d-44ad-8c2d-2c3a37ce22c3}">
        <chartProps xmlns="https://web.wps.cn/et/2018/main" chartId="{9d3f32eb-9efd-43c7-8330-e7ebf3812e8a}"/>
      </c:ext>
    </c:extLst>
  </c:chart>
  <c:spPr>
    <a:solidFill>
      <a:srgbClr val="FFFFFF"/>
    </a:solidFill>
    <a:ln w="3175" cap="flat" cmpd="sng" algn="ctr">
      <a:solidFill>
        <a:srgbClr val="000000">
          <a:alpha val="100000"/>
        </a:srgbClr>
      </a:solidFill>
      <a:prstDash val="solid"/>
      <a:round/>
    </a:ln>
    <a:effectLst/>
  </c:spPr>
  <c:txPr>
    <a:bodyPr rot="0" wrap="square" anchor="ctr" anchorCtr="1"/>
    <a:lstStyle/>
    <a:p>
      <a:pPr>
        <a:defRPr lang="zh-CN" sz="146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explosion val="0"/>
          <c:dPt>
            <c:idx val="0"/>
            <c:bubble3D val="0"/>
            <c:explosion val="0"/>
          </c:dPt>
          <c:dPt>
            <c:idx val="1"/>
            <c:bubble3D val="0"/>
            <c:explosion val="0"/>
            <c:spPr>
              <a:solidFill>
                <a:srgbClr val="00B0F0"/>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'[图表（本级）.xls]市本级'!$C$40:$C$41</c:f>
              <c:strCache>
                <c:ptCount val="2"/>
                <c:pt idx="0">
                  <c:v>基本支出</c:v>
                </c:pt>
                <c:pt idx="1">
                  <c:v>项目支出</c:v>
                </c:pt>
              </c:strCache>
            </c:strRef>
          </c:cat>
          <c:val>
            <c:numRef>
              <c:f>'[图表（本级）.xls]市本级'!$D$40:$D$41</c:f>
              <c:numCache>
                <c:formatCode>General</c:formatCode>
                <c:ptCount val="2"/>
                <c:pt idx="0">
                  <c:v>2351.4</c:v>
                </c:pt>
                <c:pt idx="1">
                  <c:v>1599.17</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716cbaf7-1eb0-44da-98c7-5ddd3f51d8c8}"/>
      </c:ext>
    </c:extLst>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634920634921"/>
          <c:y val="0.00675675675675676"/>
          <c:w val="0.875224292615597"/>
          <c:h val="0.832432432432432"/>
        </c:manualLayout>
      </c:layout>
      <c:barChart>
        <c:barDir val="col"/>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'[图表（本级）.xls]市本级'!$C$57:$D$57</c:f>
              <c:strCache>
                <c:ptCount val="2"/>
                <c:pt idx="0">
                  <c:v>2024年</c:v>
                </c:pt>
                <c:pt idx="1">
                  <c:v>2025年</c:v>
                </c:pt>
              </c:strCache>
            </c:strRef>
          </c:cat>
          <c:val>
            <c:numRef>
              <c:f>'[图表（本级）.xls]市本级'!$C$58:$D$58</c:f>
              <c:numCache>
                <c:formatCode>General</c:formatCode>
                <c:ptCount val="2"/>
                <c:pt idx="0">
                  <c:v>5704.05</c:v>
                </c:pt>
                <c:pt idx="1">
                  <c:v>3950.57</c:v>
                </c:pt>
              </c:numCache>
            </c:numRef>
          </c:val>
        </c:ser>
        <c:dLbls>
          <c:showLegendKey val="0"/>
          <c:showVal val="0"/>
          <c:showCatName val="0"/>
          <c:showSerName val="0"/>
          <c:showPercent val="0"/>
          <c:showBubbleSize val="0"/>
        </c:dLbls>
        <c:gapWidth val="150"/>
        <c:overlap val="0"/>
        <c:axId val="246519640"/>
        <c:axId val="853390695"/>
      </c:barChart>
      <c:catAx>
        <c:axId val="2465196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3390695"/>
        <c:crosses val="autoZero"/>
        <c:auto val="1"/>
        <c:lblAlgn val="ctr"/>
        <c:lblOffset val="100"/>
        <c:noMultiLvlLbl val="0"/>
      </c:catAx>
      <c:valAx>
        <c:axId val="853390695"/>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6519640"/>
        <c:crosses val="autoZero"/>
        <c:crossBetween val="between"/>
      </c:valAx>
    </c:plotArea>
    <c:plotVisOnly val="1"/>
    <c:dispBlanksAs val="gap"/>
    <c:showDLblsOverMax val="0"/>
    <c:extLst>
      <c:ext uri="{0b15fc19-7d7d-44ad-8c2d-2c3a37ce22c3}">
        <chartProps xmlns="https://web.wps.cn/et/2018/main" chartId="{6f703328-2564-4580-9527-1c969b56b911}"/>
      </c:ext>
    </c:extLst>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75307408237"/>
          <c:y val="0.0836765992486234"/>
          <c:w val="0.83824692591763"/>
          <c:h val="0.68072924707941"/>
        </c:manualLayout>
      </c:layout>
      <c:barChart>
        <c:barDir val="col"/>
        <c:grouping val="clustered"/>
        <c:varyColors val="0"/>
        <c:ser>
          <c:idx val="0"/>
          <c:order val="0"/>
          <c:spPr>
            <a:solidFill>
              <a:srgbClr val="9999FF"/>
            </a:solidFill>
            <a:ln w="12700">
              <a:solidFill>
                <a:srgbClr val="000000">
                  <a:alpha val="100000"/>
                </a:srgbClr>
              </a:solidFill>
              <a:prstDash val="solid"/>
            </a:ln>
            <a:effectLst/>
          </c:spPr>
          <c:invertIfNegative val="0"/>
          <c:dLbls>
            <c:delete val="1"/>
          </c:dLbls>
          <c:cat>
            <c:strRef>
              <c:f>'[图表（本级）.xls]市本级'!$C$75:$D$75</c:f>
              <c:strCache>
                <c:ptCount val="2"/>
                <c:pt idx="0">
                  <c:v>2024年</c:v>
                </c:pt>
                <c:pt idx="1">
                  <c:v>2025年</c:v>
                </c:pt>
              </c:strCache>
            </c:strRef>
          </c:cat>
          <c:val>
            <c:numRef>
              <c:f>'[图表（本级）.xls]市本级'!$C$76:$D$76</c:f>
              <c:numCache>
                <c:formatCode>General</c:formatCode>
                <c:ptCount val="2"/>
                <c:pt idx="0">
                  <c:v>4869.28</c:v>
                </c:pt>
                <c:pt idx="1">
                  <c:v>3950.57</c:v>
                </c:pt>
              </c:numCache>
            </c:numRef>
          </c:val>
        </c:ser>
        <c:dLbls>
          <c:showLegendKey val="0"/>
          <c:showVal val="0"/>
          <c:showCatName val="0"/>
          <c:showSerName val="0"/>
          <c:showPercent val="0"/>
          <c:showBubbleSize val="0"/>
        </c:dLbls>
        <c:gapWidth val="150"/>
        <c:overlap val="0"/>
        <c:axId val="346384685"/>
        <c:axId val="559050743"/>
      </c:barChart>
      <c:catAx>
        <c:axId val="346384685"/>
        <c:scaling>
          <c:orientation val="minMax"/>
        </c:scaling>
        <c:delete val="0"/>
        <c:axPos val="b"/>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59050743"/>
        <c:crosses val="autoZero"/>
        <c:auto val="1"/>
        <c:lblAlgn val="ctr"/>
        <c:lblOffset val="100"/>
        <c:noMultiLvlLbl val="0"/>
      </c:catAx>
      <c:valAx>
        <c:axId val="559050743"/>
        <c:scaling>
          <c:orientation val="minMax"/>
          <c:max val="5000"/>
          <c:min val="0"/>
        </c:scaling>
        <c:delete val="0"/>
        <c:axPos val="l"/>
        <c:majorGridlines>
          <c:spPr>
            <a:ln w="3175" cap="flat" cmpd="sng" algn="ctr">
              <a:solidFill>
                <a:srgbClr val="000000">
                  <a:alpha val="100000"/>
                </a:srgbClr>
              </a:solidFill>
              <a:prstDash val="solid"/>
              <a:round/>
            </a:ln>
            <a:effectLst/>
          </c:spPr>
        </c:majorGridlines>
        <c:numFmt formatCode="General" sourceLinked="1"/>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46384685"/>
        <c:crosses val="autoZero"/>
        <c:crossBetween val="between"/>
        <c:majorUnit val="1000"/>
      </c:valAx>
      <c:spPr>
        <a:solidFill>
          <a:srgbClr val="C0C0C0">
            <a:alpha val="100000"/>
          </a:srgbClr>
        </a:solidFill>
        <a:ln w="3175">
          <a:solidFill>
            <a:srgbClr val="808080">
              <a:alpha val="100000"/>
            </a:srgbClr>
          </a:solidFill>
          <a:prstDash val="solid"/>
        </a:ln>
        <a:effectLst/>
      </c:spPr>
    </c:plotArea>
    <c:plotVisOnly val="1"/>
    <c:dispBlanksAs val="gap"/>
    <c:showDLblsOverMax val="0"/>
    <c:extLst>
      <c:ext uri="{0b15fc19-7d7d-44ad-8c2d-2c3a37ce22c3}">
        <chartProps xmlns="https://web.wps.cn/et/2018/main" chartId="{8b735288-a2f7-4733-870d-53ea7e6702cb}"/>
      </c:ext>
    </c:extLst>
  </c:chart>
  <c:spPr>
    <a:solidFill>
      <a:srgbClr val="FFFFFF"/>
    </a:solidFill>
    <a:ln w="3175" cap="flat" cmpd="sng" algn="ctr">
      <a:solidFill>
        <a:srgbClr val="000000">
          <a:alpha val="100000"/>
        </a:srgbClr>
      </a:solidFill>
      <a:prstDash val="solid"/>
      <a:round/>
    </a:ln>
    <a:effectLst/>
  </c:spPr>
  <c:txPr>
    <a:bodyPr rot="0" wrap="square" anchor="ctr" anchorCtr="1"/>
    <a:lstStyle/>
    <a:p>
      <a:pPr>
        <a:defRPr lang="zh-CN"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dPt>
          <c:dPt>
            <c:idx val="3"/>
            <c:bubble3D val="0"/>
            <c:explosion val="0"/>
            <c:spPr>
              <a:solidFill>
                <a:srgbClr val="00B0F0"/>
              </a:solidFill>
            </c:spPr>
          </c:dPt>
          <c:dPt>
            <c:idx val="4"/>
            <c:bubble3D val="0"/>
            <c:explosion val="0"/>
          </c:dPt>
          <c:dLbls>
            <c:dLbl>
              <c:idx val="0"/>
              <c:layout>
                <c:manualLayout>
                  <c:x val="0.00284292821606254"/>
                  <c:y val="-0.04687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68585643212509"/>
                  <c:y val="0.02604166666666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'[图表（本级）.xls]市本级'!$B$96:$B$100</c:f>
              <c:strCache>
                <c:ptCount val="5"/>
                <c:pt idx="0">
                  <c:v>一般公共服务支出</c:v>
                </c:pt>
                <c:pt idx="1">
                  <c:v>社会保障和就业支出</c:v>
                </c:pt>
                <c:pt idx="2">
                  <c:v>卫生健康支出</c:v>
                </c:pt>
                <c:pt idx="3">
                  <c:v>节能环保支出</c:v>
                </c:pt>
                <c:pt idx="4">
                  <c:v>住房保障支出</c:v>
                </c:pt>
              </c:strCache>
            </c:strRef>
          </c:cat>
          <c:val>
            <c:numRef>
              <c:f>'[图表（本级）.xls]市本级'!$C$96:$C$100</c:f>
              <c:numCache>
                <c:formatCode>General</c:formatCode>
                <c:ptCount val="5"/>
                <c:pt idx="0">
                  <c:v>1.21</c:v>
                </c:pt>
                <c:pt idx="1">
                  <c:v>503.25</c:v>
                </c:pt>
                <c:pt idx="2">
                  <c:v>104.61</c:v>
                </c:pt>
                <c:pt idx="3">
                  <c:v>3198.81</c:v>
                </c:pt>
                <c:pt idx="4">
                  <c:v>142.69</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43602795919167"/>
          <c:y val="0.353128690944882"/>
          <c:w val="0.23475"/>
          <c:h val="0.6517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e480df2-b7fd-492d-8f49-ec11fd6e41d2}"/>
      </c:ext>
    </c:extLst>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explosion val="0"/>
          <c:dPt>
            <c:idx val="0"/>
            <c:bubble3D val="0"/>
            <c:explosion val="0"/>
          </c:dPt>
          <c:dPt>
            <c:idx val="1"/>
            <c:bubble3D val="0"/>
            <c:explosion val="0"/>
            <c:spPr>
              <a:solidFill>
                <a:srgbClr val="00B0F0"/>
              </a:solidFill>
            </c:spPr>
          </c:dPt>
          <c:dPt>
            <c:idx val="2"/>
            <c:bubble3D val="0"/>
            <c:explosion val="0"/>
          </c:dPt>
          <c:dLbls>
            <c:dLbl>
              <c:idx val="2"/>
              <c:layout>
                <c:manualLayout>
                  <c:x val="0.0780487804878049"/>
                  <c:y val="-0.0056497175141242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'[图表（本级）.xls]市本级'!$B$113:$B$115</c:f>
              <c:strCache>
                <c:ptCount val="3"/>
                <c:pt idx="0">
                  <c:v>因公出国（境）费</c:v>
                </c:pt>
                <c:pt idx="1">
                  <c:v>公务用车购置及运行维护费</c:v>
                </c:pt>
                <c:pt idx="2">
                  <c:v>公务接待费</c:v>
                </c:pt>
              </c:strCache>
            </c:strRef>
          </c:cat>
          <c:val>
            <c:numRef>
              <c:f>'[图表（本级）.xls]市本级'!$C$113:$C$115</c:f>
              <c:numCache>
                <c:formatCode>General</c:formatCode>
                <c:ptCount val="3"/>
                <c:pt idx="0">
                  <c:v>0</c:v>
                </c:pt>
                <c:pt idx="1">
                  <c:v>73.4</c:v>
                </c:pt>
                <c:pt idx="2">
                  <c:v>1.52</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4648598879582"/>
          <c:y val="0.542055890072564"/>
          <c:w val="0.3255"/>
          <c:h val="0.4512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09d1349-d919-4c6e-ae76-0825ee2f9253}"/>
      </c:ext>
    </c:extLst>
  </c:chart>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1299</Words>
  <Characters>7410</Characters>
  <Lines>61</Lines>
  <Paragraphs>17</Paragraphs>
  <TotalTime>6</TotalTime>
  <ScaleCrop>false</ScaleCrop>
  <LinksUpToDate>false</LinksUpToDate>
  <CharactersWithSpaces>8692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2020-08-11T17:49:00Z</dcterms:created>
  <dc:creator>曹颖</dc:creator>
  <cp:lastModifiedBy>user</cp:lastModifiedBy>
  <cp:lastPrinted>2026-08-06T09:27:00Z</cp:lastPrinted>
  <dcterms:modified xsi:type="dcterms:W3CDTF">2026-09-11T09:34:07Z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400D301575C74348A5277D00A7902E06</vt:lpwstr>
  </property>
</Properties>
</file>