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48713">
      <w:pPr>
        <w:pStyle w:val="5"/>
        <w:spacing w:before="93"/>
        <w:rPr>
          <w:rFonts w:hint="eastAsia" w:ascii="Times New Roman" w:eastAsia="方正小标宋简体"/>
          <w:kern w:val="2"/>
          <w:sz w:val="72"/>
          <w:szCs w:val="72"/>
        </w:rPr>
      </w:pPr>
      <w:bookmarkStart w:id="0" w:name="_Toc15396597"/>
      <w:bookmarkStart w:id="1" w:name="_Toc15378441"/>
      <w:bookmarkStart w:id="2" w:name="_Toc15377193"/>
      <w:bookmarkStart w:id="3" w:name="_Toc15377425"/>
      <w:bookmarkStart w:id="4" w:name="_Toc15396475"/>
      <w:bookmarkStart w:id="5" w:name="_Toc15306267"/>
    </w:p>
    <w:p w14:paraId="56FE066C">
      <w:pPr>
        <w:pStyle w:val="5"/>
        <w:spacing w:before="93"/>
        <w:rPr>
          <w:rFonts w:ascii="Times New Roman" w:eastAsia="方正小标宋简体"/>
          <w:kern w:val="2"/>
          <w:sz w:val="72"/>
          <w:szCs w:val="72"/>
        </w:rPr>
      </w:pPr>
    </w:p>
    <w:p w14:paraId="0D218358">
      <w:pPr>
        <w:pStyle w:val="5"/>
        <w:spacing w:before="93"/>
        <w:rPr>
          <w:rFonts w:hint="eastAsia" w:ascii="Times New Roman" w:eastAsia="方正小标宋简体"/>
          <w:kern w:val="2"/>
          <w:sz w:val="72"/>
          <w:szCs w:val="72"/>
        </w:rPr>
      </w:pPr>
    </w:p>
    <w:p w14:paraId="48DEE020">
      <w:pPr>
        <w:pStyle w:val="5"/>
        <w:spacing w:before="93"/>
        <w:jc w:val="center"/>
        <w:rPr>
          <w:rFonts w:hint="eastAsia" w:ascii="Times New Roman" w:eastAsia="方正小标宋简体"/>
          <w:kern w:val="2"/>
          <w:sz w:val="44"/>
          <w:szCs w:val="44"/>
        </w:rPr>
      </w:pPr>
    </w:p>
    <w:p w14:paraId="1EB67559">
      <w:pPr>
        <w:pStyle w:val="5"/>
        <w:spacing w:before="93"/>
        <w:jc w:val="center"/>
        <w:rPr>
          <w:rFonts w:hint="eastAsia" w:ascii="Times New Roman" w:eastAsia="方正小标宋简体"/>
          <w:kern w:val="2"/>
          <w:sz w:val="44"/>
          <w:szCs w:val="44"/>
        </w:rPr>
      </w:pPr>
    </w:p>
    <w:p w14:paraId="3F7FF20F">
      <w:pPr>
        <w:pStyle w:val="5"/>
        <w:spacing w:before="93"/>
        <w:jc w:val="center"/>
        <w:rPr>
          <w:rFonts w:hint="eastAsia" w:ascii="方正小标宋_GBK" w:hAnsi="方正小标宋_GBK" w:eastAsia="方正小标宋_GBK" w:cs="方正小标宋_GBK"/>
          <w:color w:val="auto"/>
          <w:kern w:val="2"/>
          <w:sz w:val="44"/>
          <w:szCs w:val="44"/>
          <w:highlight w:val="none"/>
          <w:lang w:val="en-US" w:eastAsia="zh-CN" w:bidi="ar-SA"/>
        </w:rPr>
      </w:pPr>
      <w:r>
        <w:rPr>
          <w:rFonts w:hint="eastAsia" w:ascii="Times New Roman" w:eastAsia="方正小标宋简体"/>
          <w:kern w:val="2"/>
          <w:sz w:val="44"/>
          <w:szCs w:val="44"/>
        </w:rPr>
        <w:t>2025年度</w:t>
      </w:r>
      <w:r>
        <w:rPr>
          <w:rFonts w:hint="eastAsia" w:ascii="方正小标宋_GBK" w:hAnsi="方正小标宋_GBK" w:eastAsia="方正小标宋_GBK" w:cs="方正小标宋_GBK"/>
          <w:color w:val="auto"/>
          <w:kern w:val="2"/>
          <w:sz w:val="44"/>
          <w:szCs w:val="44"/>
          <w:highlight w:val="none"/>
          <w:lang w:val="en-US" w:eastAsia="zh-CN" w:bidi="ar-SA"/>
        </w:rPr>
        <w:t>攀枝花市西区生态环境监测站</w:t>
      </w:r>
    </w:p>
    <w:p w14:paraId="6DCE37E6">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单位决算公开编制说明</w:t>
      </w:r>
    </w:p>
    <w:p w14:paraId="6BB94339">
      <w:pPr>
        <w:spacing w:line="600" w:lineRule="exact"/>
        <w:jc w:val="center"/>
        <w:outlineLvl w:val="0"/>
        <w:rPr>
          <w:rFonts w:eastAsia="方正小标宋简体"/>
          <w:sz w:val="72"/>
          <w:szCs w:val="72"/>
        </w:rPr>
      </w:pPr>
    </w:p>
    <w:p w14:paraId="0F027494">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32729BCC"/>
    <w:p w14:paraId="1307894B">
      <w:pPr>
        <w:pStyle w:val="5"/>
        <w:spacing w:before="93"/>
        <w:jc w:val="center"/>
        <w:rPr>
          <w:rFonts w:ascii="Times New Roman" w:eastAsia="方正小标宋简体"/>
          <w:kern w:val="2"/>
          <w:sz w:val="44"/>
          <w:szCs w:val="44"/>
        </w:rPr>
      </w:pPr>
    </w:p>
    <w:p w14:paraId="67F264E3">
      <w:pPr>
        <w:pStyle w:val="5"/>
        <w:spacing w:before="93"/>
        <w:jc w:val="center"/>
        <w:rPr>
          <w:rFonts w:ascii="Times New Roman" w:eastAsia="方正小标宋简体"/>
          <w:kern w:val="2"/>
          <w:sz w:val="44"/>
          <w:szCs w:val="44"/>
        </w:rPr>
      </w:pPr>
    </w:p>
    <w:p w14:paraId="02553678">
      <w:pPr>
        <w:pStyle w:val="5"/>
        <w:spacing w:before="93"/>
        <w:jc w:val="center"/>
        <w:rPr>
          <w:rFonts w:ascii="Times New Roman" w:eastAsia="方正小标宋简体"/>
          <w:kern w:val="2"/>
          <w:sz w:val="44"/>
          <w:szCs w:val="44"/>
        </w:rPr>
      </w:pPr>
    </w:p>
    <w:p w14:paraId="6B703367">
      <w:pPr>
        <w:pStyle w:val="5"/>
        <w:spacing w:before="93"/>
        <w:jc w:val="center"/>
        <w:rPr>
          <w:rFonts w:ascii="Times New Roman" w:eastAsia="方正小标宋简体"/>
          <w:kern w:val="2"/>
          <w:sz w:val="44"/>
          <w:szCs w:val="44"/>
        </w:rPr>
      </w:pPr>
    </w:p>
    <w:bookmarkEnd w:id="0"/>
    <w:bookmarkEnd w:id="1"/>
    <w:bookmarkEnd w:id="2"/>
    <w:bookmarkEnd w:id="3"/>
    <w:bookmarkEnd w:id="4"/>
    <w:p w14:paraId="342367FA">
      <w:pPr>
        <w:pStyle w:val="5"/>
        <w:spacing w:before="93"/>
        <w:jc w:val="center"/>
        <w:rPr>
          <w:rFonts w:hint="eastAsia" w:ascii="Times New Roman" w:eastAsia="方正小标宋简体"/>
          <w:kern w:val="2"/>
          <w:sz w:val="44"/>
          <w:szCs w:val="44"/>
        </w:rPr>
      </w:pPr>
      <w:bookmarkStart w:id="6" w:name="_Toc15378442"/>
      <w:bookmarkStart w:id="7" w:name="_Toc15377194"/>
      <w:bookmarkStart w:id="8" w:name="_Toc15396476"/>
      <w:bookmarkStart w:id="9" w:name="_Toc15396598"/>
      <w:bookmarkStart w:id="10" w:name="_Toc15377426"/>
    </w:p>
    <w:p w14:paraId="22BAB723">
      <w:pPr>
        <w:pStyle w:val="5"/>
        <w:spacing w:before="93"/>
        <w:jc w:val="center"/>
        <w:rPr>
          <w:rFonts w:hint="eastAsia" w:ascii="Times New Roman" w:eastAsia="方正小标宋简体"/>
          <w:kern w:val="2"/>
          <w:sz w:val="44"/>
          <w:szCs w:val="44"/>
        </w:rPr>
      </w:pPr>
    </w:p>
    <w:p w14:paraId="2AEC91B8">
      <w:pPr>
        <w:pStyle w:val="5"/>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lang w:eastAsia="zh-CN"/>
        </w:rPr>
        <w:t>西区生态环境监测站</w:t>
      </w:r>
    </w:p>
    <w:p w14:paraId="50EE2746">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lang w:eastAsia="zh-CN"/>
        </w:rPr>
        <w:t>部门</w:t>
      </w:r>
      <w:r>
        <w:rPr>
          <w:rFonts w:hint="eastAsia" w:ascii="Times New Roman" w:eastAsia="方正小标宋简体"/>
          <w:kern w:val="2"/>
          <w:sz w:val="44"/>
          <w:szCs w:val="44"/>
        </w:rPr>
        <w:t>决算</w:t>
      </w:r>
      <w:bookmarkEnd w:id="6"/>
      <w:bookmarkEnd w:id="7"/>
      <w:bookmarkEnd w:id="8"/>
      <w:bookmarkEnd w:id="9"/>
      <w:bookmarkEnd w:id="10"/>
      <w:bookmarkEnd w:id="11"/>
    </w:p>
    <w:p w14:paraId="3B9EDD38">
      <w:pPr>
        <w:widowControl/>
        <w:jc w:val="center"/>
        <w:rPr>
          <w:rFonts w:hint="eastAsia" w:eastAsia="黑体"/>
          <w:sz w:val="48"/>
          <w:szCs w:val="48"/>
        </w:rPr>
      </w:pPr>
    </w:p>
    <w:p w14:paraId="7EB2159D">
      <w:pPr>
        <w:widowControl/>
        <w:jc w:val="both"/>
        <w:rPr>
          <w:rFonts w:hint="eastAsia" w:eastAsia="黑体"/>
          <w:sz w:val="48"/>
          <w:szCs w:val="48"/>
        </w:rPr>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pPr>
    </w:p>
    <w:p w14:paraId="4461D317">
      <w:pPr>
        <w:widowControl/>
        <w:jc w:val="both"/>
        <w:rPr>
          <w:rFonts w:hint="default" w:eastAsia="黑体"/>
          <w:sz w:val="48"/>
          <w:szCs w:val="48"/>
          <w:lang w:val="en-US" w:eastAsia="zh-CN"/>
        </w:rPr>
      </w:pPr>
      <w:r>
        <w:rPr>
          <w:rFonts w:hint="eastAsia" w:eastAsia="黑体"/>
          <w:sz w:val="48"/>
          <w:szCs w:val="48"/>
          <w:lang w:val="en-US" w:eastAsia="zh-CN"/>
        </w:rPr>
        <w:t xml:space="preserve">      </w:t>
      </w:r>
      <w:bookmarkStart w:id="100" w:name="_GoBack"/>
      <w:bookmarkEnd w:id="100"/>
    </w:p>
    <w:sdt>
      <w:sdtPr>
        <w:rPr>
          <w:rFonts w:hint="eastAsia" w:ascii="楷体_GB2312" w:hAnsi="楷体_GB2312" w:eastAsia="楷体_GB2312" w:cs="楷体_GB2312"/>
          <w:kern w:val="2"/>
          <w:sz w:val="44"/>
          <w:szCs w:val="44"/>
          <w:lang w:val="en-US" w:eastAsia="zh-CN" w:bidi="ar-SA"/>
        </w:rPr>
        <w:id w:val="373291533"/>
        <w:docPartObj>
          <w:docPartGallery w:val="Table of Contents"/>
          <w:docPartUnique/>
        </w:docPartObj>
      </w:sdtPr>
      <w:sdtEndPr>
        <w:rPr>
          <w:rFonts w:hint="eastAsia" w:ascii="仿宋_GB2312" w:hAnsi="仿宋_GB2312" w:eastAsia="仿宋_GB2312" w:cs="仿宋_GB2312"/>
          <w:kern w:val="2"/>
          <w:sz w:val="32"/>
          <w:szCs w:val="32"/>
          <w:lang w:val="en-US" w:eastAsia="zh-CN" w:bidi="ar-SA"/>
        </w:rPr>
      </w:sdtEndPr>
      <w:sdtContent>
        <w:p w14:paraId="4DC66A0A">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楷体_GB2312" w:hAnsi="楷体_GB2312" w:eastAsia="楷体_GB2312" w:cs="楷体_GB2312"/>
              <w:sz w:val="44"/>
              <w:szCs w:val="44"/>
            </w:rPr>
          </w:pPr>
          <w:bookmarkStart w:id="12" w:name="_Toc4509_WPSOffice_Type2"/>
          <w:bookmarkStart w:id="13" w:name="_Toc15396599"/>
          <w:bookmarkStart w:id="14" w:name="_Toc15377196"/>
          <w:r>
            <w:rPr>
              <w:rFonts w:hint="eastAsia" w:ascii="楷体_GB2312" w:hAnsi="楷体_GB2312" w:eastAsia="楷体_GB2312" w:cs="楷体_GB2312"/>
              <w:sz w:val="44"/>
              <w:szCs w:val="44"/>
            </w:rPr>
            <w:t>目录</w:t>
          </w:r>
        </w:p>
        <w:p w14:paraId="289BF624">
          <w:pPr>
            <w:pStyle w:val="12"/>
            <w:pageBreakBefore w:val="0"/>
            <w:kinsoku/>
            <w:wordWrap/>
            <w:overflowPunct/>
            <w:topLinePunct w:val="0"/>
            <w:autoSpaceDE/>
            <w:autoSpaceDN/>
            <w:bidi w:val="0"/>
            <w:spacing w:line="600" w:lineRule="exact"/>
            <w:textAlignment w:val="auto"/>
            <w:rPr>
              <w:rFonts w:hint="eastAsia"/>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11 </w:t>
          </w:r>
          <w:r>
            <w:rPr>
              <w:rFonts w:hint="eastAsia" w:ascii="Times New Roman" w:hAnsi="Times New Roman" w:eastAsia="仿宋_GB2312" w:cs="仿宋_GB2312"/>
              <w:color w:val="auto"/>
              <w:sz w:val="32"/>
              <w:szCs w:val="32"/>
              <w:highlight w:val="none"/>
            </w:rPr>
            <w:t>日</w:t>
          </w:r>
        </w:p>
        <w:p w14:paraId="3C074A71">
          <w:pPr>
            <w:pStyle w:val="36"/>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_Toc14886_WPSOffice_Level1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147477844"/>
              <w:placeholder>
                <w:docPart w:val="{ef978489-6575-4793-a265-97768c2c0aa9}"/>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第一部分  部门概况</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p>
        <w:p w14:paraId="729820CE">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_Toc4509_WPSOffice_Level2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990907579"/>
              <w:placeholder>
                <w:docPart w:val="{2e865460-646c-4b63-94ce-ebd263578de9}"/>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一、 部门职责</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p>
        <w:p w14:paraId="52959ECA">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_Toc26138_WPSOffice_Level2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318386459"/>
              <w:placeholder>
                <w:docPart w:val="{372ae5ea-1ec3-46e1-8325-6d88b5d29fb7}"/>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二、机构设置</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p>
        <w:p w14:paraId="20DB58FE">
          <w:pPr>
            <w:pStyle w:val="36"/>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_Toc4509_WPSOffice_Level1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188087759"/>
              <w:placeholder>
                <w:docPart w:val="{0291e053-ae18-4c75-b723-b0f6c99c2b7c}"/>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第二部分  2025年度部门决算情况说明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fldChar w:fldCharType="end"/>
          </w:r>
        </w:p>
        <w:p w14:paraId="60C234A8">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_Toc4055_WPSOffice_Level2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560235198"/>
              <w:placeholder>
                <w:docPart w:val="{bd952827-778f-448b-b917-2abe7490ae9f}"/>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一、收入支出决算总体情况说明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fldChar w:fldCharType="end"/>
          </w:r>
        </w:p>
        <w:p w14:paraId="3D8C8E50">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_Toc30582_WPSOffice_Level2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338990657"/>
              <w:placeholder>
                <w:docPart w:val="{5c1c9bef-8158-4aaa-8eee-95dc56a9811b}"/>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二、收入决算情况说明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fldChar w:fldCharType="end"/>
          </w:r>
        </w:p>
        <w:p w14:paraId="27898622">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_Toc17099_WPSOffice_Level2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442345467"/>
              <w:placeholder>
                <w:docPart w:val="{36f4a6ac-ae96-4e78-9dc1-7ac00e51b16f}"/>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三、支出决算情况说明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p>
        <w:p w14:paraId="5D17B79D">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_Toc2082_WPSOffice_Level2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822914324"/>
              <w:placeholder>
                <w:docPart w:val="{ee5de6b8-a5ec-407a-813b-c8de0dacc4c2}"/>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四、财政拨款收入支出决算总体情况说明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fldChar w:fldCharType="end"/>
          </w:r>
        </w:p>
        <w:p w14:paraId="51DF1983">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_Toc30789_WPSOffice_Level2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673561571"/>
              <w:placeholder>
                <w:docPart w:val="{256a6da7-87a1-4aaf-97ae-48ae0bcb84b8}"/>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五、一般公共预算财政拨款支出决算情况说</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fldChar w:fldCharType="end"/>
          </w:r>
        </w:p>
        <w:p w14:paraId="5963944B">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_Toc1235_WPSOffice_Level2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415177525"/>
              <w:placeholder>
                <w:docPart w:val="{945c5189-7d33-459d-bdea-fcb30ea9f2d0}"/>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六、一般公共预算财政拨款基本支出决算情况说明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fldChar w:fldCharType="end"/>
          </w:r>
        </w:p>
        <w:p w14:paraId="669E657F">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_Toc12277_WPSOffice_Level2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583848786"/>
              <w:placeholder>
                <w:docPart w:val="{2aee6cd5-3869-4428-96bf-8855ee425f56}"/>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七、财政拨款“三公”经费支出决算情况说明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fldChar w:fldCharType="end"/>
          </w:r>
        </w:p>
        <w:p w14:paraId="783C4DEC">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_Toc17687_WPSOffice_Level2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827789389"/>
              <w:placeholder>
                <w:docPart w:val="{ba3a5817-c17e-4983-9b60-2ef0f6265334}"/>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八、政府性基金预算支出决算情况说明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fldChar w:fldCharType="end"/>
          </w:r>
        </w:p>
        <w:p w14:paraId="790B28CB">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_Toc26444_WPSOffice_Level2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938391743"/>
              <w:placeholder>
                <w:docPart w:val="{e0afd1c6-419c-4dd9-b4e0-578a2f7c5867}"/>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九、国有资本经营预算支出决算情况说明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fldChar w:fldCharType="end"/>
          </w:r>
        </w:p>
        <w:p w14:paraId="658A913B">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_Toc11345_WPSOffice_Level2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39294924"/>
              <w:placeholder>
                <w:docPart w:val="{80157887-a017-4fb7-92ed-b68c3b2ad413}"/>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十、其他重要事项的情况说明</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fldChar w:fldCharType="end"/>
          </w:r>
        </w:p>
        <w:p w14:paraId="1C48DBCE">
          <w:pPr>
            <w:pStyle w:val="36"/>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_Toc26138_WPSOffice_Level1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834895388"/>
              <w:placeholder>
                <w:docPart w:val="{cac4cb3b-aad5-4440-a313-2f85ded1a1bc}"/>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第三部分  名词解释</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1</w:t>
          </w:r>
        </w:p>
        <w:p w14:paraId="465DB676">
          <w:pPr>
            <w:pStyle w:val="36"/>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_Toc4055_WPSOffice_Level1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787747008"/>
              <w:placeholder>
                <w:docPart w:val="{642e1721-1f89-4526-b24b-b0840c88480b}"/>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第四部分  附件</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4</w:t>
          </w:r>
        </w:p>
        <w:p w14:paraId="7D71EC7F">
          <w:pPr>
            <w:pStyle w:val="36"/>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_Toc30582_WPSOffice_Level1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735711340"/>
              <w:placeholder>
                <w:docPart w:val="{0a68c7af-0a19-4a57-9523-b7d99993ef38}"/>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第五部分 附表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5A2DCBFC">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_Toc9100_WPSOffice_Level2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697780013"/>
              <w:placeholder>
                <w:docPart w:val="{3906a940-cec9-4a7c-bfe3-be406c129099}"/>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一、收入支出决算总表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0DCEE495">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_Toc9791_WPSOffice_Level2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979746629"/>
              <w:placeholder>
                <w:docPart w:val="{ebdbcf81-d045-4c1a-b610-3f0b35de1141}"/>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二、收入决算表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13516CE3">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rPr>
            <w:sectPr>
              <w:footerReference r:id="rId7" w:type="default"/>
              <w:pgSz w:w="11906" w:h="16838"/>
              <w:pgMar w:top="1440" w:right="1800" w:bottom="1440" w:left="1800" w:header="851" w:footer="992" w:gutter="0"/>
              <w:pgNumType w:start="1"/>
              <w:cols w:space="425" w:num="1"/>
              <w:docGrid w:type="lines" w:linePitch="312" w:charSpace="0"/>
            </w:sectPr>
          </w:pPr>
        </w:p>
        <w:p w14:paraId="3D8F1DD3">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_Toc15043_WPSOffice_Level2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977225235"/>
              <w:placeholder>
                <w:docPart w:val="{857e8bcc-e120-429a-841d-b022fd512003}"/>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三、支出决算表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7169A475">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_Toc3343_WPSOffice_Level2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822061831"/>
              <w:placeholder>
                <w:docPart w:val="{3e69f151-3c76-4700-878d-4a0291b241ea}"/>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四、财政拨款收入支出决算总表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09CCF762">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_Toc30102_WPSOffice_Level2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58680862"/>
              <w:placeholder>
                <w:docPart w:val="{b61e994e-bdce-4550-8b4c-3a9012f3d88c}"/>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五、财政拨款支出决算明细表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2B90A143">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_Toc12527_WPSOffice_Level2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625899521"/>
              <w:placeholder>
                <w:docPart w:val="{5120acf2-c161-4992-bf6b-ac1a6a7b9b4c}"/>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六、一般公共预算财政拨款支出决算表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0832195B">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_Toc9864_WPSOffice_Level2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690765558"/>
              <w:placeholder>
                <w:docPart w:val="{29332858-7982-4237-8834-0c1831fd8470}"/>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七、一般公共预算财政拨款支出决算明细表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75C20F59">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_Toc31619_WPSOffice_Level2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771564075"/>
              <w:placeholder>
                <w:docPart w:val="{f74171b4-b8a0-4975-b7ec-46567dae8b4e}"/>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八、一般公共预算财政拨款基本支出决算表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38216FB6">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_Toc5424_WPSOffice_Level2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755499440"/>
              <w:placeholder>
                <w:docPart w:val="{d48a3e07-a1cd-4e62-a702-135245031ccc}"/>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九、一般公共预算财政拨款项目支出决算表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2825A222">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_Toc4220_WPSOffice_Level2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920085300"/>
              <w:placeholder>
                <w:docPart w:val="{05190777-46ba-4dc6-91af-8aa85de261ba}"/>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十、政府性基金预算财政拨款收入支出决算表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775D0F3E">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_Toc20239_WPSOffice_Level2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900613579"/>
              <w:placeholder>
                <w:docPart w:val="{dfeec7c2-2072-4e2a-88b1-4a216e54748e}"/>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十一、国有资本经营预算财政拨款收入支出决算表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65538431">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_Toc9638_WPSOffice_Level2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241541404"/>
              <w:placeholder>
                <w:docPart w:val="{b655ee29-29e3-4c3a-bcb7-663b0f556bc9}"/>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十二、国有资本经营预算财政拨款支出决算表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5</w:t>
          </w:r>
        </w:p>
        <w:p w14:paraId="326C0A2E">
          <w:pPr>
            <w:pStyle w:val="37"/>
            <w:keepNext w:val="0"/>
            <w:keepLines w:val="0"/>
            <w:pageBreakBefore w:val="0"/>
            <w:tabs>
              <w:tab w:val="right" w:leader="dot" w:pos="830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_Toc16350_WPSOffice_Level2 </w:instrText>
          </w:r>
          <w:r>
            <w:rPr>
              <w:rFonts w:hint="eastAsia" w:ascii="仿宋_GB2312" w:hAnsi="仿宋_GB2312" w:eastAsia="仿宋_GB2312" w:cs="仿宋_GB2312"/>
              <w:b w:val="0"/>
              <w:bCs w:val="0"/>
              <w:sz w:val="32"/>
              <w:szCs w:val="32"/>
            </w:rPr>
            <w:fldChar w:fldCharType="separate"/>
          </w:r>
          <w:sdt>
            <w:sdtPr>
              <w:rPr>
                <w:rFonts w:hint="eastAsia" w:ascii="仿宋_GB2312" w:hAnsi="仿宋_GB2312" w:eastAsia="仿宋_GB2312" w:cs="仿宋_GB2312"/>
                <w:b w:val="0"/>
                <w:bCs w:val="0"/>
                <w:kern w:val="2"/>
                <w:sz w:val="32"/>
                <w:szCs w:val="32"/>
                <w:lang w:val="en-US" w:eastAsia="zh-CN" w:bidi="ar-SA"/>
              </w:rPr>
              <w:id w:val="303800004"/>
              <w:placeholder>
                <w:docPart w:val="{87f76a98-b506-42a4-9b7b-dca6497be6d6}"/>
              </w:placeholder>
            </w:sdtPr>
            <w:sdtEndPr>
              <w:rPr>
                <w:rFonts w:hint="eastAsia" w:ascii="仿宋_GB2312" w:hAnsi="仿宋_GB2312" w:eastAsia="仿宋_GB2312" w:cs="仿宋_GB2312"/>
                <w:b w:val="0"/>
                <w:bCs w:val="0"/>
                <w:kern w:val="2"/>
                <w:sz w:val="32"/>
                <w:szCs w:val="32"/>
                <w:lang w:val="en-US" w:eastAsia="zh-CN" w:bidi="ar-SA"/>
              </w:rPr>
            </w:sdtEndPr>
            <w:sdtContent>
              <w:r>
                <w:rPr>
                  <w:rFonts w:hint="eastAsia" w:ascii="仿宋_GB2312" w:hAnsi="仿宋_GB2312" w:eastAsia="仿宋_GB2312" w:cs="仿宋_GB2312"/>
                  <w:b w:val="0"/>
                  <w:bCs w:val="0"/>
                  <w:sz w:val="32"/>
                  <w:szCs w:val="32"/>
                </w:rPr>
                <w:t>十三、财政拨款“三公”经费支出决算表</w:t>
              </w:r>
            </w:sdtContent>
          </w:sdt>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end"/>
          </w:r>
          <w:bookmarkEnd w:id="12"/>
          <w:r>
            <w:rPr>
              <w:rFonts w:hint="eastAsia" w:ascii="仿宋_GB2312" w:hAnsi="仿宋_GB2312" w:eastAsia="仿宋_GB2312" w:cs="仿宋_GB2312"/>
              <w:b w:val="0"/>
              <w:bCs w:val="0"/>
              <w:sz w:val="32"/>
              <w:szCs w:val="32"/>
              <w:lang w:val="en-US" w:eastAsia="zh-CN"/>
            </w:rPr>
            <w:t>5</w:t>
          </w:r>
        </w:p>
      </w:sdtContent>
    </w:sdt>
    <w:p w14:paraId="54F1B9FF">
      <w:pPr>
        <w:pStyle w:val="2"/>
        <w:jc w:val="center"/>
        <w:rPr>
          <w:rFonts w:hint="eastAsia" w:eastAsia="方正小标宋简体" w:cs="方正小标宋简体"/>
          <w:b w:val="0"/>
        </w:rPr>
      </w:pPr>
      <w:bookmarkStart w:id="15" w:name="_Toc14886_WPSOffice_Level1"/>
    </w:p>
    <w:p w14:paraId="4365D7C4">
      <w:pPr>
        <w:bidi w:val="0"/>
        <w:rPr>
          <w:rFonts w:hint="eastAsia"/>
        </w:rPr>
      </w:pPr>
    </w:p>
    <w:p w14:paraId="42BC2470">
      <w:pPr>
        <w:bidi w:val="0"/>
        <w:rPr>
          <w:rFonts w:hint="eastAsia"/>
        </w:rPr>
      </w:pPr>
    </w:p>
    <w:p w14:paraId="1EEA1B33">
      <w:pPr>
        <w:bidi w:val="0"/>
        <w:rPr>
          <w:rFonts w:hint="eastAsia"/>
        </w:rPr>
      </w:pPr>
    </w:p>
    <w:p w14:paraId="5D914CB7">
      <w:pPr>
        <w:bidi w:val="0"/>
        <w:rPr>
          <w:rFonts w:hint="eastAsia"/>
        </w:rPr>
      </w:pPr>
    </w:p>
    <w:p w14:paraId="5634262E">
      <w:pPr>
        <w:tabs>
          <w:tab w:val="left" w:pos="6738"/>
        </w:tabs>
        <w:bidi w:val="0"/>
        <w:jc w:val="left"/>
        <w:rPr>
          <w:rFonts w:hint="eastAsia" w:eastAsia="宋体"/>
          <w:lang w:eastAsia="zh-CN"/>
        </w:rPr>
        <w:sectPr>
          <w:footerReference r:id="rId8" w:type="default"/>
          <w:pgSz w:w="11906" w:h="16838"/>
          <w:pgMar w:top="1440" w:right="1800" w:bottom="1440" w:left="1800" w:header="851" w:footer="992" w:gutter="0"/>
          <w:pgNumType w:start="1"/>
          <w:cols w:space="425" w:num="1"/>
          <w:docGrid w:type="lines" w:linePitch="312" w:charSpace="0"/>
        </w:sectPr>
      </w:pPr>
      <w:r>
        <w:rPr>
          <w:rFonts w:hint="eastAsia"/>
          <w:lang w:eastAsia="zh-CN"/>
        </w:rPr>
        <w:tab/>
      </w:r>
    </w:p>
    <w:p w14:paraId="767A2C10">
      <w:pPr>
        <w:pStyle w:val="2"/>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3"/>
      <w:bookmarkEnd w:id="14"/>
      <w:bookmarkEnd w:id="15"/>
    </w:p>
    <w:p w14:paraId="0BA15842">
      <w:pPr>
        <w:widowControl/>
        <w:jc w:val="left"/>
        <w:rPr>
          <w:rFonts w:eastAsia="黑体"/>
          <w:sz w:val="32"/>
          <w:szCs w:val="32"/>
        </w:rPr>
      </w:pPr>
    </w:p>
    <w:p w14:paraId="05EE33F7">
      <w:pPr>
        <w:pStyle w:val="3"/>
        <w:pageBreakBefore w:val="0"/>
        <w:numPr>
          <w:ilvl w:val="0"/>
          <w:numId w:val="0"/>
        </w:numPr>
        <w:kinsoku/>
        <w:wordWrap/>
        <w:overflowPunct/>
        <w:topLinePunct w:val="0"/>
        <w:bidi w:val="0"/>
        <w:spacing w:line="600" w:lineRule="exact"/>
        <w:ind w:firstLine="640" w:firstLineChars="200"/>
        <w:textAlignment w:val="auto"/>
        <w:rPr>
          <w:rFonts w:hint="eastAsia" w:ascii="Times New Roman" w:hAnsi="Times New Roman" w:eastAsia="黑体"/>
          <w:b w:val="0"/>
        </w:rPr>
      </w:pPr>
      <w:bookmarkStart w:id="16" w:name="_Toc4509_WPSOffice_Level2"/>
      <w:r>
        <w:rPr>
          <w:rFonts w:hint="eastAsia" w:ascii="Times New Roman" w:hAnsi="Times New Roman" w:eastAsia="黑体"/>
          <w:b w:val="0"/>
          <w:lang w:eastAsia="zh-CN"/>
        </w:rPr>
        <w:t>一、</w:t>
      </w:r>
      <w:r>
        <w:rPr>
          <w:rFonts w:hint="eastAsia" w:ascii="Times New Roman" w:hAnsi="Times New Roman" w:eastAsia="黑体"/>
          <w:b w:val="0"/>
        </w:rPr>
        <w:t>部门职责</w:t>
      </w:r>
      <w:bookmarkEnd w:id="16"/>
    </w:p>
    <w:p w14:paraId="775F4E96">
      <w:pPr>
        <w:pStyle w:val="5"/>
        <w:pageBreakBefore w:val="0"/>
        <w:kinsoku/>
        <w:wordWrap/>
        <w:overflowPunct/>
        <w:topLinePunct w:val="0"/>
        <w:bidi w:val="0"/>
        <w:adjustRightInd w:val="0"/>
        <w:spacing w:before="130" w:beforeLines="0" w:line="600" w:lineRule="exact"/>
        <w:ind w:firstLine="672" w:firstLineChars="210"/>
        <w:textAlignment w:val="auto"/>
        <w:rPr>
          <w:rFonts w:hint="default" w:ascii="Times New Roman" w:hAnsi="Times New Roman" w:eastAsia="仿宋" w:cs="Times New Roman"/>
          <w:color w:val="auto"/>
          <w:sz w:val="32"/>
        </w:rPr>
      </w:pPr>
      <w:r>
        <w:rPr>
          <w:rFonts w:hint="default" w:ascii="Times New Roman" w:hAnsi="Times New Roman" w:eastAsia="仿宋_GB2312" w:cs="Times New Roman"/>
          <w:color w:val="auto"/>
          <w:kern w:val="2"/>
          <w:sz w:val="32"/>
          <w:szCs w:val="32"/>
          <w:highlight w:val="none"/>
          <w:lang w:val="en-US" w:eastAsia="zh-CN" w:bidi="ar-SA"/>
        </w:rPr>
        <w:t>负责辖区范围内的执法监测、监督性监测和突发生态环境事件应急监测等工作。</w:t>
      </w:r>
    </w:p>
    <w:p w14:paraId="1E859E3A">
      <w:pPr>
        <w:pStyle w:val="3"/>
        <w:pageBreakBefore w:val="0"/>
        <w:kinsoku/>
        <w:wordWrap/>
        <w:overflowPunct/>
        <w:topLinePunct w:val="0"/>
        <w:bidi w:val="0"/>
        <w:spacing w:line="600" w:lineRule="exact"/>
        <w:ind w:firstLine="640" w:firstLineChars="200"/>
        <w:textAlignment w:val="auto"/>
        <w:rPr>
          <w:rStyle w:val="29"/>
          <w:rFonts w:ascii="Times New Roman" w:hAnsi="Times New Roman"/>
          <w:b w:val="0"/>
          <w:bCs w:val="0"/>
        </w:rPr>
      </w:pPr>
      <w:bookmarkStart w:id="17" w:name="_Toc15377200"/>
      <w:bookmarkStart w:id="18" w:name="_Toc15396601"/>
      <w:bookmarkStart w:id="19" w:name="_Toc26138_WPSOffice_Level2"/>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7"/>
      <w:bookmarkEnd w:id="18"/>
      <w:bookmarkEnd w:id="19"/>
    </w:p>
    <w:p w14:paraId="64C55213">
      <w:pPr>
        <w:pStyle w:val="5"/>
        <w:pageBreakBefore w:val="0"/>
        <w:kinsoku/>
        <w:wordWrap/>
        <w:overflowPunct/>
        <w:topLinePunct w:val="0"/>
        <w:bidi w:val="0"/>
        <w:adjustRightInd w:val="0"/>
        <w:spacing w:before="130" w:beforeLines="0" w:line="600" w:lineRule="exact"/>
        <w:ind w:firstLine="672" w:firstLineChars="21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四川省攀枝花市西区生态环境监测站无下属二级预算单位。单位内设机构或科室0个。</w:t>
      </w:r>
    </w:p>
    <w:p w14:paraId="358A44DC">
      <w:pPr>
        <w:pageBreakBefore w:val="0"/>
        <w:widowControl/>
        <w:kinsoku/>
        <w:wordWrap/>
        <w:overflowPunct/>
        <w:topLinePunct w:val="0"/>
        <w:bidi w:val="0"/>
        <w:spacing w:line="600" w:lineRule="exact"/>
        <w:jc w:val="left"/>
        <w:textAlignment w:val="auto"/>
        <w:rPr>
          <w:rFonts w:eastAsia="仿宋"/>
          <w:kern w:val="0"/>
          <w:sz w:val="32"/>
          <w:szCs w:val="32"/>
        </w:rPr>
      </w:pPr>
      <w:r>
        <w:rPr>
          <w:rFonts w:eastAsia="仿宋"/>
          <w:sz w:val="32"/>
          <w:szCs w:val="32"/>
        </w:rPr>
        <w:br w:type="page"/>
      </w:r>
    </w:p>
    <w:p w14:paraId="29B4EA4B">
      <w:pPr>
        <w:pStyle w:val="2"/>
        <w:jc w:val="center"/>
        <w:rPr>
          <w:rFonts w:hint="eastAsia" w:eastAsia="方正小标宋简体" w:cs="方正小标宋简体"/>
          <w:b w:val="0"/>
        </w:rPr>
      </w:pPr>
      <w:bookmarkStart w:id="20" w:name="_Toc15377204"/>
      <w:bookmarkStart w:id="21" w:name="_Toc4509_WPSOffice_Level1"/>
      <w:bookmarkStart w:id="22" w:name="_Toc15396602"/>
      <w:r>
        <w:rPr>
          <w:rFonts w:hint="eastAsia" w:eastAsia="方正小标宋简体" w:cs="方正小标宋简体"/>
          <w:b w:val="0"/>
        </w:rPr>
        <w:t>第二部分  2025年度部门决算情况说明</w:t>
      </w:r>
      <w:bookmarkEnd w:id="20"/>
      <w:bookmarkEnd w:id="21"/>
      <w:bookmarkEnd w:id="22"/>
    </w:p>
    <w:p w14:paraId="7007CA11">
      <w:pPr>
        <w:pageBreakBefore w:val="0"/>
        <w:kinsoku/>
        <w:wordWrap/>
        <w:overflowPunct/>
        <w:topLinePunct w:val="0"/>
        <w:bidi w:val="0"/>
        <w:spacing w:line="600" w:lineRule="exact"/>
        <w:textAlignment w:val="auto"/>
      </w:pPr>
    </w:p>
    <w:p w14:paraId="035F05D5">
      <w:pPr>
        <w:pStyle w:val="27"/>
        <w:pageBreakBefore w:val="0"/>
        <w:kinsoku/>
        <w:wordWrap/>
        <w:overflowPunct/>
        <w:topLinePunct w:val="0"/>
        <w:bidi w:val="0"/>
        <w:spacing w:line="600" w:lineRule="exact"/>
        <w:ind w:firstLine="640"/>
        <w:textAlignment w:val="auto"/>
        <w:outlineLvl w:val="1"/>
        <w:rPr>
          <w:rStyle w:val="29"/>
          <w:rFonts w:ascii="Times New Roman" w:hAnsi="Times New Roman" w:eastAsia="黑体"/>
          <w:b w:val="0"/>
        </w:rPr>
      </w:pPr>
      <w:bookmarkStart w:id="23" w:name="_Toc15377205"/>
      <w:bookmarkStart w:id="24" w:name="_Toc4055_WPSOffice_Level2"/>
      <w:bookmarkStart w:id="25"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23"/>
      <w:bookmarkEnd w:id="24"/>
      <w:bookmarkEnd w:id="25"/>
    </w:p>
    <w:p w14:paraId="5A5D3491">
      <w:pPr>
        <w:pStyle w:val="27"/>
        <w:pageBreakBefore w:val="0"/>
        <w:kinsoku/>
        <w:wordWrap/>
        <w:overflowPunct/>
        <w:topLinePunct w:val="0"/>
        <w:bidi w:val="0"/>
        <w:spacing w:line="600" w:lineRule="exact"/>
        <w:ind w:firstLine="640"/>
        <w:textAlignment w:val="auto"/>
        <w:outlineLvl w:val="1"/>
        <w:rPr>
          <w:rFonts w:eastAsia="仿宋_GB2312" w:cs="仿宋_GB2312"/>
          <w:sz w:val="32"/>
          <w:szCs w:val="32"/>
        </w:rPr>
      </w:pPr>
      <w:r>
        <w:rPr>
          <w:rFonts w:hint="eastAsia" w:ascii="仿宋_GB2312" w:hAnsi="仿宋_GB2312" w:eastAsia="仿宋_GB2312" w:cs="仿宋_GB2312"/>
          <w:sz w:val="32"/>
          <w:szCs w:val="32"/>
        </w:rPr>
        <w:t>2025年度收入、支出总计均为391.6</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万元。与上年度相比，收入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支出总计各减少</w:t>
      </w:r>
      <w:r>
        <w:rPr>
          <w:rFonts w:hint="eastAsia" w:ascii="仿宋_GB2312" w:hAnsi="仿宋_GB2312" w:eastAsia="仿宋_GB2312" w:cs="仿宋_GB2312"/>
          <w:sz w:val="32"/>
          <w:szCs w:val="32"/>
          <w:lang w:val="en-US" w:eastAsia="zh-CN"/>
        </w:rPr>
        <w:t>29.20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分别</w:t>
      </w:r>
      <w:r>
        <w:rPr>
          <w:rFonts w:hint="eastAsia" w:ascii="仿宋_GB2312" w:hAnsi="仿宋_GB2312" w:eastAsia="仿宋_GB2312" w:cs="仿宋_GB2312"/>
          <w:sz w:val="32"/>
          <w:szCs w:val="32"/>
        </w:rPr>
        <w:t>下降</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本年其他收入减少幅度大于本年一般公共预算财政拨款收入增长幅度。</w:t>
      </w:r>
    </w:p>
    <w:p w14:paraId="5F731FBF">
      <w:pPr>
        <w:pageBreakBefore w:val="0"/>
        <w:kinsoku/>
        <w:wordWrap/>
        <w:overflowPunct/>
        <w:topLinePunct w:val="0"/>
        <w:bidi w:val="0"/>
        <w:spacing w:line="600" w:lineRule="exact"/>
        <w:ind w:firstLine="640" w:firstLineChars="200"/>
        <w:textAlignment w:val="auto"/>
        <w:rPr>
          <w:rFonts w:hint="eastAsia" w:eastAsia="仿宋_GB2312" w:cs="仿宋_GB2312"/>
          <w:sz w:val="32"/>
          <w:szCs w:val="32"/>
          <w:lang w:eastAsia="zh-CN"/>
        </w:rPr>
      </w:pPr>
    </w:p>
    <w:p w14:paraId="3B4DAB3B">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bookmarkStart w:id="26" w:name="_Toc30582_WPSOffice_Level2"/>
      <w:bookmarkStart w:id="27" w:name="_Toc15396604"/>
      <w:bookmarkStart w:id="28" w:name="_Toc15377206"/>
    </w:p>
    <w:p w14:paraId="3CE32650">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21F9AC3A">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1CC561BB">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11FF1FFA">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65FC7AC9">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29B384B7">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25AF1E84">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r>
        <w:rPr>
          <w:rFonts w:hint="eastAsia"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410845</wp:posOffset>
            </wp:positionH>
            <wp:positionV relativeFrom="paragraph">
              <wp:posOffset>-2986405</wp:posOffset>
            </wp:positionV>
            <wp:extent cx="5080000" cy="3282315"/>
            <wp:effectExtent l="4445" t="4445" r="20955" b="889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E565B59">
      <w:pPr>
        <w:pStyle w:val="27"/>
        <w:pageBreakBefore w:val="0"/>
        <w:kinsoku/>
        <w:wordWrap/>
        <w:overflowPunct/>
        <w:topLinePunct w:val="0"/>
        <w:bidi w:val="0"/>
        <w:spacing w:line="600" w:lineRule="exact"/>
        <w:ind w:firstLine="640"/>
        <w:textAlignment w:val="auto"/>
        <w:outlineLvl w:val="1"/>
        <w:rPr>
          <w:rFonts w:eastAsia="黑体"/>
          <w:sz w:val="32"/>
          <w:szCs w:val="32"/>
        </w:rPr>
      </w:pPr>
      <w:r>
        <w:rPr>
          <w:rFonts w:hint="eastAsia" w:eastAsia="黑体"/>
          <w:sz w:val="32"/>
          <w:szCs w:val="32"/>
        </w:rPr>
        <w:t>二、收入决算情况说明</w:t>
      </w:r>
      <w:bookmarkEnd w:id="26"/>
      <w:bookmarkEnd w:id="27"/>
      <w:bookmarkEnd w:id="28"/>
    </w:p>
    <w:p w14:paraId="442B8D33">
      <w:pPr>
        <w:pStyle w:val="27"/>
        <w:pageBreakBefore w:val="0"/>
        <w:kinsoku/>
        <w:wordWrap/>
        <w:overflowPunct/>
        <w:topLinePunct w:val="0"/>
        <w:bidi w:val="0"/>
        <w:spacing w:line="600" w:lineRule="exact"/>
        <w:ind w:firstLine="64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2025年度本年收入合计</w:t>
      </w:r>
      <w:r>
        <w:rPr>
          <w:rFonts w:hint="eastAsia" w:ascii="仿宋_GB2312" w:hAnsi="仿宋_GB2312" w:eastAsia="仿宋_GB2312" w:cs="仿宋_GB2312"/>
          <w:sz w:val="32"/>
          <w:szCs w:val="32"/>
          <w:lang w:val="en-US" w:eastAsia="zh-CN"/>
        </w:rPr>
        <w:t>391.64</w:t>
      </w:r>
      <w:r>
        <w:rPr>
          <w:rFonts w:hint="eastAsia" w:ascii="仿宋_GB2312" w:hAnsi="仿宋_GB2312" w:eastAsia="仿宋_GB2312" w:cs="仿宋_GB2312"/>
          <w:sz w:val="32"/>
          <w:szCs w:val="32"/>
        </w:rPr>
        <w:t>万元，其中：一般公共预算财政拨款收入321.84万元，占</w:t>
      </w:r>
      <w:r>
        <w:rPr>
          <w:rFonts w:hint="eastAsia" w:ascii="仿宋_GB2312" w:hAnsi="仿宋_GB2312" w:eastAsia="仿宋_GB2312" w:cs="仿宋_GB2312"/>
          <w:sz w:val="32"/>
          <w:szCs w:val="32"/>
          <w:lang w:val="en-US" w:eastAsia="zh-CN"/>
        </w:rPr>
        <w:t>82.2</w:t>
      </w:r>
      <w:r>
        <w:rPr>
          <w:rFonts w:hint="eastAsia" w:ascii="仿宋_GB2312" w:hAnsi="仿宋_GB2312" w:eastAsia="仿宋_GB2312" w:cs="仿宋_GB2312"/>
          <w:sz w:val="32"/>
          <w:szCs w:val="32"/>
        </w:rPr>
        <w:t>%；其他收入69.8万元，占</w:t>
      </w:r>
      <w:r>
        <w:rPr>
          <w:rFonts w:hint="eastAsia" w:ascii="仿宋_GB2312" w:hAnsi="仿宋_GB2312" w:eastAsia="仿宋_GB2312" w:cs="仿宋_GB2312"/>
          <w:sz w:val="32"/>
          <w:szCs w:val="32"/>
          <w:lang w:val="en-US" w:eastAsia="zh-CN"/>
        </w:rPr>
        <w:t>17.8</w:t>
      </w:r>
      <w:r>
        <w:rPr>
          <w:rFonts w:hint="eastAsia" w:ascii="仿宋_GB2312" w:hAnsi="仿宋_GB2312" w:eastAsia="仿宋_GB2312" w:cs="仿宋_GB2312"/>
          <w:sz w:val="32"/>
          <w:szCs w:val="32"/>
        </w:rPr>
        <w:t>%。</w:t>
      </w:r>
    </w:p>
    <w:p w14:paraId="2A1914F2">
      <w:pPr>
        <w:pageBreakBefore w:val="0"/>
        <w:tabs>
          <w:tab w:val="left" w:pos="733"/>
        </w:tabs>
        <w:kinsoku/>
        <w:wordWrap/>
        <w:overflowPunct/>
        <w:topLinePunct w:val="0"/>
        <w:bidi w:val="0"/>
        <w:spacing w:line="600" w:lineRule="exact"/>
        <w:ind w:firstLine="800" w:firstLineChars="250"/>
        <w:textAlignment w:val="auto"/>
        <w:rPr>
          <w:rFonts w:hint="eastAsia" w:eastAsia="仿宋_GB2312" w:cs="仿宋_GB2312"/>
          <w:sz w:val="32"/>
          <w:szCs w:val="32"/>
          <w:lang w:eastAsia="zh-CN"/>
        </w:rPr>
      </w:pPr>
      <w:r>
        <w:rPr>
          <w:rFonts w:hint="eastAsia" w:eastAsia="仿宋_GB2312" w:cs="仿宋_GB2312"/>
          <w:sz w:val="32"/>
          <w:szCs w:val="32"/>
          <w:lang w:eastAsia="zh-CN"/>
        </w:rPr>
        <w:tab/>
      </w:r>
    </w:p>
    <w:p w14:paraId="008A60CA">
      <w:pPr>
        <w:pStyle w:val="27"/>
        <w:pageBreakBefore w:val="0"/>
        <w:kinsoku/>
        <w:wordWrap/>
        <w:overflowPunct/>
        <w:topLinePunct w:val="0"/>
        <w:bidi w:val="0"/>
        <w:spacing w:line="600" w:lineRule="exact"/>
        <w:ind w:left="0" w:leftChars="0" w:firstLine="0" w:firstLineChars="0"/>
        <w:textAlignment w:val="auto"/>
        <w:outlineLvl w:val="1"/>
        <w:rPr>
          <w:rFonts w:hint="eastAsia" w:eastAsia="黑体"/>
          <w:sz w:val="32"/>
          <w:szCs w:val="32"/>
        </w:rPr>
      </w:pPr>
      <w:bookmarkStart w:id="29" w:name="_Toc17099_WPSOffice_Level2"/>
      <w:bookmarkStart w:id="30" w:name="_Toc15396605"/>
      <w:bookmarkStart w:id="31" w:name="_Toc15377207"/>
    </w:p>
    <w:p w14:paraId="19EC8DC6">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2E03C556">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153CE9AD">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01B8661D">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5E81B34C">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4B905CFD">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44D2F863">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3B57E11E">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2E9DBBFA">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p>
    <w:p w14:paraId="284F2399">
      <w:pPr>
        <w:pStyle w:val="27"/>
        <w:pageBreakBefore w:val="0"/>
        <w:kinsoku/>
        <w:wordWrap/>
        <w:overflowPunct/>
        <w:topLinePunct w:val="0"/>
        <w:bidi w:val="0"/>
        <w:spacing w:line="600" w:lineRule="exact"/>
        <w:ind w:firstLine="640"/>
        <w:textAlignment w:val="auto"/>
        <w:outlineLvl w:val="1"/>
        <w:rPr>
          <w:rFonts w:hint="eastAsia" w:eastAsia="黑体"/>
          <w:sz w:val="32"/>
          <w:szCs w:val="32"/>
        </w:rPr>
      </w:pPr>
      <w:r>
        <w:rPr>
          <w:rFonts w:hint="eastAsia"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410845</wp:posOffset>
            </wp:positionH>
            <wp:positionV relativeFrom="paragraph">
              <wp:posOffset>-3253105</wp:posOffset>
            </wp:positionV>
            <wp:extent cx="4672330" cy="3164205"/>
            <wp:effectExtent l="4445" t="4445" r="9525" b="1270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2EE8696">
      <w:pPr>
        <w:pStyle w:val="27"/>
        <w:pageBreakBefore w:val="0"/>
        <w:kinsoku/>
        <w:wordWrap/>
        <w:overflowPunct/>
        <w:topLinePunct w:val="0"/>
        <w:bidi w:val="0"/>
        <w:spacing w:line="600" w:lineRule="exact"/>
        <w:ind w:firstLine="640"/>
        <w:textAlignment w:val="auto"/>
        <w:outlineLvl w:val="1"/>
        <w:rPr>
          <w:rStyle w:val="29"/>
          <w:rFonts w:ascii="Times New Roman" w:hAnsi="Times New Roman" w:eastAsia="黑体"/>
          <w:b w:val="0"/>
        </w:rPr>
      </w:pPr>
      <w:r>
        <w:rPr>
          <w:rFonts w:hint="eastAsia" w:eastAsia="黑体"/>
          <w:sz w:val="32"/>
          <w:szCs w:val="32"/>
        </w:rPr>
        <w:t>三、支</w:t>
      </w:r>
      <w:r>
        <w:rPr>
          <w:rStyle w:val="29"/>
          <w:rFonts w:hint="eastAsia" w:ascii="Times New Roman" w:hAnsi="Times New Roman" w:eastAsia="黑体"/>
          <w:b w:val="0"/>
        </w:rPr>
        <w:t>出决算情况说明</w:t>
      </w:r>
      <w:bookmarkEnd w:id="29"/>
      <w:bookmarkEnd w:id="30"/>
      <w:bookmarkEnd w:id="31"/>
    </w:p>
    <w:p w14:paraId="3756C2E6">
      <w:pPr>
        <w:pStyle w:val="27"/>
        <w:pageBreakBefore w:val="0"/>
        <w:kinsoku/>
        <w:wordWrap/>
        <w:overflowPunct/>
        <w:topLinePunct w:val="0"/>
        <w:bidi w:val="0"/>
        <w:spacing w:line="600" w:lineRule="exact"/>
        <w:ind w:firstLine="64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2025年度本年支出合计391.64万元，其中：基本支出</w:t>
      </w:r>
      <w:r>
        <w:rPr>
          <w:rFonts w:hint="eastAsia" w:ascii="仿宋_GB2312" w:hAnsi="仿宋_GB2312" w:eastAsia="仿宋_GB2312" w:cs="仿宋_GB2312"/>
          <w:sz w:val="32"/>
          <w:szCs w:val="32"/>
          <w:lang w:val="en-US" w:eastAsia="zh-CN"/>
        </w:rPr>
        <w:t>307.38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78.5</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84.26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21.5</w:t>
      </w:r>
      <w:r>
        <w:rPr>
          <w:rFonts w:hint="eastAsia" w:ascii="仿宋_GB2312" w:hAnsi="仿宋_GB2312" w:eastAsia="仿宋_GB2312" w:cs="仿宋_GB2312"/>
          <w:sz w:val="32"/>
          <w:szCs w:val="32"/>
        </w:rPr>
        <w:t>%。</w:t>
      </w:r>
    </w:p>
    <w:p w14:paraId="731F2ECE">
      <w:pPr>
        <w:pageBreakBefore w:val="0"/>
        <w:kinsoku/>
        <w:wordWrap/>
        <w:overflowPunct/>
        <w:topLinePunct w:val="0"/>
        <w:bidi w:val="0"/>
        <w:spacing w:line="600" w:lineRule="exact"/>
        <w:ind w:firstLine="800" w:firstLineChars="250"/>
        <w:textAlignment w:val="auto"/>
        <w:rPr>
          <w:rFonts w:hint="eastAsia" w:eastAsia="仿宋_GB2312" w:cs="仿宋_GB2312"/>
          <w:sz w:val="32"/>
          <w:szCs w:val="32"/>
          <w:lang w:eastAsia="zh-CN"/>
        </w:rPr>
      </w:pPr>
    </w:p>
    <w:p w14:paraId="6575E241">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bookmarkStart w:id="32" w:name="_Toc15377208"/>
      <w:bookmarkStart w:id="33" w:name="_Toc2082_WPSOffice_Level2"/>
      <w:bookmarkStart w:id="34" w:name="_Toc15396606"/>
    </w:p>
    <w:p w14:paraId="71F873DB">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6BBCA64F">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29F6EACA">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1FD2C5A3">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13D79C55">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541C031E">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396CDDEF">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r>
        <w:rPr>
          <w:rFonts w:hint="eastAsia"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410845</wp:posOffset>
            </wp:positionH>
            <wp:positionV relativeFrom="paragraph">
              <wp:posOffset>-2871470</wp:posOffset>
            </wp:positionV>
            <wp:extent cx="4618355" cy="3169285"/>
            <wp:effectExtent l="4445" t="5080" r="6350" b="69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96832F9">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106DDF5C">
      <w:pPr>
        <w:pageBreakBefore w:val="0"/>
        <w:kinsoku/>
        <w:wordWrap/>
        <w:overflowPunct/>
        <w:topLinePunct w:val="0"/>
        <w:bidi w:val="0"/>
        <w:spacing w:line="600" w:lineRule="exact"/>
        <w:ind w:firstLine="640" w:firstLineChars="200"/>
        <w:textAlignment w:val="auto"/>
        <w:outlineLvl w:val="1"/>
        <w:rPr>
          <w:rStyle w:val="29"/>
          <w:rFonts w:ascii="Times New Roman" w:hAnsi="Times New Roman" w:eastAsia="黑体"/>
          <w:b w:val="0"/>
        </w:rPr>
      </w:pPr>
      <w:r>
        <w:rPr>
          <w:rFonts w:hint="eastAsia" w:eastAsia="黑体"/>
          <w:sz w:val="32"/>
          <w:szCs w:val="32"/>
        </w:rPr>
        <w:t>四、财</w:t>
      </w:r>
      <w:r>
        <w:rPr>
          <w:rStyle w:val="29"/>
          <w:rFonts w:hint="eastAsia" w:ascii="Times New Roman" w:hAnsi="Times New Roman" w:eastAsia="黑体"/>
          <w:b w:val="0"/>
        </w:rPr>
        <w:t>政拨款收入支出决算总体情况说明</w:t>
      </w:r>
      <w:bookmarkEnd w:id="32"/>
      <w:bookmarkEnd w:id="33"/>
      <w:bookmarkEnd w:id="34"/>
    </w:p>
    <w:p w14:paraId="73C47A9B">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2025年度财政拨款收入、支出总计均为321.84万元。与上年度相比，财政拨款收入、支出总计各增长</w:t>
      </w:r>
      <w:r>
        <w:rPr>
          <w:rFonts w:hint="eastAsia" w:ascii="仿宋_GB2312" w:hAnsi="仿宋_GB2312" w:eastAsia="仿宋_GB2312" w:cs="仿宋_GB2312"/>
          <w:sz w:val="32"/>
          <w:szCs w:val="32"/>
          <w:lang w:val="en-US" w:eastAsia="zh-CN"/>
        </w:rPr>
        <w:t>66.87</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26.2</w:t>
      </w:r>
      <w:r>
        <w:rPr>
          <w:rFonts w:hint="eastAsia" w:ascii="仿宋_GB2312" w:hAnsi="仿宋_GB2312" w:eastAsia="仿宋_GB2312" w:cs="仿宋_GB2312"/>
          <w:sz w:val="32"/>
          <w:szCs w:val="32"/>
        </w:rPr>
        <w:t>%。主要变动原因是财政拨款</w:t>
      </w:r>
      <w:r>
        <w:rPr>
          <w:rFonts w:hint="eastAsia" w:ascii="仿宋_GB2312" w:hAnsi="仿宋_GB2312" w:eastAsia="仿宋_GB2312" w:cs="仿宋_GB2312"/>
          <w:sz w:val="32"/>
          <w:szCs w:val="32"/>
          <w:lang w:eastAsia="zh-CN"/>
        </w:rPr>
        <w:t>基本支出和项目支出均有增加。</w:t>
      </w:r>
    </w:p>
    <w:p w14:paraId="1991BE30">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eastAsia="仿宋_GB2312" w:cs="仿宋_GB2312"/>
          <w:sz w:val="32"/>
          <w:szCs w:val="32"/>
          <w:lang w:eastAsia="zh-CN"/>
        </w:rPr>
      </w:pPr>
    </w:p>
    <w:p w14:paraId="6D612152">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bookmarkStart w:id="35" w:name="_Toc30789_WPSOffice_Level2"/>
      <w:bookmarkStart w:id="36" w:name="_Toc15377209"/>
      <w:bookmarkStart w:id="37" w:name="_Toc15396607"/>
    </w:p>
    <w:p w14:paraId="33BE56A2">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30E3E760">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23BC24C9">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5314AC0B">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357E25B1">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4CFADFA8">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40574396">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p>
    <w:p w14:paraId="00E63BF4">
      <w:pPr>
        <w:pageBreakBefore w:val="0"/>
        <w:kinsoku/>
        <w:wordWrap/>
        <w:overflowPunct/>
        <w:topLinePunct w:val="0"/>
        <w:bidi w:val="0"/>
        <w:spacing w:line="600" w:lineRule="exact"/>
        <w:ind w:firstLine="640" w:firstLineChars="200"/>
        <w:textAlignment w:val="auto"/>
        <w:outlineLvl w:val="1"/>
        <w:rPr>
          <w:rFonts w:hint="eastAsia" w:eastAsia="黑体"/>
          <w:sz w:val="32"/>
          <w:szCs w:val="32"/>
        </w:rPr>
      </w:pPr>
      <w:r>
        <w:rPr>
          <w:rFonts w:hint="eastAsia"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410845</wp:posOffset>
            </wp:positionH>
            <wp:positionV relativeFrom="paragraph">
              <wp:posOffset>-3234055</wp:posOffset>
            </wp:positionV>
            <wp:extent cx="4794885" cy="3411855"/>
            <wp:effectExtent l="4445" t="4445" r="20320" b="1270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7B556165">
      <w:pPr>
        <w:pageBreakBefore w:val="0"/>
        <w:kinsoku/>
        <w:wordWrap/>
        <w:overflowPunct/>
        <w:topLinePunct w:val="0"/>
        <w:bidi w:val="0"/>
        <w:spacing w:line="600" w:lineRule="exact"/>
        <w:ind w:firstLine="640" w:firstLineChars="200"/>
        <w:textAlignment w:val="auto"/>
        <w:outlineLvl w:val="1"/>
        <w:rPr>
          <w:rStyle w:val="29"/>
          <w:rFonts w:ascii="Times New Roman" w:hAnsi="Times New Roman" w:eastAsia="黑体"/>
          <w:b w:val="0"/>
        </w:rPr>
      </w:pPr>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w:t>
      </w:r>
      <w:bookmarkEnd w:id="35"/>
      <w:bookmarkEnd w:id="36"/>
      <w:bookmarkEnd w:id="37"/>
    </w:p>
    <w:p w14:paraId="5118B1EC">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bookmarkStart w:id="38" w:name="_Toc15377210"/>
      <w:r>
        <w:rPr>
          <w:rFonts w:hint="eastAsia" w:eastAsia="楷体_GB2312" w:cs="楷体_GB2312"/>
          <w:b/>
          <w:sz w:val="32"/>
          <w:szCs w:val="32"/>
        </w:rPr>
        <w:t>（一）一般公共预算财政拨款支出决算总体情况</w:t>
      </w:r>
      <w:bookmarkEnd w:id="38"/>
    </w:p>
    <w:p w14:paraId="27DBD1E6">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2025年度一般公共预算财政拨款支出321.84万元，占本年支出合计391.64</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82.2</w:t>
      </w:r>
      <w:r>
        <w:rPr>
          <w:rFonts w:hint="eastAsia" w:ascii="仿宋_GB2312" w:hAnsi="仿宋_GB2312" w:eastAsia="仿宋_GB2312" w:cs="仿宋_GB2312"/>
          <w:sz w:val="32"/>
          <w:szCs w:val="32"/>
        </w:rPr>
        <w:t>%。与上年度相比，一般公共预算财政拨款支出增加</w:t>
      </w:r>
      <w:r>
        <w:rPr>
          <w:rFonts w:hint="eastAsia" w:ascii="仿宋_GB2312" w:hAnsi="仿宋_GB2312" w:eastAsia="仿宋_GB2312" w:cs="仿宋_GB2312"/>
          <w:sz w:val="32"/>
          <w:szCs w:val="32"/>
          <w:lang w:val="en-US" w:eastAsia="zh-CN"/>
        </w:rPr>
        <w:t>66.87</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26.2</w:t>
      </w:r>
      <w:r>
        <w:rPr>
          <w:rFonts w:hint="eastAsia" w:ascii="仿宋_GB2312" w:hAnsi="仿宋_GB2312" w:eastAsia="仿宋_GB2312" w:cs="仿宋_GB2312"/>
          <w:sz w:val="32"/>
          <w:szCs w:val="32"/>
        </w:rPr>
        <w:t>%。主要变动原因是一般公共预算财政拨款</w:t>
      </w:r>
      <w:r>
        <w:rPr>
          <w:rFonts w:hint="eastAsia" w:ascii="仿宋_GB2312" w:hAnsi="仿宋_GB2312" w:eastAsia="仿宋_GB2312" w:cs="仿宋_GB2312"/>
          <w:sz w:val="32"/>
          <w:szCs w:val="32"/>
          <w:lang w:eastAsia="zh-CN"/>
        </w:rPr>
        <w:t>基本支出和项目支出均有增加。</w:t>
      </w:r>
    </w:p>
    <w:p w14:paraId="50091A93">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eastAsia="仿宋_GB2312" w:cs="仿宋_GB2312"/>
          <w:sz w:val="32"/>
          <w:szCs w:val="32"/>
          <w:lang w:eastAsia="zh-CN"/>
        </w:rPr>
      </w:pPr>
    </w:p>
    <w:p w14:paraId="7F1C6D36">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bookmarkStart w:id="39" w:name="_Toc15377211"/>
    </w:p>
    <w:p w14:paraId="65B1F4A2">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0937E036">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2CFAF42C">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3920D2DE">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6F7B2FA2">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326EDCC7">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64DE604B">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17D43C9F">
      <w:pPr>
        <w:pageBreakBefore w:val="0"/>
        <w:kinsoku/>
        <w:wordWrap/>
        <w:overflowPunct/>
        <w:topLinePunct w:val="0"/>
        <w:bidi w:val="0"/>
        <w:spacing w:line="600" w:lineRule="exact"/>
        <w:ind w:firstLine="640" w:firstLineChars="200"/>
        <w:textAlignment w:val="auto"/>
        <w:outlineLvl w:val="2"/>
        <w:rPr>
          <w:rFonts w:hint="eastAsia" w:eastAsia="楷体_GB2312" w:cs="楷体_GB2312"/>
          <w:b/>
          <w:sz w:val="32"/>
          <w:szCs w:val="32"/>
        </w:rPr>
      </w:pPr>
      <w:r>
        <w:rPr>
          <w:rFonts w:hint="eastAsia"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410845</wp:posOffset>
            </wp:positionH>
            <wp:positionV relativeFrom="paragraph">
              <wp:posOffset>-2929255</wp:posOffset>
            </wp:positionV>
            <wp:extent cx="4768850" cy="3228975"/>
            <wp:effectExtent l="4445" t="4445" r="8255" b="50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651E2E9">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r>
        <w:rPr>
          <w:rFonts w:hint="eastAsia" w:eastAsia="楷体_GB2312" w:cs="楷体_GB2312"/>
          <w:b/>
          <w:sz w:val="32"/>
          <w:szCs w:val="32"/>
        </w:rPr>
        <w:t>（二）一般公共预算财政拨款支出决算结构情况</w:t>
      </w:r>
      <w:bookmarkEnd w:id="39"/>
    </w:p>
    <w:p w14:paraId="35596E01">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eastAsia="仿宋_GB2312" w:cs="仿宋_GB2312"/>
          <w:sz w:val="32"/>
          <w:szCs w:val="32"/>
          <w:lang w:eastAsia="zh-CN"/>
        </w:rPr>
      </w:pPr>
      <w:r>
        <w:rPr>
          <w:rFonts w:hint="eastAsia" w:ascii="仿宋_GB2312" w:hAnsi="仿宋_GB2312" w:eastAsia="仿宋_GB2312" w:cs="仿宋_GB2312"/>
          <w:sz w:val="32"/>
          <w:szCs w:val="32"/>
        </w:rPr>
        <w:t>2025年度一般公共预算财政拨款支出</w:t>
      </w:r>
      <w:r>
        <w:rPr>
          <w:rFonts w:hint="eastAsia" w:ascii="仿宋_GB2312" w:hAnsi="仿宋_GB2312" w:eastAsia="仿宋_GB2312" w:cs="仿宋_GB2312"/>
          <w:sz w:val="32"/>
          <w:szCs w:val="32"/>
          <w:lang w:val="en-US" w:eastAsia="zh-CN"/>
        </w:rPr>
        <w:t>321.84</w:t>
      </w:r>
      <w:r>
        <w:rPr>
          <w:rFonts w:hint="eastAsia" w:ascii="仿宋_GB2312" w:hAnsi="仿宋_GB2312" w:eastAsia="仿宋_GB2312" w:cs="仿宋_GB2312"/>
          <w:sz w:val="32"/>
          <w:szCs w:val="32"/>
        </w:rPr>
        <w:t>万元，主要用于以下方面：社会保障和就业支出28.67万元，占</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%；卫生健康支出19.25万元，占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%；节能环保支出250.51万元，占</w:t>
      </w:r>
      <w:r>
        <w:rPr>
          <w:rFonts w:hint="eastAsia" w:ascii="仿宋_GB2312" w:hAnsi="仿宋_GB2312" w:eastAsia="仿宋_GB2312" w:cs="仿宋_GB2312"/>
          <w:sz w:val="32"/>
          <w:szCs w:val="32"/>
          <w:lang w:val="en-US" w:eastAsia="zh-CN"/>
        </w:rPr>
        <w:t>77.9</w:t>
      </w:r>
      <w:r>
        <w:rPr>
          <w:rFonts w:hint="eastAsia" w:ascii="仿宋_GB2312" w:hAnsi="仿宋_GB2312" w:eastAsia="仿宋_GB2312" w:cs="仿宋_GB2312"/>
          <w:sz w:val="32"/>
          <w:szCs w:val="32"/>
        </w:rPr>
        <w:t>%；住房保障支出23.41万元，占</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00564FC9">
      <w:pPr>
        <w:pageBreakBefore w:val="0"/>
        <w:kinsoku/>
        <w:wordWrap/>
        <w:overflowPunct/>
        <w:topLinePunct w:val="0"/>
        <w:bidi w:val="0"/>
        <w:spacing w:line="600" w:lineRule="exact"/>
        <w:textAlignment w:val="auto"/>
        <w:outlineLvl w:val="2"/>
        <w:rPr>
          <w:rFonts w:hint="eastAsia" w:eastAsia="楷体_GB2312" w:cs="楷体_GB2312"/>
          <w:b/>
          <w:sz w:val="32"/>
          <w:szCs w:val="32"/>
        </w:rPr>
      </w:pPr>
      <w:bookmarkStart w:id="40" w:name="_Toc15377212"/>
    </w:p>
    <w:p w14:paraId="6AC9154D">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65DDFB34">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63328877">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667A460B">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522C566E">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335B33FB">
      <w:pPr>
        <w:pageBreakBefore w:val="0"/>
        <w:kinsoku/>
        <w:wordWrap/>
        <w:overflowPunct/>
        <w:topLinePunct w:val="0"/>
        <w:bidi w:val="0"/>
        <w:spacing w:line="600" w:lineRule="exact"/>
        <w:ind w:firstLine="643" w:firstLineChars="200"/>
        <w:textAlignment w:val="auto"/>
        <w:outlineLvl w:val="2"/>
        <w:rPr>
          <w:rFonts w:hint="eastAsia" w:eastAsia="楷体_GB2312" w:cs="楷体_GB2312"/>
          <w:b/>
          <w:sz w:val="32"/>
          <w:szCs w:val="32"/>
        </w:rPr>
      </w:pPr>
    </w:p>
    <w:p w14:paraId="0B2220F0">
      <w:pPr>
        <w:pageBreakBefore w:val="0"/>
        <w:kinsoku/>
        <w:wordWrap/>
        <w:overflowPunct/>
        <w:topLinePunct w:val="0"/>
        <w:bidi w:val="0"/>
        <w:spacing w:line="600" w:lineRule="exact"/>
        <w:ind w:firstLine="640" w:firstLineChars="200"/>
        <w:textAlignment w:val="auto"/>
        <w:outlineLvl w:val="2"/>
        <w:rPr>
          <w:rFonts w:hint="eastAsia" w:eastAsia="楷体_GB2312" w:cs="楷体_GB2312"/>
          <w:b/>
          <w:sz w:val="32"/>
          <w:szCs w:val="32"/>
        </w:rPr>
      </w:pPr>
      <w:r>
        <w:rPr>
          <w:rFonts w:hint="eastAsia" w:eastAsia="仿宋_GB2312" w:cs="仿宋_GB2312"/>
          <w:sz w:val="32"/>
          <w:szCs w:val="32"/>
          <w:lang w:eastAsia="zh-CN"/>
        </w:rPr>
        <w:drawing>
          <wp:anchor distT="0" distB="0" distL="114300" distR="114300" simplePos="0" relativeHeight="251664384" behindDoc="0" locked="0" layoutInCell="1" allowOverlap="1">
            <wp:simplePos x="0" y="0"/>
            <wp:positionH relativeFrom="column">
              <wp:posOffset>410845</wp:posOffset>
            </wp:positionH>
            <wp:positionV relativeFrom="paragraph">
              <wp:posOffset>-2395855</wp:posOffset>
            </wp:positionV>
            <wp:extent cx="4742180" cy="2687320"/>
            <wp:effectExtent l="4445" t="4445" r="15875" b="1333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5280C3A2">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r>
        <w:rPr>
          <w:rFonts w:hint="eastAsia" w:eastAsia="楷体_GB2312" w:cs="楷体_GB2312"/>
          <w:b/>
          <w:sz w:val="32"/>
          <w:szCs w:val="32"/>
        </w:rPr>
        <w:t>（三）一般公共预算财政拨款支出决算具体情况</w:t>
      </w:r>
      <w:bookmarkEnd w:id="40"/>
    </w:p>
    <w:p w14:paraId="68954B0D">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sz w:val="32"/>
          <w:szCs w:val="32"/>
        </w:rPr>
      </w:pPr>
      <w:bookmarkStart w:id="41" w:name="_Toc15378460"/>
      <w:bookmarkStart w:id="42" w:name="_Toc15377444"/>
      <w:bookmarkStart w:id="43" w:name="_Toc15377213"/>
      <w:r>
        <w:rPr>
          <w:rFonts w:hint="eastAsia" w:ascii="仿宋_GB2312" w:hAnsi="仿宋_GB2312" w:eastAsia="仿宋_GB2312" w:cs="仿宋_GB2312"/>
          <w:color w:val="auto"/>
          <w:sz w:val="32"/>
          <w:szCs w:val="32"/>
        </w:rPr>
        <w:t>2025年度一般公共预算支出决算数为</w:t>
      </w:r>
      <w:r>
        <w:rPr>
          <w:rFonts w:hint="eastAsia" w:ascii="仿宋_GB2312" w:hAnsi="仿宋_GB2312" w:eastAsia="仿宋_GB2312" w:cs="仿宋_GB2312"/>
          <w:color w:val="auto"/>
          <w:sz w:val="32"/>
          <w:szCs w:val="32"/>
          <w:lang w:val="en-US" w:eastAsia="zh-CN"/>
        </w:rPr>
        <w:t>321.84万元</w:t>
      </w:r>
      <w:r>
        <w:rPr>
          <w:rFonts w:hint="eastAsia" w:ascii="仿宋_GB2312" w:hAnsi="仿宋_GB2312" w:eastAsia="仿宋_GB2312" w:cs="仿宋_GB2312"/>
          <w:color w:val="auto"/>
          <w:sz w:val="32"/>
          <w:szCs w:val="32"/>
        </w:rPr>
        <w:t>，完成预算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%。其中：</w:t>
      </w:r>
      <w:bookmarkEnd w:id="41"/>
      <w:bookmarkEnd w:id="42"/>
      <w:bookmarkEnd w:id="43"/>
    </w:p>
    <w:p w14:paraId="2D2046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kern w:val="2"/>
          <w:sz w:val="32"/>
          <w:szCs w:val="32"/>
          <w:highlight w:val="none"/>
          <w:lang w:val="en-US" w:eastAsia="zh-CN" w:bidi="ar-SA"/>
        </w:rPr>
        <w:t>节能环保支出（类）环境保护管理事务（款）其他环境保护管理事务支出（项）：支出决算为</w:t>
      </w:r>
      <w:r>
        <w:rPr>
          <w:rFonts w:hint="eastAsia" w:ascii="仿宋_GB2312" w:hAnsi="仿宋_GB2312" w:eastAsia="仿宋_GB2312" w:cs="仿宋_GB2312"/>
          <w:color w:val="auto"/>
          <w:sz w:val="32"/>
          <w:szCs w:val="32"/>
          <w:lang w:val="en-US" w:eastAsia="zh-CN"/>
        </w:rPr>
        <w:t>166.25</w:t>
      </w:r>
      <w:r>
        <w:rPr>
          <w:rFonts w:hint="eastAsia" w:ascii="仿宋_GB2312" w:hAnsi="仿宋_GB2312" w:eastAsia="仿宋_GB2312" w:cs="仿宋_GB2312"/>
          <w:color w:val="auto"/>
          <w:kern w:val="2"/>
          <w:sz w:val="32"/>
          <w:szCs w:val="32"/>
          <w:highlight w:val="none"/>
          <w:lang w:val="en-US" w:eastAsia="zh-CN" w:bidi="ar-SA"/>
        </w:rPr>
        <w:t>万元，完成预算100%。</w:t>
      </w:r>
    </w:p>
    <w:p w14:paraId="217A098E">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kern w:val="2"/>
          <w:sz w:val="32"/>
          <w:szCs w:val="32"/>
          <w:highlight w:val="none"/>
          <w:lang w:val="en-US" w:eastAsia="zh-CN" w:bidi="ar-SA"/>
        </w:rPr>
        <w:t>社会保障和就业支出（类）行政事业单位养老支出（款）机关事业单位基本养老保险缴费支出（项）：支出决算为28.67万元，完成预算100%。</w:t>
      </w:r>
    </w:p>
    <w:p w14:paraId="546364BB">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kern w:val="2"/>
          <w:sz w:val="32"/>
          <w:szCs w:val="32"/>
          <w:highlight w:val="none"/>
          <w:lang w:val="en-US" w:eastAsia="zh-CN" w:bidi="ar-SA"/>
        </w:rPr>
        <w:t>卫生健康支出（类）行政事业单位医疗（款）事业单位医疗（项）：支出决算为15.38万元，完成预算100%。</w:t>
      </w:r>
    </w:p>
    <w:p w14:paraId="0066B1EB">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kern w:val="2"/>
          <w:sz w:val="32"/>
          <w:szCs w:val="32"/>
          <w:highlight w:val="none"/>
          <w:lang w:val="en-US" w:eastAsia="zh-CN" w:bidi="ar-SA"/>
        </w:rPr>
        <w:t>卫生健康支出（类）行政事业单位医疗（款）公务员医疗补助（项）：支出决算为1.92万元，完成预算100%。</w:t>
      </w:r>
    </w:p>
    <w:p w14:paraId="4EE40A4E">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kern w:val="2"/>
          <w:sz w:val="32"/>
          <w:szCs w:val="32"/>
          <w:highlight w:val="none"/>
          <w:lang w:val="en-US" w:eastAsia="zh-CN" w:bidi="ar-SA"/>
        </w:rPr>
        <w:t>卫生健康支出（类）行政事业单位医疗（款）其他行政事业单位医疗支出（项）：支出决算为1.95万元，完成预算100%。</w:t>
      </w:r>
    </w:p>
    <w:p w14:paraId="78B2BA7F">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kern w:val="2"/>
          <w:sz w:val="32"/>
          <w:szCs w:val="32"/>
          <w:highlight w:val="none"/>
          <w:lang w:val="en-US" w:eastAsia="zh-CN" w:bidi="ar-SA"/>
        </w:rPr>
        <w:t>住房保障支出（类）住房改革支出（款）住房公积金（项）：支出决算为23.41万元，完成预算100%。</w:t>
      </w:r>
    </w:p>
    <w:p w14:paraId="45C4E6A2">
      <w:pPr>
        <w:pageBreakBefore w:val="0"/>
        <w:kinsoku/>
        <w:wordWrap/>
        <w:overflowPunct/>
        <w:topLinePunct w:val="0"/>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highlight w:val="none"/>
          <w:lang w:val="en-US" w:eastAsia="zh-CN" w:bidi="ar-SA"/>
        </w:rPr>
        <w:t>节能环保支出（类）污染防治（款）其他污染防治支出（项）:支出决算为84.26万元，完成预算100%。</w:t>
      </w:r>
    </w:p>
    <w:p w14:paraId="1492DA27">
      <w:pPr>
        <w:pageBreakBefore w:val="0"/>
        <w:tabs>
          <w:tab w:val="right" w:pos="8306"/>
        </w:tabs>
        <w:kinsoku/>
        <w:wordWrap/>
        <w:overflowPunct/>
        <w:topLinePunct w:val="0"/>
        <w:bidi w:val="0"/>
        <w:spacing w:line="600" w:lineRule="exact"/>
        <w:ind w:firstLine="640"/>
        <w:textAlignment w:val="auto"/>
        <w:outlineLvl w:val="1"/>
        <w:rPr>
          <w:rStyle w:val="29"/>
          <w:rFonts w:ascii="Times New Roman" w:hAnsi="Times New Roman"/>
        </w:rPr>
      </w:pPr>
      <w:bookmarkStart w:id="44" w:name="_Toc15377214"/>
      <w:bookmarkStart w:id="45" w:name="_Toc15396608"/>
      <w:bookmarkStart w:id="46" w:name="_Toc1235_WPSOffice_Level2"/>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44"/>
      <w:bookmarkEnd w:id="45"/>
      <w:bookmarkEnd w:id="46"/>
      <w:r>
        <w:rPr>
          <w:rStyle w:val="29"/>
          <w:rFonts w:ascii="Times New Roman" w:hAnsi="Times New Roman" w:eastAsia="黑体"/>
          <w:b w:val="0"/>
        </w:rPr>
        <w:tab/>
      </w:r>
    </w:p>
    <w:p w14:paraId="33434BBC">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2025年度一般公共预算财政拨款基本支出</w:t>
      </w:r>
      <w:r>
        <w:rPr>
          <w:rFonts w:hint="eastAsia" w:ascii="仿宋_GB2312" w:hAnsi="仿宋_GB2312" w:eastAsia="仿宋_GB2312" w:cs="仿宋_GB2312"/>
          <w:sz w:val="32"/>
          <w:szCs w:val="32"/>
          <w:lang w:val="en-US" w:eastAsia="zh-CN"/>
        </w:rPr>
        <w:t>237.58</w:t>
      </w:r>
      <w:r>
        <w:rPr>
          <w:rFonts w:hint="eastAsia" w:ascii="仿宋_GB2312" w:hAnsi="仿宋_GB2312" w:eastAsia="仿宋_GB2312" w:cs="仿宋_GB2312"/>
          <w:sz w:val="32"/>
          <w:szCs w:val="32"/>
        </w:rPr>
        <w:t>万元，其中：</w:t>
      </w:r>
    </w:p>
    <w:p w14:paraId="69297194">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227.52</w:t>
      </w:r>
      <w:r>
        <w:rPr>
          <w:rFonts w:hint="eastAsia" w:ascii="仿宋_GB2312" w:hAnsi="仿宋_GB2312" w:eastAsia="仿宋_GB2312" w:cs="仿宋_GB2312"/>
          <w:sz w:val="32"/>
          <w:szCs w:val="32"/>
        </w:rPr>
        <w:t>万元，主要包括：基本工资、津贴补贴、绩效工资、机关事业单位基本养老保险缴费、其他社会保障缴费、其他工资福利支出、奖励金、住房公积金等。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10.06</w:t>
      </w:r>
      <w:r>
        <w:rPr>
          <w:rFonts w:hint="eastAsia" w:ascii="仿宋_GB2312" w:hAnsi="仿宋_GB2312" w:eastAsia="仿宋_GB2312" w:cs="仿宋_GB2312"/>
          <w:sz w:val="32"/>
          <w:szCs w:val="32"/>
        </w:rPr>
        <w:t>万元，主要包括：办公费、水费、电费、邮电费、差旅费、维修（护）费、培训费、工会经费、公务用车运行维护费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其他商品和服务支出等。</w:t>
      </w:r>
    </w:p>
    <w:p w14:paraId="59985CAD">
      <w:pPr>
        <w:pageBreakBefore w:val="0"/>
        <w:kinsoku/>
        <w:wordWrap/>
        <w:overflowPunct/>
        <w:topLinePunct w:val="0"/>
        <w:bidi w:val="0"/>
        <w:spacing w:line="600" w:lineRule="exact"/>
        <w:ind w:firstLine="640"/>
        <w:textAlignment w:val="auto"/>
        <w:outlineLvl w:val="1"/>
        <w:rPr>
          <w:rStyle w:val="29"/>
          <w:rFonts w:ascii="Times New Roman" w:hAnsi="Times New Roman" w:eastAsia="黑体"/>
          <w:b w:val="0"/>
        </w:rPr>
      </w:pPr>
      <w:bookmarkStart w:id="47" w:name="_Toc12277_WPSOffice_Level2"/>
      <w:bookmarkStart w:id="48" w:name="_Toc15396609"/>
      <w:bookmarkStart w:id="49"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47"/>
      <w:bookmarkEnd w:id="48"/>
      <w:bookmarkEnd w:id="49"/>
    </w:p>
    <w:p w14:paraId="4F437093">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bookmarkStart w:id="50" w:name="_Toc15377216"/>
      <w:r>
        <w:rPr>
          <w:rFonts w:hint="eastAsia" w:eastAsia="楷体_GB2312" w:cs="楷体_GB2312"/>
          <w:b/>
          <w:sz w:val="32"/>
          <w:szCs w:val="32"/>
        </w:rPr>
        <w:t>（一）财政拨款“三公”经费支出决算总体情况说明</w:t>
      </w:r>
      <w:bookmarkEnd w:id="50"/>
    </w:p>
    <w:p w14:paraId="3DE54B36">
      <w:pPr>
        <w:pageBreakBefore w:val="0"/>
        <w:kinsoku/>
        <w:wordWrap/>
        <w:overflowPunct/>
        <w:topLinePunct w:val="0"/>
        <w:bidi w:val="0"/>
        <w:spacing w:line="600" w:lineRule="exact"/>
        <w:ind w:firstLine="64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2025年度财政拨款“三公”经费支出决算为1.46万元，完成预算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%，较上年度增加</w:t>
      </w:r>
      <w:r>
        <w:rPr>
          <w:rFonts w:hint="eastAsia" w:ascii="仿宋_GB2312" w:hAnsi="仿宋_GB2312" w:eastAsia="仿宋_GB2312" w:cs="仿宋_GB2312"/>
          <w:sz w:val="32"/>
          <w:szCs w:val="32"/>
          <w:lang w:val="en-US" w:eastAsia="zh-CN"/>
        </w:rPr>
        <w:t>0.98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204.2</w:t>
      </w:r>
      <w:r>
        <w:rPr>
          <w:rFonts w:hint="eastAsia" w:ascii="仿宋_GB2312" w:hAnsi="仿宋_GB2312" w:eastAsia="仿宋_GB2312" w:cs="仿宋_GB2312"/>
          <w:sz w:val="32"/>
          <w:szCs w:val="32"/>
        </w:rPr>
        <w:t>%。</w:t>
      </w:r>
    </w:p>
    <w:p w14:paraId="7FFBD822">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bookmarkStart w:id="51" w:name="_Toc15377217"/>
      <w:r>
        <w:rPr>
          <w:rFonts w:hint="eastAsia" w:eastAsia="楷体_GB2312" w:cs="楷体_GB2312"/>
          <w:b/>
          <w:sz w:val="32"/>
          <w:szCs w:val="32"/>
        </w:rPr>
        <w:t>（二）财政拨款“三公”经费支出决算具体情况说明</w:t>
      </w:r>
      <w:bookmarkEnd w:id="51"/>
    </w:p>
    <w:p w14:paraId="171525FB">
      <w:pPr>
        <w:pageBreakBefore w:val="0"/>
        <w:kinsoku/>
        <w:wordWrap/>
        <w:overflowPunct/>
        <w:topLinePunct w:val="0"/>
        <w:bidi w:val="0"/>
        <w:spacing w:line="600" w:lineRule="exact"/>
        <w:ind w:firstLine="640"/>
        <w:textAlignment w:val="auto"/>
        <w:rPr>
          <w:rFonts w:eastAsia="仿宋_GB2312" w:cs="仿宋_GB2312"/>
          <w:sz w:val="32"/>
          <w:szCs w:val="32"/>
        </w:rPr>
      </w:pPr>
      <w:r>
        <w:rPr>
          <w:rFonts w:hint="eastAsia" w:ascii="仿宋_GB2312" w:hAnsi="仿宋_GB2312" w:eastAsia="仿宋_GB2312" w:cs="仿宋_GB2312"/>
          <w:sz w:val="32"/>
          <w:szCs w:val="32"/>
        </w:rPr>
        <w:t>2025年度财政拨款“三公”经费支出决算中，因公出国（境）费支出决算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万元；公务用车购置及运行维护费支出决算</w:t>
      </w:r>
      <w:r>
        <w:rPr>
          <w:rFonts w:hint="eastAsia" w:ascii="仿宋_GB2312" w:hAnsi="仿宋_GB2312" w:eastAsia="仿宋_GB2312" w:cs="仿宋_GB2312"/>
          <w:sz w:val="32"/>
          <w:szCs w:val="32"/>
          <w:lang w:val="en-US" w:eastAsia="zh-CN"/>
        </w:rPr>
        <w:t>1.46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万元。具体情况如下：</w:t>
      </w:r>
    </w:p>
    <w:p w14:paraId="3DD83F00">
      <w:pPr>
        <w:pStyle w:val="19"/>
        <w:keepNext/>
        <w:keepLines/>
        <w:pageBreakBefore w:val="0"/>
        <w:widowControl w:val="0"/>
        <w:kinsoku/>
        <w:wordWrap/>
        <w:overflowPunct/>
        <w:topLinePunct w:val="0"/>
        <w:autoSpaceDE/>
        <w:autoSpaceDN/>
        <w:bidi w:val="0"/>
        <w:adjustRightInd/>
        <w:snapToGrid/>
        <w:spacing w:line="600" w:lineRule="exact"/>
        <w:textAlignment w:val="auto"/>
        <w:rPr>
          <w:rFonts w:hint="eastAsia" w:eastAsia="黑体"/>
          <w:lang w:eastAsia="zh-CN"/>
        </w:rPr>
      </w:pPr>
    </w:p>
    <w:p w14:paraId="4828D23C">
      <w:pPr>
        <w:pageBreakBefore w:val="0"/>
        <w:kinsoku/>
        <w:wordWrap/>
        <w:overflowPunct/>
        <w:topLinePunct w:val="0"/>
        <w:bidi w:val="0"/>
        <w:spacing w:line="600" w:lineRule="exact"/>
        <w:ind w:firstLine="640"/>
        <w:textAlignment w:val="auto"/>
        <w:rPr>
          <w:rFonts w:hint="eastAsia" w:eastAsia="仿宋_GB2312" w:cs="仿宋_GB2312"/>
          <w:b/>
          <w:bCs/>
          <w:sz w:val="32"/>
          <w:szCs w:val="32"/>
        </w:rPr>
      </w:pPr>
    </w:p>
    <w:p w14:paraId="664A36AE">
      <w:pPr>
        <w:pageBreakBefore w:val="0"/>
        <w:kinsoku/>
        <w:wordWrap/>
        <w:overflowPunct/>
        <w:topLinePunct w:val="0"/>
        <w:bidi w:val="0"/>
        <w:spacing w:line="600" w:lineRule="exact"/>
        <w:ind w:firstLine="640"/>
        <w:textAlignment w:val="auto"/>
        <w:rPr>
          <w:rFonts w:hint="eastAsia" w:eastAsia="仿宋_GB2312" w:cs="仿宋_GB2312"/>
          <w:b/>
          <w:bCs/>
          <w:sz w:val="32"/>
          <w:szCs w:val="32"/>
        </w:rPr>
      </w:pPr>
    </w:p>
    <w:p w14:paraId="20681525">
      <w:pPr>
        <w:pageBreakBefore w:val="0"/>
        <w:kinsoku/>
        <w:wordWrap/>
        <w:overflowPunct/>
        <w:topLinePunct w:val="0"/>
        <w:bidi w:val="0"/>
        <w:spacing w:line="600" w:lineRule="exact"/>
        <w:ind w:firstLine="640"/>
        <w:textAlignment w:val="auto"/>
        <w:rPr>
          <w:rFonts w:hint="eastAsia" w:eastAsia="仿宋_GB2312" w:cs="仿宋_GB2312"/>
          <w:b/>
          <w:bCs/>
          <w:sz w:val="32"/>
          <w:szCs w:val="32"/>
        </w:rPr>
      </w:pPr>
    </w:p>
    <w:p w14:paraId="1A7DAD56">
      <w:pPr>
        <w:pageBreakBefore w:val="0"/>
        <w:kinsoku/>
        <w:wordWrap/>
        <w:overflowPunct/>
        <w:topLinePunct w:val="0"/>
        <w:bidi w:val="0"/>
        <w:spacing w:line="600" w:lineRule="exact"/>
        <w:ind w:firstLine="640"/>
        <w:textAlignment w:val="auto"/>
        <w:rPr>
          <w:rFonts w:hint="eastAsia" w:eastAsia="仿宋_GB2312" w:cs="仿宋_GB2312"/>
          <w:b/>
          <w:bCs/>
          <w:sz w:val="32"/>
          <w:szCs w:val="32"/>
        </w:rPr>
      </w:pPr>
    </w:p>
    <w:p w14:paraId="7D07E98C">
      <w:pPr>
        <w:pageBreakBefore w:val="0"/>
        <w:kinsoku/>
        <w:wordWrap/>
        <w:overflowPunct/>
        <w:topLinePunct w:val="0"/>
        <w:bidi w:val="0"/>
        <w:spacing w:line="600" w:lineRule="exact"/>
        <w:ind w:firstLine="640"/>
        <w:textAlignment w:val="auto"/>
        <w:rPr>
          <w:rFonts w:hint="eastAsia" w:eastAsia="仿宋_GB2312" w:cs="仿宋_GB2312"/>
          <w:b/>
          <w:bCs/>
          <w:sz w:val="32"/>
          <w:szCs w:val="32"/>
        </w:rPr>
      </w:pPr>
      <w:r>
        <w:rPr>
          <w:rFonts w:hint="eastAsia" w:eastAsia="黑体"/>
          <w:lang w:eastAsia="zh-CN"/>
        </w:rPr>
        <w:drawing>
          <wp:anchor distT="0" distB="0" distL="114300" distR="114300" simplePos="0" relativeHeight="251665408" behindDoc="0" locked="0" layoutInCell="1" allowOverlap="1">
            <wp:simplePos x="0" y="0"/>
            <wp:positionH relativeFrom="column">
              <wp:posOffset>410845</wp:posOffset>
            </wp:positionH>
            <wp:positionV relativeFrom="paragraph">
              <wp:posOffset>-2033905</wp:posOffset>
            </wp:positionV>
            <wp:extent cx="4794885" cy="2317115"/>
            <wp:effectExtent l="4445" t="4445" r="20320" b="2159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419477A7">
      <w:pPr>
        <w:pageBreakBefore w:val="0"/>
        <w:kinsoku/>
        <w:wordWrap/>
        <w:overflowPunct/>
        <w:topLinePunct w:val="0"/>
        <w:bidi w:val="0"/>
        <w:spacing w:line="600" w:lineRule="exact"/>
        <w:ind w:firstLine="640"/>
        <w:textAlignment w:val="auto"/>
        <w:rPr>
          <w:rFonts w:hint="eastAsia" w:eastAsia="仿宋_GB2312" w:cs="仿宋_GB2312"/>
          <w:b/>
          <w:bCs/>
          <w:sz w:val="32"/>
          <w:szCs w:val="32"/>
        </w:rPr>
      </w:pPr>
    </w:p>
    <w:p w14:paraId="37508C33">
      <w:pPr>
        <w:pageBreakBefore w:val="0"/>
        <w:kinsoku/>
        <w:wordWrap/>
        <w:overflowPunct/>
        <w:topLinePunct w:val="0"/>
        <w:bidi w:val="0"/>
        <w:spacing w:line="60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sz w:val="32"/>
          <w:szCs w:val="32"/>
        </w:rPr>
        <w:t>1.因公出国（境）经费支出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eastAsia="仿宋_GB2312" w:cs="仿宋_GB2312"/>
          <w:color w:val="auto"/>
          <w:kern w:val="2"/>
          <w:sz w:val="32"/>
          <w:szCs w:val="32"/>
          <w:highlight w:val="none"/>
          <w:lang w:val="en-US" w:eastAsia="zh-CN" w:bidi="ar-SA"/>
        </w:rPr>
        <w:t>因公出国（境）支出决算与2024年持平。</w:t>
      </w:r>
    </w:p>
    <w:p w14:paraId="6C624C1E">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1.46</w:t>
      </w:r>
      <w:r>
        <w:rPr>
          <w:rFonts w:hint="eastAsia" w:ascii="仿宋_GB2312" w:hAnsi="仿宋_GB2312" w:eastAsia="仿宋_GB2312" w:cs="仿宋_GB2312"/>
          <w:b/>
          <w:bCs/>
          <w:sz w:val="32"/>
          <w:szCs w:val="32"/>
        </w:rPr>
        <w:t>万元，完成预算</w:t>
      </w:r>
      <w:r>
        <w:rPr>
          <w:rFonts w:hint="eastAsia" w:ascii="仿宋_GB2312" w:hAnsi="仿宋_GB2312" w:eastAsia="仿宋_GB2312" w:cs="仿宋_GB2312"/>
          <w:b/>
          <w:bCs/>
          <w:sz w:val="32"/>
          <w:szCs w:val="32"/>
          <w:lang w:val="en-US" w:eastAsia="zh-CN"/>
        </w:rPr>
        <w:t>100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公务用车购置及运行维护费支出决算比上年度增加</w:t>
      </w:r>
      <w:r>
        <w:rPr>
          <w:rFonts w:hint="eastAsia" w:ascii="仿宋_GB2312" w:hAnsi="仿宋_GB2312" w:eastAsia="仿宋_GB2312" w:cs="仿宋_GB2312"/>
          <w:sz w:val="32"/>
          <w:szCs w:val="32"/>
          <w:lang w:val="en-US" w:eastAsia="zh-CN"/>
        </w:rPr>
        <w:t>1.08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284.2</w:t>
      </w:r>
      <w:r>
        <w:rPr>
          <w:rFonts w:hint="eastAsia" w:ascii="仿宋_GB2312" w:hAnsi="仿宋_GB2312" w:eastAsia="仿宋_GB2312" w:cs="仿宋_GB2312"/>
          <w:sz w:val="32"/>
          <w:szCs w:val="32"/>
        </w:rPr>
        <w:t>%。主要原因是</w:t>
      </w:r>
      <w:r>
        <w:rPr>
          <w:rFonts w:hint="eastAsia" w:ascii="仿宋_GB2312" w:hAnsi="仿宋_GB2312" w:eastAsia="仿宋_GB2312" w:cs="仿宋_GB2312"/>
          <w:color w:val="auto"/>
          <w:sz w:val="32"/>
          <w:szCs w:val="32"/>
          <w:highlight w:val="none"/>
          <w:lang w:val="en-US" w:eastAsia="zh-CN"/>
        </w:rPr>
        <w:t>业务用车于2024年12月购回，24年车辆使用时间为一个月，25年使用时间为12个月。</w:t>
      </w:r>
    </w:p>
    <w:p w14:paraId="46779204">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color w:val="auto"/>
          <w:kern w:val="2"/>
          <w:sz w:val="32"/>
          <w:szCs w:val="32"/>
          <w:highlight w:val="none"/>
          <w:lang w:val="en-US" w:eastAsia="zh-CN" w:bidi="ar-SA"/>
        </w:rPr>
        <w:t>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w:t>
      </w:r>
      <w:r>
        <w:rPr>
          <w:rFonts w:hint="eastAsia" w:ascii="仿宋_GB2312" w:hAnsi="仿宋_GB2312" w:eastAsia="仿宋_GB2312" w:cs="仿宋_GB2312"/>
          <w:sz w:val="32"/>
          <w:szCs w:val="32"/>
        </w:rPr>
        <w:t>。</w:t>
      </w:r>
    </w:p>
    <w:p w14:paraId="04E9D8C1">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rPr>
        <w:t>截至2025年12月31日，单位共有公务用车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辆、越野车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14:paraId="4ED4AB43">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w:t>
      </w:r>
      <w:r>
        <w:rPr>
          <w:rFonts w:hint="eastAsia" w:ascii="仿宋_GB2312" w:hAnsi="仿宋_GB2312" w:eastAsia="仿宋_GB2312" w:cs="仿宋_GB2312"/>
          <w:sz w:val="32"/>
          <w:szCs w:val="32"/>
          <w:lang w:val="en-US" w:eastAsia="zh-CN"/>
        </w:rPr>
        <w:t>1.46</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业务</w:t>
      </w:r>
      <w:r>
        <w:rPr>
          <w:rFonts w:hint="eastAsia" w:ascii="仿宋_GB2312" w:hAnsi="仿宋_GB2312" w:eastAsia="仿宋_GB2312" w:cs="仿宋_GB2312"/>
          <w:sz w:val="32"/>
          <w:szCs w:val="32"/>
        </w:rPr>
        <w:t>工作所需的公务用车燃料费、维修费、保险费等支出。</w:t>
      </w:r>
    </w:p>
    <w:p w14:paraId="37F16DA1">
      <w:pPr>
        <w:pageBreakBefore w:val="0"/>
        <w:numPr>
          <w:ilvl w:val="0"/>
          <w:numId w:val="0"/>
        </w:numPr>
        <w:kinsoku/>
        <w:wordWrap/>
        <w:overflowPunct/>
        <w:topLinePunct w:val="0"/>
        <w:bidi w:val="0"/>
        <w:spacing w:line="60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公务接待费支出</w:t>
      </w:r>
      <w:r>
        <w:rPr>
          <w:rFonts w:hint="eastAsia" w:ascii="仿宋_GB2312" w:hAnsi="仿宋_GB2312" w:eastAsia="仿宋_GB2312" w:cs="仿宋_GB2312"/>
          <w:b/>
          <w:bCs/>
          <w:color w:val="auto"/>
          <w:sz w:val="32"/>
          <w:szCs w:val="32"/>
          <w:lang w:val="en-US" w:eastAsia="zh-CN"/>
        </w:rPr>
        <w:t>0</w:t>
      </w:r>
      <w:r>
        <w:rPr>
          <w:rFonts w:hint="eastAsia" w:ascii="仿宋_GB2312" w:hAnsi="仿宋_GB2312" w:eastAsia="仿宋_GB2312" w:cs="仿宋_GB2312"/>
          <w:b/>
          <w:bCs/>
          <w:color w:val="auto"/>
          <w:sz w:val="32"/>
          <w:szCs w:val="32"/>
        </w:rPr>
        <w:t>万元。</w:t>
      </w:r>
      <w:r>
        <w:rPr>
          <w:rFonts w:hint="eastAsia" w:ascii="仿宋_GB2312" w:hAnsi="仿宋_GB2312" w:eastAsia="仿宋_GB2312" w:cs="仿宋_GB2312"/>
          <w:color w:val="auto"/>
          <w:sz w:val="32"/>
          <w:szCs w:val="32"/>
        </w:rPr>
        <w:t>公务接待费支出决算比上年度减少</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rPr>
        <w:t>万元，下降</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本年无实际接待需求</w:t>
      </w:r>
      <w:r>
        <w:rPr>
          <w:rFonts w:hint="eastAsia" w:ascii="仿宋_GB2312" w:hAnsi="仿宋_GB2312" w:eastAsia="仿宋_GB2312" w:cs="仿宋_GB2312"/>
          <w:color w:val="auto"/>
          <w:sz w:val="32"/>
          <w:szCs w:val="32"/>
        </w:rPr>
        <w:t>。</w:t>
      </w:r>
    </w:p>
    <w:p w14:paraId="4C939E39">
      <w:pPr>
        <w:pageBreakBefore w:val="0"/>
        <w:numPr>
          <w:ilvl w:val="0"/>
          <w:numId w:val="0"/>
        </w:numPr>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国内公务接待支出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万元。国内公务接待</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批次，</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人次（不包括陪同人员），共计支出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14:paraId="37CAD959">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外事接待支出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万元。外事接待</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批次，</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人次（不包括陪同人员），共计支出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14:paraId="71D1578F">
      <w:pPr>
        <w:pageBreakBefore w:val="0"/>
        <w:kinsoku/>
        <w:wordWrap/>
        <w:overflowPunct/>
        <w:topLinePunct w:val="0"/>
        <w:bidi w:val="0"/>
        <w:spacing w:line="600" w:lineRule="exact"/>
        <w:ind w:firstLine="640"/>
        <w:textAlignment w:val="auto"/>
        <w:outlineLvl w:val="1"/>
        <w:rPr>
          <w:rStyle w:val="29"/>
          <w:rFonts w:ascii="Times New Roman" w:hAnsi="Times New Roman" w:eastAsia="黑体"/>
        </w:rPr>
      </w:pPr>
      <w:bookmarkStart w:id="52" w:name="_Toc17687_WPSOffice_Level2"/>
      <w:bookmarkStart w:id="53" w:name="_Toc15377218"/>
      <w:bookmarkStart w:id="54" w:name="_Toc15396610"/>
      <w:r>
        <w:rPr>
          <w:rFonts w:hint="eastAsia" w:eastAsia="黑体"/>
          <w:sz w:val="32"/>
          <w:szCs w:val="32"/>
        </w:rPr>
        <w:t>八、</w:t>
      </w:r>
      <w:r>
        <w:rPr>
          <w:rStyle w:val="29"/>
          <w:rFonts w:hint="eastAsia" w:ascii="Times New Roman" w:hAnsi="Times New Roman" w:eastAsia="黑体"/>
          <w:b w:val="0"/>
        </w:rPr>
        <w:t>政府性基金预算支出决算情况说明</w:t>
      </w:r>
      <w:bookmarkEnd w:id="52"/>
      <w:bookmarkEnd w:id="53"/>
      <w:bookmarkEnd w:id="54"/>
    </w:p>
    <w:p w14:paraId="3FC09FF3">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t>2025年度政府性基金预算财政拨款支出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万元，与2024年度持平。</w:t>
      </w:r>
    </w:p>
    <w:p w14:paraId="00E1A3DA">
      <w:pPr>
        <w:pageBreakBefore w:val="0"/>
        <w:kinsoku/>
        <w:wordWrap/>
        <w:overflowPunct/>
        <w:topLinePunct w:val="0"/>
        <w:bidi w:val="0"/>
        <w:spacing w:line="600" w:lineRule="exact"/>
        <w:ind w:left="630"/>
        <w:textAlignment w:val="auto"/>
        <w:outlineLvl w:val="1"/>
        <w:rPr>
          <w:rStyle w:val="29"/>
          <w:rFonts w:ascii="Times New Roman" w:hAnsi="Times New Roman" w:eastAsia="黑体"/>
          <w:b w:val="0"/>
        </w:rPr>
      </w:pPr>
      <w:bookmarkStart w:id="55" w:name="_Toc15377219"/>
      <w:bookmarkStart w:id="56" w:name="_Toc26444_WPSOffice_Level2"/>
      <w:bookmarkStart w:id="57" w:name="_Toc15396611"/>
      <w:r>
        <w:rPr>
          <w:rStyle w:val="29"/>
          <w:rFonts w:hint="eastAsia" w:ascii="Times New Roman" w:hAnsi="Times New Roman" w:eastAsia="黑体"/>
          <w:b w:val="0"/>
        </w:rPr>
        <w:t>九、国有资本经营预算支出决算情况说明</w:t>
      </w:r>
      <w:bookmarkEnd w:id="55"/>
      <w:bookmarkEnd w:id="56"/>
      <w:bookmarkEnd w:id="57"/>
    </w:p>
    <w:p w14:paraId="630E2A58">
      <w:pPr>
        <w:pageBreakBefore w:val="0"/>
        <w:kinsoku/>
        <w:wordWrap/>
        <w:overflowPunct/>
        <w:topLinePunct w:val="0"/>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bookmarkStart w:id="58" w:name="_Toc15396612"/>
      <w:bookmarkStart w:id="59" w:name="_Toc15377221"/>
      <w:r>
        <w:rPr>
          <w:rFonts w:hint="eastAsia" w:ascii="仿宋_GB2312" w:hAnsi="仿宋_GB2312" w:eastAsia="仿宋_GB2312" w:cs="仿宋_GB2312"/>
          <w:color w:val="auto"/>
          <w:kern w:val="2"/>
          <w:sz w:val="32"/>
          <w:szCs w:val="32"/>
          <w:highlight w:val="none"/>
          <w:lang w:val="en-US" w:eastAsia="zh-CN" w:bidi="ar-SA"/>
        </w:rPr>
        <w:t>2025年度国有资本经营预算财政拨款支出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万元，与2024年度持平。</w:t>
      </w:r>
    </w:p>
    <w:p w14:paraId="4A0E514A">
      <w:pPr>
        <w:pageBreakBefore w:val="0"/>
        <w:kinsoku/>
        <w:wordWrap/>
        <w:overflowPunct/>
        <w:topLinePunct w:val="0"/>
        <w:bidi w:val="0"/>
        <w:spacing w:line="600" w:lineRule="exact"/>
        <w:ind w:left="630"/>
        <w:textAlignment w:val="auto"/>
        <w:outlineLvl w:val="1"/>
        <w:rPr>
          <w:rStyle w:val="29"/>
          <w:rFonts w:ascii="Times New Roman" w:hAnsi="Times New Roman" w:eastAsia="黑体"/>
          <w:b w:val="0"/>
        </w:rPr>
      </w:pPr>
      <w:bookmarkStart w:id="60" w:name="_Toc11345_WPSOffice_Level2"/>
      <w:r>
        <w:rPr>
          <w:rStyle w:val="29"/>
          <w:rFonts w:hint="eastAsia" w:ascii="Times New Roman" w:hAnsi="Times New Roman" w:eastAsia="黑体"/>
          <w:b w:val="0"/>
        </w:rPr>
        <w:t>十、其他重要事项的情况说明</w:t>
      </w:r>
      <w:bookmarkEnd w:id="58"/>
      <w:bookmarkEnd w:id="59"/>
      <w:bookmarkEnd w:id="60"/>
    </w:p>
    <w:p w14:paraId="74D01A0A">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bookmarkStart w:id="61" w:name="_Toc15377222"/>
      <w:r>
        <w:rPr>
          <w:rFonts w:hint="eastAsia" w:eastAsia="楷体_GB2312" w:cs="楷体_GB2312"/>
          <w:b/>
          <w:sz w:val="32"/>
          <w:szCs w:val="32"/>
        </w:rPr>
        <w:t>（一）机关运行经费支出情况</w:t>
      </w:r>
      <w:bookmarkEnd w:id="61"/>
    </w:p>
    <w:p w14:paraId="7F40B677">
      <w:pPr>
        <w:pageBreakBefore w:val="0"/>
        <w:kinsoku/>
        <w:wordWrap/>
        <w:overflowPunct/>
        <w:topLinePunct w:val="0"/>
        <w:bidi w:val="0"/>
        <w:spacing w:line="600" w:lineRule="exact"/>
        <w:ind w:firstLine="640"/>
        <w:textAlignment w:val="auto"/>
        <w:rPr>
          <w:rFonts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t>2025年度，</w:t>
      </w:r>
      <w:r>
        <w:rPr>
          <w:rFonts w:hint="eastAsia" w:ascii="仿宋_GB2312" w:hAnsi="仿宋_GB2312" w:eastAsia="仿宋_GB2312" w:cs="仿宋_GB2312"/>
          <w:sz w:val="32"/>
          <w:szCs w:val="32"/>
        </w:rPr>
        <w:t>四川省攀枝花市西区生态环境监测站</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万元，比2024年度持平。</w:t>
      </w:r>
    </w:p>
    <w:p w14:paraId="5AAA82CE">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bookmarkStart w:id="62" w:name="_Toc15377223"/>
      <w:r>
        <w:rPr>
          <w:rFonts w:hint="eastAsia" w:eastAsia="楷体_GB2312" w:cs="楷体_GB2312"/>
          <w:b/>
          <w:sz w:val="32"/>
          <w:szCs w:val="32"/>
        </w:rPr>
        <w:t>（二）政府采购支出情况</w:t>
      </w:r>
      <w:bookmarkEnd w:id="62"/>
    </w:p>
    <w:p w14:paraId="63EC93FF">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2025年度，四川省攀枝花市西区生态环境监测站</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color w:val="auto"/>
          <w:sz w:val="32"/>
          <w:szCs w:val="32"/>
          <w:lang w:val="en-US" w:eastAsia="zh-CN"/>
        </w:rPr>
        <w:t>1.38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auto"/>
          <w:sz w:val="32"/>
          <w:szCs w:val="32"/>
        </w:rPr>
        <w:t>，其中：政府采购货物支出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万元、政府采购工程支出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万元、政府采购服务支出</w:t>
      </w:r>
      <w:r>
        <w:rPr>
          <w:rFonts w:hint="eastAsia" w:ascii="仿宋_GB2312" w:hAnsi="仿宋_GB2312" w:eastAsia="仿宋_GB2312" w:cs="仿宋_GB2312"/>
          <w:color w:val="auto"/>
          <w:sz w:val="32"/>
          <w:szCs w:val="32"/>
          <w:lang w:val="en-US" w:eastAsia="zh-CN"/>
        </w:rPr>
        <w:t>1.38</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lang w:eastAsia="zh-CN"/>
        </w:rPr>
        <w:t>车辆油费和保险</w:t>
      </w:r>
      <w:r>
        <w:rPr>
          <w:rFonts w:hint="eastAsia" w:ascii="仿宋_GB2312" w:hAnsi="仿宋_GB2312" w:eastAsia="仿宋_GB2312" w:cs="仿宋_GB2312"/>
          <w:color w:val="auto"/>
          <w:sz w:val="32"/>
          <w:szCs w:val="32"/>
        </w:rPr>
        <w:t>。授予中小企业合同金额</w:t>
      </w:r>
      <w:r>
        <w:rPr>
          <w:rFonts w:hint="eastAsia" w:ascii="仿宋_GB2312" w:hAnsi="仿宋_GB2312" w:eastAsia="仿宋_GB2312" w:cs="仿宋_GB2312"/>
          <w:color w:val="auto"/>
          <w:sz w:val="32"/>
          <w:szCs w:val="32"/>
          <w:lang w:val="en-US" w:eastAsia="zh-CN"/>
        </w:rPr>
        <w:t>1.06</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76.8</w:t>
      </w:r>
      <w:r>
        <w:rPr>
          <w:rFonts w:hint="eastAsia" w:ascii="仿宋_GB2312" w:hAnsi="仿宋_GB2312" w:eastAsia="仿宋_GB2312" w:cs="仿宋_GB2312"/>
          <w:color w:val="auto"/>
          <w:sz w:val="32"/>
          <w:szCs w:val="32"/>
        </w:rPr>
        <w:t>%，其中：授予小微企业合同金额</w:t>
      </w:r>
      <w:r>
        <w:rPr>
          <w:rFonts w:hint="eastAsia" w:ascii="仿宋_GB2312" w:hAnsi="仿宋_GB2312" w:eastAsia="仿宋_GB2312" w:cs="仿宋_GB2312"/>
          <w:color w:val="auto"/>
          <w:sz w:val="32"/>
          <w:szCs w:val="32"/>
          <w:lang w:val="en-US" w:eastAsia="zh-CN"/>
        </w:rPr>
        <w:t>1.06</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76.8</w:t>
      </w:r>
      <w:r>
        <w:rPr>
          <w:rFonts w:hint="eastAsia" w:ascii="仿宋_GB2312" w:hAnsi="仿宋_GB2312" w:eastAsia="仿宋_GB2312" w:cs="仿宋_GB2312"/>
          <w:color w:val="auto"/>
          <w:sz w:val="32"/>
          <w:szCs w:val="32"/>
        </w:rPr>
        <w:t>%。</w:t>
      </w:r>
    </w:p>
    <w:p w14:paraId="0B98DA9D">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bookmarkStart w:id="63" w:name="_Toc15377224"/>
      <w:r>
        <w:rPr>
          <w:rFonts w:hint="eastAsia" w:eastAsia="楷体_GB2312" w:cs="楷体_GB2312"/>
          <w:b/>
          <w:sz w:val="32"/>
          <w:szCs w:val="32"/>
        </w:rPr>
        <w:t>（三）国有资产占有使用情况</w:t>
      </w:r>
      <w:bookmarkEnd w:id="63"/>
    </w:p>
    <w:p w14:paraId="2E7469BD">
      <w:pPr>
        <w:pageBreakBefore w:val="0"/>
        <w:kinsoku/>
        <w:wordWrap/>
        <w:overflowPunct/>
        <w:topLinePunct w:val="0"/>
        <w:bidi w:val="0"/>
        <w:spacing w:line="60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截至2025年12月31日，</w:t>
      </w:r>
      <w:r>
        <w:rPr>
          <w:rFonts w:hint="eastAsia" w:ascii="仿宋_GB2312" w:hAnsi="仿宋_GB2312" w:eastAsia="仿宋_GB2312" w:cs="仿宋_GB2312"/>
          <w:sz w:val="32"/>
          <w:szCs w:val="32"/>
        </w:rPr>
        <w:t>四川省攀枝花市西区生态环境监测站</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辆，其他用车主要用于</w:t>
      </w:r>
      <w:r>
        <w:rPr>
          <w:rFonts w:hint="default" w:ascii="Times New Roman" w:hAnsi="Times New Roman" w:eastAsia="仿宋_GB2312" w:cs="Times New Roman"/>
          <w:color w:val="auto"/>
          <w:sz w:val="32"/>
          <w:szCs w:val="32"/>
          <w:highlight w:val="none"/>
          <w:lang w:eastAsia="zh-CN"/>
        </w:rPr>
        <w:t>完成监测目标任务</w:t>
      </w: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51043A6C">
      <w:pPr>
        <w:pageBreakBefore w:val="0"/>
        <w:kinsoku/>
        <w:wordWrap/>
        <w:overflowPunct/>
        <w:topLinePunct w:val="0"/>
        <w:bidi w:val="0"/>
        <w:spacing w:line="600" w:lineRule="exact"/>
        <w:ind w:firstLine="643" w:firstLineChars="200"/>
        <w:textAlignment w:val="auto"/>
        <w:outlineLvl w:val="2"/>
        <w:rPr>
          <w:rFonts w:eastAsia="楷体_GB2312" w:cs="楷体_GB2312"/>
          <w:b/>
          <w:sz w:val="32"/>
          <w:szCs w:val="32"/>
        </w:rPr>
      </w:pPr>
      <w:r>
        <w:rPr>
          <w:rFonts w:hint="eastAsia" w:eastAsia="楷体_GB2312" w:cs="楷体_GB2312"/>
          <w:b/>
          <w:sz w:val="32"/>
          <w:szCs w:val="32"/>
        </w:rPr>
        <w:t>（四）预算绩效管理情况</w:t>
      </w:r>
    </w:p>
    <w:p w14:paraId="59285874">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预算绩效管理要求，本单位在2025年度预算编制阶段，组织对监测运行经费、能力建设设备采购、水环境监测工作经费三个项目开展了预算事前绩效评估，对三个项目编制了绩效目标。预算执行过程中，选取三个项目开展绩效监控。</w:t>
      </w:r>
      <w:r>
        <w:rPr>
          <w:rFonts w:hint="eastAsia" w:ascii="仿宋_GB2312" w:hAnsi="仿宋_GB2312" w:eastAsia="仿宋_GB2312" w:cs="仿宋_GB2312"/>
          <w:color w:val="auto"/>
          <w:sz w:val="32"/>
          <w:szCs w:val="32"/>
          <w:highlight w:val="none"/>
          <w:lang w:val="en-US" w:eastAsia="zh-CN"/>
        </w:rPr>
        <w:t>绩效自评表详见第四部分附件。</w:t>
      </w:r>
    </w:p>
    <w:p w14:paraId="62A3C841">
      <w:pPr>
        <w:pageBreakBefore w:val="0"/>
        <w:kinsoku/>
        <w:wordWrap/>
        <w:overflowPunct/>
        <w:topLinePunct w:val="0"/>
        <w:bidi w:val="0"/>
        <w:spacing w:line="600" w:lineRule="exact"/>
        <w:ind w:firstLine="640"/>
        <w:textAlignment w:val="auto"/>
        <w:rPr>
          <w:rFonts w:eastAsia="仿宋_GB2312" w:cs="仿宋_GB2312"/>
          <w:sz w:val="32"/>
          <w:szCs w:val="32"/>
        </w:rPr>
      </w:pPr>
    </w:p>
    <w:p w14:paraId="6F55F79B">
      <w:pPr>
        <w:pStyle w:val="19"/>
        <w:rPr>
          <w:rFonts w:eastAsia="仿宋_GB2312" w:cs="仿宋_GB2312"/>
          <w:sz w:val="32"/>
          <w:szCs w:val="32"/>
        </w:rPr>
      </w:pPr>
    </w:p>
    <w:p w14:paraId="583F6A86">
      <w:pPr>
        <w:rPr>
          <w:rFonts w:eastAsia="仿宋_GB2312" w:cs="仿宋_GB2312"/>
          <w:sz w:val="32"/>
          <w:szCs w:val="32"/>
        </w:rPr>
      </w:pPr>
    </w:p>
    <w:p w14:paraId="0BE1F2A0">
      <w:pPr>
        <w:pStyle w:val="19"/>
        <w:rPr>
          <w:rFonts w:eastAsia="仿宋_GB2312" w:cs="仿宋_GB2312"/>
          <w:sz w:val="32"/>
          <w:szCs w:val="32"/>
        </w:rPr>
      </w:pPr>
    </w:p>
    <w:p w14:paraId="392F3B4D">
      <w:pPr>
        <w:rPr>
          <w:rFonts w:eastAsia="仿宋_GB2312" w:cs="仿宋_GB2312"/>
          <w:sz w:val="32"/>
          <w:szCs w:val="32"/>
        </w:rPr>
      </w:pPr>
    </w:p>
    <w:p w14:paraId="69B05443">
      <w:pPr>
        <w:pStyle w:val="19"/>
        <w:rPr>
          <w:rFonts w:eastAsia="仿宋_GB2312" w:cs="仿宋_GB2312"/>
          <w:sz w:val="32"/>
          <w:szCs w:val="32"/>
        </w:rPr>
      </w:pPr>
    </w:p>
    <w:p w14:paraId="446FD2A0">
      <w:pPr>
        <w:rPr>
          <w:rFonts w:eastAsia="仿宋_GB2312" w:cs="仿宋_GB2312"/>
          <w:sz w:val="32"/>
          <w:szCs w:val="32"/>
        </w:rPr>
      </w:pPr>
    </w:p>
    <w:p w14:paraId="443342F2">
      <w:pPr>
        <w:pStyle w:val="19"/>
        <w:rPr>
          <w:rFonts w:eastAsia="仿宋_GB2312" w:cs="仿宋_GB2312"/>
          <w:sz w:val="32"/>
          <w:szCs w:val="32"/>
        </w:rPr>
      </w:pPr>
    </w:p>
    <w:p w14:paraId="3471F234">
      <w:pPr>
        <w:rPr>
          <w:rFonts w:eastAsia="仿宋_GB2312" w:cs="仿宋_GB2312"/>
          <w:sz w:val="32"/>
          <w:szCs w:val="32"/>
        </w:rPr>
      </w:pPr>
    </w:p>
    <w:p w14:paraId="298C14DC">
      <w:pPr>
        <w:pStyle w:val="19"/>
        <w:rPr>
          <w:rFonts w:eastAsia="仿宋_GB2312" w:cs="仿宋_GB2312"/>
          <w:sz w:val="32"/>
          <w:szCs w:val="32"/>
        </w:rPr>
      </w:pPr>
    </w:p>
    <w:p w14:paraId="4E8197B4">
      <w:pPr>
        <w:rPr>
          <w:rFonts w:eastAsia="仿宋_GB2312" w:cs="仿宋_GB2312"/>
          <w:sz w:val="32"/>
          <w:szCs w:val="32"/>
        </w:rPr>
      </w:pPr>
    </w:p>
    <w:p w14:paraId="548B0B78">
      <w:pPr>
        <w:pStyle w:val="19"/>
        <w:rPr>
          <w:rFonts w:eastAsia="仿宋_GB2312" w:cs="仿宋_GB2312"/>
          <w:sz w:val="32"/>
          <w:szCs w:val="32"/>
        </w:rPr>
      </w:pPr>
    </w:p>
    <w:p w14:paraId="60F9803F">
      <w:pPr>
        <w:rPr>
          <w:rFonts w:eastAsia="仿宋_GB2312" w:cs="仿宋_GB2312"/>
          <w:sz w:val="32"/>
          <w:szCs w:val="32"/>
        </w:rPr>
      </w:pPr>
    </w:p>
    <w:p w14:paraId="5A027641">
      <w:pPr>
        <w:pStyle w:val="19"/>
      </w:pPr>
    </w:p>
    <w:p w14:paraId="757E5CC3">
      <w:pPr>
        <w:pageBreakBefore w:val="0"/>
        <w:kinsoku/>
        <w:wordWrap/>
        <w:overflowPunct/>
        <w:topLinePunct w:val="0"/>
        <w:bidi w:val="0"/>
        <w:spacing w:line="600" w:lineRule="exact"/>
        <w:jc w:val="center"/>
        <w:textAlignment w:val="auto"/>
        <w:outlineLvl w:val="0"/>
        <w:rPr>
          <w:rFonts w:eastAsia="黑体"/>
          <w:sz w:val="44"/>
          <w:szCs w:val="44"/>
        </w:rPr>
      </w:pPr>
      <w:bookmarkStart w:id="64" w:name="_Toc26138_WPSOffice_Level1"/>
      <w:bookmarkStart w:id="65" w:name="_Toc15377225"/>
      <w:bookmarkStart w:id="66" w:name="_Toc15396613"/>
      <w:r>
        <w:rPr>
          <w:rFonts w:hint="eastAsia" w:eastAsia="黑体"/>
          <w:sz w:val="44"/>
          <w:szCs w:val="44"/>
        </w:rPr>
        <w:t>第三部分  名词解释</w:t>
      </w:r>
      <w:bookmarkEnd w:id="64"/>
      <w:bookmarkEnd w:id="65"/>
      <w:bookmarkEnd w:id="66"/>
    </w:p>
    <w:p w14:paraId="683B8090">
      <w:pPr>
        <w:pageBreakBefore w:val="0"/>
        <w:kinsoku/>
        <w:wordWrap/>
        <w:overflowPunct/>
        <w:topLinePunct w:val="0"/>
        <w:bidi w:val="0"/>
        <w:spacing w:line="600" w:lineRule="exact"/>
        <w:jc w:val="left"/>
        <w:textAlignment w:val="auto"/>
        <w:rPr>
          <w:b/>
          <w:sz w:val="44"/>
          <w:szCs w:val="44"/>
        </w:rPr>
      </w:pPr>
    </w:p>
    <w:p w14:paraId="2BD118E7">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1.财政拨款收入：指单位从同级财政部门取得的财政预算资金。</w:t>
      </w:r>
    </w:p>
    <w:p w14:paraId="2FEB8A24">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.其他收入：指单位取得的除上述收入以外的各项收入。主要是</w:t>
      </w:r>
      <w:r>
        <w:rPr>
          <w:rFonts w:hint="eastAsia" w:ascii="仿宋_GB2312" w:hAnsi="仿宋_GB2312" w:eastAsia="仿宋_GB2312" w:cs="仿宋_GB2312"/>
          <w:color w:val="auto"/>
          <w:sz w:val="32"/>
          <w:szCs w:val="32"/>
          <w:lang w:eastAsia="zh-CN"/>
        </w:rPr>
        <w:t>区级财政拨款</w:t>
      </w:r>
      <w:r>
        <w:rPr>
          <w:rFonts w:hint="eastAsia" w:ascii="仿宋_GB2312" w:hAnsi="仿宋_GB2312" w:eastAsia="仿宋_GB2312" w:cs="仿宋_GB2312"/>
          <w:color w:val="auto"/>
          <w:sz w:val="32"/>
          <w:szCs w:val="32"/>
        </w:rPr>
        <w:t xml:space="preserve">等。 </w:t>
      </w:r>
    </w:p>
    <w:p w14:paraId="00B98162">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.使用非财政拨款结余</w:t>
      </w:r>
      <w:r>
        <w:rPr>
          <w:rFonts w:hint="eastAsia" w:ascii="仿宋_GB2312" w:hAnsi="仿宋_GB2312" w:eastAsia="仿宋_GB2312" w:cs="仿宋_GB2312"/>
          <w:color w:val="auto"/>
          <w:sz w:val="32"/>
          <w:szCs w:val="32"/>
          <w:lang w:eastAsia="zh-CN"/>
        </w:rPr>
        <w:t>（含专用结余）</w:t>
      </w:r>
      <w:r>
        <w:rPr>
          <w:rFonts w:hint="eastAsia" w:ascii="仿宋_GB2312" w:hAnsi="仿宋_GB2312" w:eastAsia="仿宋_GB2312" w:cs="仿宋_GB2312"/>
          <w:color w:val="auto"/>
          <w:sz w:val="32"/>
          <w:szCs w:val="32"/>
        </w:rPr>
        <w:t xml:space="preserve">：指事业单位使用以前年度积累的非财政拨款结余弥补当年收支差额的金额。 </w:t>
      </w:r>
    </w:p>
    <w:p w14:paraId="5D6994EB">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 xml:space="preserve">.年初结转和结余：指以前年度尚未完成、结转到本年按有关规定继续使用的资金。 </w:t>
      </w:r>
    </w:p>
    <w:p w14:paraId="1B55B03E">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.结余分配：指事业单位按照会计制度规定缴纳的所得税、提取的专用结余以及转入非财政拨款结余的金额等。</w:t>
      </w:r>
    </w:p>
    <w:p w14:paraId="31B9E410">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.年末结转和结余：指单位按有关规定结转到下年或以后年度继续使用的资金。</w:t>
      </w:r>
    </w:p>
    <w:p w14:paraId="67B0BC74">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.其他环境保护管理事务支出：反映节能环保支出中其他用于环境保护管理事务方面的支出。</w:t>
      </w:r>
    </w:p>
    <w:p w14:paraId="1FE04EAE">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.机关事业单位基本养老保险缴费支出：反映机关事业单位实施养老保险制度有单位缴纳的基本养老保险费支出。</w:t>
      </w:r>
    </w:p>
    <w:p w14:paraId="77974B67">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.住房公积金：反映现在事业单位按人力资源社会保障部、财政部规定的基本工资和津贴补贴以及规定比例为职工缴纳的住房公积金。</w:t>
      </w:r>
    </w:p>
    <w:p w14:paraId="11C85E97">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.公务员医疗补助:反映财政部门集中安排的公务员医疗补助经费。</w:t>
      </w:r>
    </w:p>
    <w:p w14:paraId="64F54F5A">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.事业单位医疗：反映财政部门集中安排的事业单位基本医疗保险缴费经费。</w:t>
      </w:r>
    </w:p>
    <w:p w14:paraId="7736D994">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.其他污染防治支出：反映其他用于污染防治方面的支出。</w:t>
      </w:r>
    </w:p>
    <w:p w14:paraId="75317055">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.基本支出：指为保障机构正常运转、完成日常工作任务而发生的人员支出和公用支出。</w:t>
      </w:r>
    </w:p>
    <w:p w14:paraId="503B29E1">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 xml:space="preserve">.项目支出：指在基本支出之外为完成特定行政任务和事业发展目标所发生的支出。 </w:t>
      </w:r>
    </w:p>
    <w:p w14:paraId="26BDEF7B">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B6ECB7E">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BE7F440">
      <w:pPr>
        <w:pageBreakBefore w:val="0"/>
        <w:kinsoku/>
        <w:wordWrap/>
        <w:overflowPunct/>
        <w:topLinePunct w:val="0"/>
        <w:bidi w:val="0"/>
        <w:spacing w:line="600" w:lineRule="exact"/>
        <w:jc w:val="center"/>
        <w:textAlignment w:val="auto"/>
        <w:rPr>
          <w:rStyle w:val="28"/>
          <w:rFonts w:eastAsia="黑体"/>
          <w:b w:val="0"/>
        </w:rPr>
      </w:pPr>
      <w:bookmarkStart w:id="67" w:name="_Toc15377226"/>
      <w:r>
        <w:rPr>
          <w:rFonts w:hint="eastAsia" w:eastAsia="仿宋_GB2312" w:cs="仿宋_GB2312"/>
          <w:sz w:val="32"/>
          <w:szCs w:val="32"/>
        </w:rPr>
        <w:br w:type="page"/>
      </w:r>
      <w:bookmarkStart w:id="68" w:name="_Toc15396614"/>
      <w:bookmarkStart w:id="69" w:name="_Toc4055_WPSOffice_Level1"/>
      <w:r>
        <w:rPr>
          <w:rFonts w:hint="eastAsia" w:eastAsia="黑体"/>
          <w:sz w:val="44"/>
          <w:szCs w:val="44"/>
        </w:rPr>
        <w:t>第四部分  附件</w:t>
      </w:r>
      <w:bookmarkEnd w:id="68"/>
      <w:bookmarkEnd w:id="69"/>
    </w:p>
    <w:p w14:paraId="2A2F6CBB">
      <w:pPr>
        <w:pStyle w:val="5"/>
        <w:pageBreakBefore w:val="0"/>
        <w:kinsoku/>
        <w:wordWrap/>
        <w:overflowPunct/>
        <w:topLinePunct w:val="0"/>
        <w:bidi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bookmarkStart w:id="70" w:name="_Toc432"/>
      <w:bookmarkStart w:id="71" w:name="_Toc10502_WPSOffice_Level2"/>
      <w:r>
        <w:rPr>
          <w:rFonts w:hint="eastAsia" w:ascii="仿宋_GB2312" w:hAnsi="仿宋_GB2312" w:eastAsia="仿宋_GB2312" w:cs="仿宋_GB2312"/>
          <w:sz w:val="32"/>
          <w:szCs w:val="32"/>
          <w:highlight w:val="none"/>
          <w:lang w:val="en-US" w:eastAsia="zh-CN"/>
        </w:rPr>
        <w:t>单位预算项目支出绩效自评表（2025年度）</w:t>
      </w:r>
      <w:bookmarkEnd w:id="70"/>
      <w:bookmarkEnd w:id="71"/>
    </w:p>
    <w:p w14:paraId="511601A0">
      <w:pPr>
        <w:pStyle w:val="7"/>
        <w:pageBreakBefore w:val="0"/>
        <w:kinsoku/>
        <w:wordWrap/>
        <w:overflowPunct/>
        <w:topLinePunct w:val="0"/>
        <w:bidi w:val="0"/>
        <w:spacing w:line="600" w:lineRule="exact"/>
        <w:ind w:left="0" w:leftChars="0" w:firstLine="643"/>
        <w:textAlignment w:val="auto"/>
        <w:rPr>
          <w:rFonts w:ascii="Times New Roman" w:eastAsia="仿宋_GB2312" w:cs="仿宋_GB2312"/>
          <w:kern w:val="0"/>
          <w:sz w:val="32"/>
          <w:lang w:val="zh-CN"/>
        </w:rPr>
      </w:pPr>
    </w:p>
    <w:p w14:paraId="146BA6C6">
      <w:pPr>
        <w:pageBreakBefore w:val="0"/>
        <w:kinsoku/>
        <w:wordWrap/>
        <w:overflowPunct/>
        <w:topLinePunct w:val="0"/>
        <w:bidi w:val="0"/>
        <w:spacing w:line="600" w:lineRule="exact"/>
        <w:jc w:val="left"/>
        <w:textAlignment w:val="auto"/>
        <w:outlineLvl w:val="0"/>
        <w:rPr>
          <w:rFonts w:eastAsia="黑体" w:cs="黑体"/>
          <w:color w:val="FF0000"/>
          <w:sz w:val="32"/>
          <w:szCs w:val="32"/>
        </w:rPr>
      </w:pPr>
    </w:p>
    <w:p w14:paraId="13A637CC">
      <w:pPr>
        <w:pStyle w:val="13"/>
        <w:pageBreakBefore w:val="0"/>
        <w:kinsoku/>
        <w:wordWrap/>
        <w:overflowPunct/>
        <w:topLinePunct w:val="0"/>
        <w:bidi w:val="0"/>
        <w:spacing w:line="600" w:lineRule="exact"/>
        <w:textAlignment w:val="auto"/>
      </w:pPr>
    </w:p>
    <w:p w14:paraId="1D189B33">
      <w:pPr>
        <w:pageBreakBefore w:val="0"/>
        <w:kinsoku/>
        <w:wordWrap/>
        <w:overflowPunct/>
        <w:topLinePunct w:val="0"/>
        <w:bidi w:val="0"/>
        <w:spacing w:line="600" w:lineRule="exact"/>
        <w:textAlignment w:val="auto"/>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6008979F">
      <w:pPr>
        <w:pageBreakBefore w:val="0"/>
        <w:widowControl/>
        <w:kinsoku/>
        <w:wordWrap/>
        <w:overflowPunct/>
        <w:topLinePunct w:val="0"/>
        <w:bidi w:val="0"/>
        <w:spacing w:line="600" w:lineRule="exact"/>
        <w:jc w:val="center"/>
        <w:textAlignment w:val="auto"/>
        <w:rPr>
          <w:rFonts w:eastAsia="仿宋"/>
        </w:rPr>
      </w:pPr>
      <w:bookmarkStart w:id="72" w:name="_Toc15396618"/>
      <w:bookmarkStart w:id="73" w:name="_Toc30582_WPSOffice_Level1"/>
      <w:r>
        <w:rPr>
          <w:rFonts w:hint="eastAsia" w:eastAsia="黑体"/>
          <w:sz w:val="44"/>
          <w:szCs w:val="44"/>
        </w:rPr>
        <w:t>第</w:t>
      </w:r>
      <w:r>
        <w:rPr>
          <w:rStyle w:val="28"/>
          <w:rFonts w:hint="eastAsia" w:eastAsia="黑体"/>
          <w:b w:val="0"/>
        </w:rPr>
        <w:t>五部分 附表</w:t>
      </w:r>
      <w:bookmarkEnd w:id="67"/>
      <w:bookmarkEnd w:id="72"/>
      <w:bookmarkEnd w:id="73"/>
      <w:bookmarkStart w:id="74" w:name="_Toc15396619"/>
    </w:p>
    <w:p w14:paraId="22CC0BD6">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p>
    <w:p w14:paraId="48CB076E">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75" w:name="_Toc9100_WPSOffice_Level2"/>
      <w:r>
        <w:rPr>
          <w:rFonts w:hint="eastAsia" w:eastAsia="仿宋_GB2312" w:cs="仿宋_GB2312"/>
          <w:sz w:val="32"/>
          <w:szCs w:val="32"/>
        </w:rPr>
        <w:t>一、收入支出决算总表</w:t>
      </w:r>
      <w:bookmarkEnd w:id="74"/>
      <w:bookmarkEnd w:id="75"/>
    </w:p>
    <w:p w14:paraId="75659BDA">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76" w:name="_Toc15396620"/>
      <w:bookmarkStart w:id="77" w:name="_Toc9791_WPSOffice_Level2"/>
      <w:r>
        <w:rPr>
          <w:rFonts w:hint="eastAsia" w:eastAsia="仿宋_GB2312" w:cs="仿宋_GB2312"/>
          <w:sz w:val="32"/>
          <w:szCs w:val="32"/>
        </w:rPr>
        <w:t>二、收入决算表</w:t>
      </w:r>
      <w:bookmarkEnd w:id="76"/>
      <w:bookmarkEnd w:id="77"/>
    </w:p>
    <w:p w14:paraId="671E8586">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78" w:name="_Toc15043_WPSOffice_Level2"/>
      <w:bookmarkStart w:id="79" w:name="_Toc15396621"/>
      <w:r>
        <w:rPr>
          <w:rFonts w:hint="eastAsia" w:eastAsia="仿宋_GB2312" w:cs="仿宋_GB2312"/>
          <w:sz w:val="32"/>
          <w:szCs w:val="32"/>
        </w:rPr>
        <w:t>三、支出决算表</w:t>
      </w:r>
      <w:bookmarkEnd w:id="78"/>
      <w:bookmarkEnd w:id="79"/>
    </w:p>
    <w:p w14:paraId="7EFAE0D6">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80" w:name="_Toc15396622"/>
      <w:bookmarkStart w:id="81" w:name="_Toc3343_WPSOffice_Level2"/>
      <w:r>
        <w:rPr>
          <w:rFonts w:hint="eastAsia" w:eastAsia="仿宋_GB2312" w:cs="仿宋_GB2312"/>
          <w:sz w:val="32"/>
          <w:szCs w:val="32"/>
        </w:rPr>
        <w:t>四、财政拨款收入支出决算总表</w:t>
      </w:r>
      <w:bookmarkEnd w:id="80"/>
      <w:bookmarkEnd w:id="81"/>
    </w:p>
    <w:p w14:paraId="399AFE4C">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82" w:name="_Toc30102_WPSOffice_Level2"/>
      <w:bookmarkStart w:id="83" w:name="_Toc15396623"/>
      <w:r>
        <w:rPr>
          <w:rFonts w:hint="eastAsia" w:eastAsia="仿宋_GB2312" w:cs="仿宋_GB2312"/>
          <w:sz w:val="32"/>
          <w:szCs w:val="32"/>
        </w:rPr>
        <w:t>五、财政拨款支出决算明细表</w:t>
      </w:r>
      <w:bookmarkEnd w:id="82"/>
      <w:bookmarkEnd w:id="83"/>
      <w:bookmarkStart w:id="84" w:name="_Toc15396624"/>
    </w:p>
    <w:p w14:paraId="0000CD04">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85" w:name="_Toc12527_WPSOffice_Level2"/>
      <w:r>
        <w:rPr>
          <w:rFonts w:hint="eastAsia" w:eastAsia="仿宋_GB2312" w:cs="仿宋_GB2312"/>
          <w:sz w:val="32"/>
          <w:szCs w:val="32"/>
        </w:rPr>
        <w:t>六、一般公共预算财政拨款支出决算表</w:t>
      </w:r>
      <w:bookmarkEnd w:id="84"/>
      <w:bookmarkEnd w:id="85"/>
    </w:p>
    <w:p w14:paraId="29C315BF">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86" w:name="_Toc15396625"/>
      <w:bookmarkStart w:id="87" w:name="_Toc9864_WPSOffice_Level2"/>
      <w:r>
        <w:rPr>
          <w:rFonts w:hint="eastAsia" w:eastAsia="仿宋_GB2312" w:cs="仿宋_GB2312"/>
          <w:sz w:val="32"/>
          <w:szCs w:val="32"/>
        </w:rPr>
        <w:t>七、一般公共预算财政拨款支出决算明细表</w:t>
      </w:r>
      <w:bookmarkEnd w:id="86"/>
      <w:bookmarkEnd w:id="87"/>
    </w:p>
    <w:p w14:paraId="40F5F56A">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88" w:name="_Toc15396626"/>
      <w:bookmarkStart w:id="89" w:name="_Toc31619_WPSOffice_Level2"/>
      <w:r>
        <w:rPr>
          <w:rFonts w:hint="eastAsia" w:eastAsia="仿宋_GB2312" w:cs="仿宋_GB2312"/>
          <w:sz w:val="32"/>
          <w:szCs w:val="32"/>
        </w:rPr>
        <w:t>八、一般公共预算财政拨款基本支出决算表</w:t>
      </w:r>
      <w:bookmarkEnd w:id="88"/>
      <w:bookmarkEnd w:id="89"/>
    </w:p>
    <w:p w14:paraId="023A8ECA">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90" w:name="_Toc15396627"/>
      <w:bookmarkStart w:id="91" w:name="_Toc5424_WPSOffice_Level2"/>
      <w:r>
        <w:rPr>
          <w:rFonts w:hint="eastAsia" w:eastAsia="仿宋_GB2312" w:cs="仿宋_GB2312"/>
          <w:sz w:val="32"/>
          <w:szCs w:val="32"/>
        </w:rPr>
        <w:t>九、一般公共预算财政拨款项目支出决算表</w:t>
      </w:r>
      <w:bookmarkEnd w:id="90"/>
      <w:bookmarkEnd w:id="91"/>
    </w:p>
    <w:p w14:paraId="6D0259DC">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92" w:name="_Toc15396628"/>
      <w:bookmarkStart w:id="93" w:name="_Toc4220_WPSOffice_Level2"/>
      <w:r>
        <w:rPr>
          <w:rFonts w:hint="eastAsia" w:eastAsia="仿宋_GB2312" w:cs="仿宋_GB2312"/>
          <w:sz w:val="32"/>
          <w:szCs w:val="32"/>
        </w:rPr>
        <w:t>十、</w:t>
      </w:r>
      <w:bookmarkEnd w:id="92"/>
      <w:r>
        <w:rPr>
          <w:rFonts w:hint="eastAsia" w:eastAsia="仿宋_GB2312" w:cs="仿宋_GB2312"/>
          <w:sz w:val="32"/>
          <w:szCs w:val="32"/>
        </w:rPr>
        <w:t>政府性基金预算财政拨款收入支出决算表</w:t>
      </w:r>
      <w:bookmarkEnd w:id="93"/>
    </w:p>
    <w:p w14:paraId="0D461A71">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94" w:name="_Toc15396629"/>
      <w:bookmarkStart w:id="95" w:name="_Toc20239_WPSOffice_Level2"/>
      <w:r>
        <w:rPr>
          <w:rFonts w:hint="eastAsia" w:eastAsia="仿宋_GB2312" w:cs="仿宋_GB2312"/>
          <w:sz w:val="32"/>
          <w:szCs w:val="32"/>
        </w:rPr>
        <w:t>十一、</w:t>
      </w:r>
      <w:bookmarkEnd w:id="94"/>
      <w:r>
        <w:rPr>
          <w:rFonts w:hint="eastAsia" w:eastAsia="仿宋_GB2312" w:cs="仿宋_GB2312"/>
          <w:sz w:val="32"/>
          <w:szCs w:val="32"/>
        </w:rPr>
        <w:t>国有资本经营预算财政拨款收入支出决算表</w:t>
      </w:r>
      <w:bookmarkEnd w:id="95"/>
    </w:p>
    <w:p w14:paraId="5ABE3576">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96" w:name="_Toc15396630"/>
      <w:bookmarkStart w:id="97" w:name="_Toc9638_WPSOffice_Level2"/>
      <w:r>
        <w:rPr>
          <w:rFonts w:hint="eastAsia" w:eastAsia="仿宋_GB2312" w:cs="仿宋_GB2312"/>
          <w:sz w:val="32"/>
          <w:szCs w:val="32"/>
        </w:rPr>
        <w:t>十二、</w:t>
      </w:r>
      <w:bookmarkEnd w:id="96"/>
      <w:r>
        <w:rPr>
          <w:rFonts w:hint="eastAsia" w:eastAsia="仿宋_GB2312" w:cs="仿宋_GB2312"/>
          <w:sz w:val="32"/>
          <w:szCs w:val="32"/>
        </w:rPr>
        <w:t>国有资本经营预算财政拨款支出决算表</w:t>
      </w:r>
      <w:bookmarkEnd w:id="97"/>
    </w:p>
    <w:p w14:paraId="433FCD95">
      <w:pPr>
        <w:pStyle w:val="14"/>
        <w:pageBreakBefore w:val="0"/>
        <w:kinsoku/>
        <w:wordWrap/>
        <w:overflowPunct/>
        <w:topLinePunct w:val="0"/>
        <w:bidi w:val="0"/>
        <w:adjustRightInd w:val="0"/>
        <w:snapToGrid w:val="0"/>
        <w:spacing w:line="600" w:lineRule="exact"/>
        <w:jc w:val="left"/>
        <w:textAlignment w:val="auto"/>
        <w:rPr>
          <w:rFonts w:eastAsia="仿宋_GB2312" w:cs="仿宋_GB2312"/>
          <w:sz w:val="32"/>
          <w:szCs w:val="32"/>
        </w:rPr>
      </w:pPr>
      <w:bookmarkStart w:id="98" w:name="_Toc15396631"/>
      <w:bookmarkStart w:id="99" w:name="_Toc16350_WPSOffice_Level2"/>
      <w:r>
        <w:rPr>
          <w:rFonts w:hint="eastAsia" w:eastAsia="仿宋_GB2312" w:cs="仿宋_GB2312"/>
          <w:sz w:val="32"/>
          <w:szCs w:val="32"/>
        </w:rPr>
        <w:t>十三、</w:t>
      </w:r>
      <w:bookmarkEnd w:id="98"/>
      <w:r>
        <w:rPr>
          <w:rFonts w:hint="eastAsia" w:eastAsia="仿宋_GB2312" w:cs="仿宋_GB2312"/>
          <w:sz w:val="32"/>
          <w:szCs w:val="32"/>
        </w:rPr>
        <w:t>财政拨款“三公”经费支出决算表</w:t>
      </w:r>
      <w:bookmarkEnd w:id="99"/>
    </w:p>
    <w:p w14:paraId="4CCDD8E2">
      <w:pPr>
        <w:pageBreakBefore w:val="0"/>
        <w:kinsoku/>
        <w:wordWrap/>
        <w:overflowPunct/>
        <w:topLinePunct w:val="0"/>
        <w:bidi w:val="0"/>
        <w:spacing w:line="600" w:lineRule="exact"/>
        <w:textAlignment w:val="auto"/>
        <w:rPr>
          <w:sz w:val="32"/>
          <w:szCs w:val="32"/>
        </w:rPr>
      </w:pPr>
    </w:p>
    <w:sectPr>
      <w:footerReference r:id="rId9"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681A1">
    <w:pPr>
      <w:pStyle w:val="10"/>
      <w:jc w:val="center"/>
    </w:pPr>
  </w:p>
  <w:p w14:paraId="6839366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E0A11">
    <w:pPr>
      <w:pStyle w:val="10"/>
      <w:jc w:val="center"/>
    </w:pPr>
  </w:p>
  <w:p w14:paraId="3FEF1217">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7DB14">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D21DF">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6DD21DF">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08FE4">
    <w:pPr>
      <w:pStyle w:val="10"/>
      <w:jc w:val="center"/>
    </w:pPr>
  </w:p>
  <w:p w14:paraId="487F9BA3">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621AA">
    <w:pPr>
      <w:pStyle w:val="10"/>
      <w:jc w:val="center"/>
    </w:pPr>
  </w:p>
  <w:p w14:paraId="1285C38A">
    <w:pPr>
      <w:pStyle w:val="10"/>
      <w:tabs>
        <w:tab w:val="clear" w:pos="4153"/>
      </w:tabs>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DF64A">
    <w:pPr>
      <w:pStyle w:val="1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7B490">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367B490">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007A1C37">
    <w:pPr>
      <w:pStyle w:val="10"/>
      <w:tabs>
        <w:tab w:val="clear" w:pos="4153"/>
      </w:tabs>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E4409">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425A"/>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27B36"/>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56674D9"/>
    <w:rsid w:val="061C3BCE"/>
    <w:rsid w:val="061E35DE"/>
    <w:rsid w:val="066E0107"/>
    <w:rsid w:val="066E6493"/>
    <w:rsid w:val="07996F6E"/>
    <w:rsid w:val="07DFD8BA"/>
    <w:rsid w:val="084E62E6"/>
    <w:rsid w:val="08DB07E4"/>
    <w:rsid w:val="09867E8F"/>
    <w:rsid w:val="0A2032A3"/>
    <w:rsid w:val="0B034EE0"/>
    <w:rsid w:val="0BF82F60"/>
    <w:rsid w:val="0C6C4794"/>
    <w:rsid w:val="0CA8290A"/>
    <w:rsid w:val="0CD33557"/>
    <w:rsid w:val="0D35B1ED"/>
    <w:rsid w:val="0DE07E2B"/>
    <w:rsid w:val="0E1C2C18"/>
    <w:rsid w:val="0E836655"/>
    <w:rsid w:val="0F98263C"/>
    <w:rsid w:val="101860EC"/>
    <w:rsid w:val="10C055FF"/>
    <w:rsid w:val="11772AA4"/>
    <w:rsid w:val="118107EC"/>
    <w:rsid w:val="13D50BC4"/>
    <w:rsid w:val="14022904"/>
    <w:rsid w:val="146F6826"/>
    <w:rsid w:val="152F2A07"/>
    <w:rsid w:val="163B1A2A"/>
    <w:rsid w:val="165E0673"/>
    <w:rsid w:val="16BB723D"/>
    <w:rsid w:val="17F75439"/>
    <w:rsid w:val="186504BB"/>
    <w:rsid w:val="187E180E"/>
    <w:rsid w:val="1938089F"/>
    <w:rsid w:val="19A445FC"/>
    <w:rsid w:val="1A4365DD"/>
    <w:rsid w:val="1B7D550C"/>
    <w:rsid w:val="1BE8440E"/>
    <w:rsid w:val="1D155CEE"/>
    <w:rsid w:val="1E740ACF"/>
    <w:rsid w:val="1E820506"/>
    <w:rsid w:val="1F1122CB"/>
    <w:rsid w:val="1FF35744"/>
    <w:rsid w:val="1FF6BC77"/>
    <w:rsid w:val="21962A9E"/>
    <w:rsid w:val="21AE7C77"/>
    <w:rsid w:val="22BC3C41"/>
    <w:rsid w:val="23860B96"/>
    <w:rsid w:val="240371BF"/>
    <w:rsid w:val="260F557C"/>
    <w:rsid w:val="27AF2B17"/>
    <w:rsid w:val="27F310D8"/>
    <w:rsid w:val="281408E2"/>
    <w:rsid w:val="284C4391"/>
    <w:rsid w:val="29FD04D3"/>
    <w:rsid w:val="2BFF7BC6"/>
    <w:rsid w:val="2C8A61B5"/>
    <w:rsid w:val="2D2E01CF"/>
    <w:rsid w:val="2DA324FF"/>
    <w:rsid w:val="2DF04E50"/>
    <w:rsid w:val="2E59AE32"/>
    <w:rsid w:val="2E9545B0"/>
    <w:rsid w:val="2EEA19B7"/>
    <w:rsid w:val="2F040D46"/>
    <w:rsid w:val="2F7C1388"/>
    <w:rsid w:val="2FAE5751"/>
    <w:rsid w:val="2FB1A395"/>
    <w:rsid w:val="2FD9A7D8"/>
    <w:rsid w:val="319F7F4E"/>
    <w:rsid w:val="321B2544"/>
    <w:rsid w:val="3304709D"/>
    <w:rsid w:val="337D9805"/>
    <w:rsid w:val="33FAA37C"/>
    <w:rsid w:val="34281836"/>
    <w:rsid w:val="349D6851"/>
    <w:rsid w:val="35BA6CAF"/>
    <w:rsid w:val="364D14C1"/>
    <w:rsid w:val="36AA5135"/>
    <w:rsid w:val="36BE0DA7"/>
    <w:rsid w:val="376B6AA6"/>
    <w:rsid w:val="376D39B2"/>
    <w:rsid w:val="37E16F03"/>
    <w:rsid w:val="37F53A3B"/>
    <w:rsid w:val="389B6C89"/>
    <w:rsid w:val="38D469F0"/>
    <w:rsid w:val="39420FEA"/>
    <w:rsid w:val="39627CCD"/>
    <w:rsid w:val="397BAF1F"/>
    <w:rsid w:val="3AB79AF3"/>
    <w:rsid w:val="3B7EF35A"/>
    <w:rsid w:val="3B9FDB6C"/>
    <w:rsid w:val="3BBF2892"/>
    <w:rsid w:val="3BF5BC2F"/>
    <w:rsid w:val="3CBD59D9"/>
    <w:rsid w:val="3CEBA265"/>
    <w:rsid w:val="3D98207C"/>
    <w:rsid w:val="3D9B0D99"/>
    <w:rsid w:val="3D9BDF81"/>
    <w:rsid w:val="3DEE7CF3"/>
    <w:rsid w:val="3DF02244"/>
    <w:rsid w:val="3E191EAF"/>
    <w:rsid w:val="3E3A21F6"/>
    <w:rsid w:val="3E78745D"/>
    <w:rsid w:val="3FF4CAE0"/>
    <w:rsid w:val="3FF7B227"/>
    <w:rsid w:val="3FFB819F"/>
    <w:rsid w:val="40E54C45"/>
    <w:rsid w:val="41A51CC7"/>
    <w:rsid w:val="43A407DF"/>
    <w:rsid w:val="44515BEA"/>
    <w:rsid w:val="44E268DA"/>
    <w:rsid w:val="453F7E5B"/>
    <w:rsid w:val="476F1D4C"/>
    <w:rsid w:val="484C2868"/>
    <w:rsid w:val="486A6C7A"/>
    <w:rsid w:val="49176D9B"/>
    <w:rsid w:val="4A627F82"/>
    <w:rsid w:val="4B0E749A"/>
    <w:rsid w:val="4B4F25DA"/>
    <w:rsid w:val="4BDA0CFB"/>
    <w:rsid w:val="4BE068DB"/>
    <w:rsid w:val="4D3C0CCC"/>
    <w:rsid w:val="4D3FEFA3"/>
    <w:rsid w:val="4D577224"/>
    <w:rsid w:val="4DBF1CEB"/>
    <w:rsid w:val="4EAB630A"/>
    <w:rsid w:val="4ECE2238"/>
    <w:rsid w:val="4EEB8EEA"/>
    <w:rsid w:val="4F444B48"/>
    <w:rsid w:val="4F833267"/>
    <w:rsid w:val="4FE9BD67"/>
    <w:rsid w:val="4FEA0568"/>
    <w:rsid w:val="4FEB1494"/>
    <w:rsid w:val="4FFB052F"/>
    <w:rsid w:val="4FFB821D"/>
    <w:rsid w:val="53083A92"/>
    <w:rsid w:val="532044BE"/>
    <w:rsid w:val="537E6D0A"/>
    <w:rsid w:val="53AF27A2"/>
    <w:rsid w:val="53F74C96"/>
    <w:rsid w:val="5564F9D7"/>
    <w:rsid w:val="563D4275"/>
    <w:rsid w:val="56E47B74"/>
    <w:rsid w:val="57BD3DD4"/>
    <w:rsid w:val="57C36751"/>
    <w:rsid w:val="59FD1AF3"/>
    <w:rsid w:val="5AF92295"/>
    <w:rsid w:val="5AFF5E92"/>
    <w:rsid w:val="5B79569C"/>
    <w:rsid w:val="5BD7FA34"/>
    <w:rsid w:val="5BDD79E6"/>
    <w:rsid w:val="5BF561CA"/>
    <w:rsid w:val="5BFF5DFC"/>
    <w:rsid w:val="5C9FC9C0"/>
    <w:rsid w:val="5CCFF195"/>
    <w:rsid w:val="5CD71FC4"/>
    <w:rsid w:val="5CEC52BC"/>
    <w:rsid w:val="5D1F11B5"/>
    <w:rsid w:val="5DAE1B18"/>
    <w:rsid w:val="5DE7D9E5"/>
    <w:rsid w:val="5ECEC941"/>
    <w:rsid w:val="5EDF95A4"/>
    <w:rsid w:val="5F493CB7"/>
    <w:rsid w:val="5F6BF067"/>
    <w:rsid w:val="5F764277"/>
    <w:rsid w:val="5FAE7A2B"/>
    <w:rsid w:val="5FBF9FF3"/>
    <w:rsid w:val="5FCD4E2C"/>
    <w:rsid w:val="5FD15F49"/>
    <w:rsid w:val="5FEF394A"/>
    <w:rsid w:val="5FF67715"/>
    <w:rsid w:val="60B46FB9"/>
    <w:rsid w:val="60D31BE2"/>
    <w:rsid w:val="62BF3928"/>
    <w:rsid w:val="647F5392"/>
    <w:rsid w:val="65FFD245"/>
    <w:rsid w:val="664B1D71"/>
    <w:rsid w:val="67AA3209"/>
    <w:rsid w:val="681C4F0D"/>
    <w:rsid w:val="684D6BC0"/>
    <w:rsid w:val="69006C9E"/>
    <w:rsid w:val="69046D0F"/>
    <w:rsid w:val="698D0931"/>
    <w:rsid w:val="6A993CED"/>
    <w:rsid w:val="6ADBD83A"/>
    <w:rsid w:val="6B053271"/>
    <w:rsid w:val="6BCE6674"/>
    <w:rsid w:val="6BDFFFFD"/>
    <w:rsid w:val="6BFB9EA7"/>
    <w:rsid w:val="6C4A05C8"/>
    <w:rsid w:val="6C8742B8"/>
    <w:rsid w:val="6C8A170F"/>
    <w:rsid w:val="6CB54609"/>
    <w:rsid w:val="6CDB0A68"/>
    <w:rsid w:val="6D2D2492"/>
    <w:rsid w:val="6D6F7B9E"/>
    <w:rsid w:val="6DBF5E93"/>
    <w:rsid w:val="6DFF077E"/>
    <w:rsid w:val="6E7E3605"/>
    <w:rsid w:val="6E7FDCC7"/>
    <w:rsid w:val="6EBE4278"/>
    <w:rsid w:val="6ED6A62E"/>
    <w:rsid w:val="6EE00B15"/>
    <w:rsid w:val="6EF3DE3A"/>
    <w:rsid w:val="6F544B20"/>
    <w:rsid w:val="6F6E1256"/>
    <w:rsid w:val="6F6FB3EB"/>
    <w:rsid w:val="6F784160"/>
    <w:rsid w:val="6F8731EA"/>
    <w:rsid w:val="6FCE6052"/>
    <w:rsid w:val="6FD57C00"/>
    <w:rsid w:val="6FEFFFD8"/>
    <w:rsid w:val="6FF5CC65"/>
    <w:rsid w:val="6FFB47EC"/>
    <w:rsid w:val="6FFF034A"/>
    <w:rsid w:val="70496804"/>
    <w:rsid w:val="712A28F1"/>
    <w:rsid w:val="715C0E4B"/>
    <w:rsid w:val="72233669"/>
    <w:rsid w:val="72425182"/>
    <w:rsid w:val="72734D90"/>
    <w:rsid w:val="72EFA500"/>
    <w:rsid w:val="7332FE48"/>
    <w:rsid w:val="73AB61DA"/>
    <w:rsid w:val="73AD73D5"/>
    <w:rsid w:val="73B6EB34"/>
    <w:rsid w:val="73FA497D"/>
    <w:rsid w:val="744731E5"/>
    <w:rsid w:val="74527205"/>
    <w:rsid w:val="74B333C0"/>
    <w:rsid w:val="74BBD01D"/>
    <w:rsid w:val="74DEE5E9"/>
    <w:rsid w:val="74ED5379"/>
    <w:rsid w:val="74FC2395"/>
    <w:rsid w:val="7554207B"/>
    <w:rsid w:val="755EA088"/>
    <w:rsid w:val="75DEEEC2"/>
    <w:rsid w:val="76797467"/>
    <w:rsid w:val="76E3355F"/>
    <w:rsid w:val="76FF5125"/>
    <w:rsid w:val="773D5C90"/>
    <w:rsid w:val="7753228A"/>
    <w:rsid w:val="776F6FFA"/>
    <w:rsid w:val="778769C8"/>
    <w:rsid w:val="77B1D6C1"/>
    <w:rsid w:val="77DC22F5"/>
    <w:rsid w:val="78F51C03"/>
    <w:rsid w:val="79086DAD"/>
    <w:rsid w:val="79974F09"/>
    <w:rsid w:val="79D7FD79"/>
    <w:rsid w:val="79EE5BA4"/>
    <w:rsid w:val="7A8567E1"/>
    <w:rsid w:val="7A894339"/>
    <w:rsid w:val="7AFF1867"/>
    <w:rsid w:val="7AFF7572"/>
    <w:rsid w:val="7B6C7DFB"/>
    <w:rsid w:val="7BBFBED0"/>
    <w:rsid w:val="7BC3E394"/>
    <w:rsid w:val="7C0D58C9"/>
    <w:rsid w:val="7C1F3737"/>
    <w:rsid w:val="7C1F7BDF"/>
    <w:rsid w:val="7CBFC87B"/>
    <w:rsid w:val="7CFE0F48"/>
    <w:rsid w:val="7D7EC23E"/>
    <w:rsid w:val="7D8CE3A5"/>
    <w:rsid w:val="7D916348"/>
    <w:rsid w:val="7DF55C68"/>
    <w:rsid w:val="7E6C4827"/>
    <w:rsid w:val="7E8ADEBF"/>
    <w:rsid w:val="7EE4E23A"/>
    <w:rsid w:val="7EEF11D3"/>
    <w:rsid w:val="7EFE2B3C"/>
    <w:rsid w:val="7F0971A6"/>
    <w:rsid w:val="7F3F679B"/>
    <w:rsid w:val="7F4FC4EF"/>
    <w:rsid w:val="7F5E4D54"/>
    <w:rsid w:val="7F6E0135"/>
    <w:rsid w:val="7F7F776D"/>
    <w:rsid w:val="7FA30C79"/>
    <w:rsid w:val="7FAF8ABF"/>
    <w:rsid w:val="7FB34F1A"/>
    <w:rsid w:val="7FB7269E"/>
    <w:rsid w:val="7FBFD1AD"/>
    <w:rsid w:val="7FC96657"/>
    <w:rsid w:val="7FDA9588"/>
    <w:rsid w:val="7FDF220F"/>
    <w:rsid w:val="7FEDC5F7"/>
    <w:rsid w:val="7FEDD9DE"/>
    <w:rsid w:val="7FF231FD"/>
    <w:rsid w:val="7FF5890D"/>
    <w:rsid w:val="7FF93490"/>
    <w:rsid w:val="7FFEC720"/>
    <w:rsid w:val="8DEDA32F"/>
    <w:rsid w:val="99FF2014"/>
    <w:rsid w:val="9BCF5FF0"/>
    <w:rsid w:val="9F97EB5C"/>
    <w:rsid w:val="9FEEE077"/>
    <w:rsid w:val="9FFFEC2F"/>
    <w:rsid w:val="A5B705D5"/>
    <w:rsid w:val="A6DD0D7F"/>
    <w:rsid w:val="A7F1636A"/>
    <w:rsid w:val="ABDDD1D5"/>
    <w:rsid w:val="ADC6F725"/>
    <w:rsid w:val="B5B523AC"/>
    <w:rsid w:val="B7BFDF7F"/>
    <w:rsid w:val="B7CF06AB"/>
    <w:rsid w:val="B7CFA926"/>
    <w:rsid w:val="B7F8786B"/>
    <w:rsid w:val="BABB6AA1"/>
    <w:rsid w:val="BB2F4199"/>
    <w:rsid w:val="BD079C78"/>
    <w:rsid w:val="BD733540"/>
    <w:rsid w:val="BDF5342D"/>
    <w:rsid w:val="BEDF6912"/>
    <w:rsid w:val="BF3735D5"/>
    <w:rsid w:val="BF3DD7C6"/>
    <w:rsid w:val="BF3E554D"/>
    <w:rsid w:val="BF7F09AC"/>
    <w:rsid w:val="BFBBF81F"/>
    <w:rsid w:val="BFBFB0D0"/>
    <w:rsid w:val="BFD475C3"/>
    <w:rsid w:val="BFDE5EA6"/>
    <w:rsid w:val="BFF3B8B9"/>
    <w:rsid w:val="BFFF1BD8"/>
    <w:rsid w:val="C0DF9165"/>
    <w:rsid w:val="CF6FC6F3"/>
    <w:rsid w:val="CFD3D3D7"/>
    <w:rsid w:val="CFDF1009"/>
    <w:rsid w:val="D17ECC1A"/>
    <w:rsid w:val="D1FFC565"/>
    <w:rsid w:val="D5BB2463"/>
    <w:rsid w:val="D7D7B16A"/>
    <w:rsid w:val="D8D6DB89"/>
    <w:rsid w:val="DB6F4CAB"/>
    <w:rsid w:val="DB777682"/>
    <w:rsid w:val="DD1FB521"/>
    <w:rsid w:val="DDFE70BA"/>
    <w:rsid w:val="DEFBFEAE"/>
    <w:rsid w:val="DF1F3B80"/>
    <w:rsid w:val="DF6F9789"/>
    <w:rsid w:val="DF9E367A"/>
    <w:rsid w:val="DFCF2A15"/>
    <w:rsid w:val="DFDF9912"/>
    <w:rsid w:val="DFED3053"/>
    <w:rsid w:val="DFF5D248"/>
    <w:rsid w:val="DFFACA5B"/>
    <w:rsid w:val="DFFFA9E8"/>
    <w:rsid w:val="E4FF19F2"/>
    <w:rsid w:val="E57FDC0C"/>
    <w:rsid w:val="E5F4E9DC"/>
    <w:rsid w:val="E70FE695"/>
    <w:rsid w:val="E93F843B"/>
    <w:rsid w:val="EAFC4D54"/>
    <w:rsid w:val="ECFED1BC"/>
    <w:rsid w:val="ED1D69BB"/>
    <w:rsid w:val="ED7FD312"/>
    <w:rsid w:val="EDF43C5B"/>
    <w:rsid w:val="EEBD219F"/>
    <w:rsid w:val="EEFD575F"/>
    <w:rsid w:val="EEFD8319"/>
    <w:rsid w:val="EF53993F"/>
    <w:rsid w:val="EF6FD633"/>
    <w:rsid w:val="EFBFB2F4"/>
    <w:rsid w:val="EFBFFA21"/>
    <w:rsid w:val="EFFA89D5"/>
    <w:rsid w:val="F2BEBCB8"/>
    <w:rsid w:val="F36FB518"/>
    <w:rsid w:val="F3DB23E4"/>
    <w:rsid w:val="F3DC7BAD"/>
    <w:rsid w:val="F3DE1A04"/>
    <w:rsid w:val="F3F722E5"/>
    <w:rsid w:val="F4F797DC"/>
    <w:rsid w:val="F5BF50DA"/>
    <w:rsid w:val="F5FF0441"/>
    <w:rsid w:val="F62D0554"/>
    <w:rsid w:val="F6FFE5F6"/>
    <w:rsid w:val="F7257B05"/>
    <w:rsid w:val="F74E8D25"/>
    <w:rsid w:val="F7679707"/>
    <w:rsid w:val="F76B6231"/>
    <w:rsid w:val="F7BB779D"/>
    <w:rsid w:val="F7D34D29"/>
    <w:rsid w:val="F7DB0E07"/>
    <w:rsid w:val="F7F6972D"/>
    <w:rsid w:val="F86E28DF"/>
    <w:rsid w:val="FA5F1E70"/>
    <w:rsid w:val="FA5FDB97"/>
    <w:rsid w:val="FAF9C483"/>
    <w:rsid w:val="FB77041F"/>
    <w:rsid w:val="FB7F486A"/>
    <w:rsid w:val="FBB7EFF7"/>
    <w:rsid w:val="FBFB4C9E"/>
    <w:rsid w:val="FBFF5B2E"/>
    <w:rsid w:val="FD7FFE2B"/>
    <w:rsid w:val="FDB75905"/>
    <w:rsid w:val="FDEE196B"/>
    <w:rsid w:val="FDFE6575"/>
    <w:rsid w:val="FE5BCC98"/>
    <w:rsid w:val="FEDFDDC2"/>
    <w:rsid w:val="FEED32F6"/>
    <w:rsid w:val="FEF781DD"/>
    <w:rsid w:val="FEFE9D7E"/>
    <w:rsid w:val="FF3F7E3F"/>
    <w:rsid w:val="FFBA12D7"/>
    <w:rsid w:val="FFDBA0C9"/>
    <w:rsid w:val="FFDF7322"/>
    <w:rsid w:val="FFDFFAEE"/>
    <w:rsid w:val="FFE5C473"/>
    <w:rsid w:val="FFF9B57B"/>
    <w:rsid w:val="FFF9CE16"/>
    <w:rsid w:val="FFFD61D9"/>
    <w:rsid w:val="FFFD8F59"/>
    <w:rsid w:val="FFFEF1F7"/>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收支决算总计变动情况表</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Sheet1!$A$2:$A$5</c:f>
              <c:strCache>
                <c:ptCount val="4"/>
                <c:pt idx="0">
                  <c:v>2025年度</c:v>
                </c:pt>
                <c:pt idx="1">
                  <c:v>2024年度</c:v>
                </c:pt>
              </c:strCache>
            </c:strRef>
          </c:cat>
          <c:val>
            <c:numRef>
              <c:f>Sheet1!$B$2:$B$5</c:f>
              <c:numCache>
                <c:formatCode>General</c:formatCode>
                <c:ptCount val="4"/>
                <c:pt idx="0">
                  <c:v>391.64</c:v>
                </c:pt>
                <c:pt idx="1">
                  <c:v>420.88</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Sheet1!$A$2:$A$5</c:f>
              <c:strCache>
                <c:ptCount val="4"/>
                <c:pt idx="0">
                  <c:v>2025年度</c:v>
                </c:pt>
                <c:pt idx="1">
                  <c:v>2024年度</c:v>
                </c:pt>
              </c:strCache>
            </c:strRef>
          </c:cat>
          <c:val>
            <c:numRef>
              <c:f>Sheet1!$C$2:$C$5</c:f>
              <c:numCache>
                <c:formatCode>General</c:formatCode>
                <c:ptCount val="4"/>
                <c:pt idx="0">
                  <c:v>391.64</c:v>
                </c:pt>
                <c:pt idx="1">
                  <c:v>420.88</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2025年度</c:v>
                </c:pt>
                <c:pt idx="1">
                  <c:v>2024年度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05288817"/>
        <c:axId val="656117958"/>
      </c:barChart>
      <c:catAx>
        <c:axId val="20528881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6117958"/>
        <c:crosses val="autoZero"/>
        <c:auto val="1"/>
        <c:lblAlgn val="ctr"/>
        <c:lblOffset val="100"/>
        <c:noMultiLvlLbl val="0"/>
      </c:catAx>
      <c:valAx>
        <c:axId val="6561179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528881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210bf70-8d65-4140-b42d-93e1727fb72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收入决算情况表</a:t>
            </a:r>
          </a:p>
        </c:rich>
      </c:tx>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其他收入</c:v>
                </c:pt>
              </c:strCache>
            </c:strRef>
          </c:cat>
          <c:val>
            <c:numRef>
              <c:f>Sheet1!$B$2:$B$5</c:f>
              <c:numCache>
                <c:formatCode>General</c:formatCode>
                <c:ptCount val="4"/>
                <c:pt idx="0">
                  <c:v>321.84</c:v>
                </c:pt>
                <c:pt idx="1">
                  <c:v>69.8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ec1c4b-17fb-46f9-9e35-2ed263154c0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支出决算情况表</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307.38</c:v>
                </c:pt>
                <c:pt idx="1">
                  <c:v>84.26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31009378084896"/>
          <c:y val="0.93068550696963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5f6780a-6f25-4ede-9f56-6c5c25558a9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财政拨款收支决算总体变动情况表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1"/>
            </a:solidFill>
            <a:ln>
              <a:noFill/>
            </a:ln>
            <a:effectLst/>
          </c:spPr>
          <c:invertIfNegative val="0"/>
          <c:dLbls>
            <c:delete val="1"/>
          </c:dLbls>
          <c:cat>
            <c:numRef>
              <c:f>Sheet1!$A$2:$A$5</c:f>
              <c:numCache>
                <c:formatCode>General</c:formatCode>
                <c:ptCount val="4"/>
                <c:pt idx="0">
                  <c:v>2025</c:v>
                </c:pt>
                <c:pt idx="1">
                  <c:v>2024</c:v>
                </c:pt>
              </c:numCache>
            </c:numRef>
          </c:cat>
          <c:val>
            <c:numRef>
              <c:f>Sheet1!$B$2:$B$5</c:f>
              <c:numCache>
                <c:formatCode>General</c:formatCode>
                <c:ptCount val="4"/>
                <c:pt idx="0">
                  <c:v>321.84</c:v>
                </c:pt>
                <c:pt idx="1">
                  <c:v>254.97</c:v>
                </c:pt>
              </c:numCache>
            </c:numRef>
          </c:val>
        </c:ser>
        <c:ser>
          <c:idx val="1"/>
          <c:order val="1"/>
          <c:tx>
            <c:strRef>
              <c:f>Sheet1!$C$1</c:f>
              <c:strCache>
                <c:ptCount val="1"/>
                <c:pt idx="0">
                  <c:v>财政拨款支出</c:v>
                </c:pt>
              </c:strCache>
            </c:strRef>
          </c:tx>
          <c:spPr>
            <a:solidFill>
              <a:schemeClr val="accent2"/>
            </a:solidFill>
            <a:ln>
              <a:noFill/>
            </a:ln>
            <a:effectLst/>
          </c:spPr>
          <c:invertIfNegative val="0"/>
          <c:dLbls>
            <c:delete val="1"/>
          </c:dLbls>
          <c:cat>
            <c:numRef>
              <c:f>Sheet1!$A$2:$A$5</c:f>
              <c:numCache>
                <c:formatCode>General</c:formatCode>
                <c:ptCount val="4"/>
                <c:pt idx="0">
                  <c:v>2025</c:v>
                </c:pt>
                <c:pt idx="1">
                  <c:v>2024</c:v>
                </c:pt>
              </c:numCache>
            </c:numRef>
          </c:cat>
          <c:val>
            <c:numRef>
              <c:f>Sheet1!$C$2:$C$5</c:f>
              <c:numCache>
                <c:formatCode>General</c:formatCode>
                <c:ptCount val="4"/>
                <c:pt idx="0">
                  <c:v>321.84</c:v>
                </c:pt>
                <c:pt idx="1">
                  <c:v>254.97</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numRef>
              <c:f>Sheet1!$A$2:$A$5</c:f>
              <c:numCache>
                <c:formatCode>General</c:formatCode>
                <c:ptCount val="4"/>
                <c:pt idx="0">
                  <c:v>2025</c:v>
                </c:pt>
                <c:pt idx="1">
                  <c:v>2024</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25631637"/>
        <c:axId val="902137815"/>
      </c:barChart>
      <c:catAx>
        <c:axId val="3256316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2137815"/>
        <c:crosses val="autoZero"/>
        <c:auto val="1"/>
        <c:lblAlgn val="ctr"/>
        <c:lblOffset val="100"/>
        <c:noMultiLvlLbl val="0"/>
      </c:catAx>
      <c:valAx>
        <c:axId val="902137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563163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1a9c59-2a99-4068-9e4c-d7bf0e09220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delete val="1"/>
          </c:dLbls>
          <c:cat>
            <c:numRef>
              <c:f>Sheet1!$A$2:$A$5</c:f>
              <c:numCache>
                <c:formatCode>General</c:formatCode>
                <c:ptCount val="4"/>
                <c:pt idx="0">
                  <c:v>2025</c:v>
                </c:pt>
                <c:pt idx="1">
                  <c:v>2024</c:v>
                </c:pt>
              </c:numCache>
            </c:numRef>
          </c:cat>
          <c:val>
            <c:numRef>
              <c:f>Sheet1!$B$2:$B$5</c:f>
              <c:numCache>
                <c:formatCode>General</c:formatCode>
                <c:ptCount val="4"/>
                <c:pt idx="0">
                  <c:v>321.84</c:v>
                </c:pt>
                <c:pt idx="1">
                  <c:v>254.97</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numRef>
              <c:f>Sheet1!$A$2:$A$5</c:f>
              <c:numCache>
                <c:formatCode>General</c:formatCode>
                <c:ptCount val="4"/>
                <c:pt idx="0">
                  <c:v>2025</c:v>
                </c:pt>
                <c:pt idx="1">
                  <c:v>2024</c:v>
                </c:pt>
              </c:numCache>
            </c:num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numRef>
              <c:f>Sheet1!$A$2:$A$5</c:f>
              <c:numCache>
                <c:formatCode>General</c:formatCode>
                <c:ptCount val="4"/>
                <c:pt idx="0">
                  <c:v>2025</c:v>
                </c:pt>
                <c:pt idx="1">
                  <c:v>2024</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84082300"/>
        <c:axId val="768058920"/>
      </c:barChart>
      <c:catAx>
        <c:axId val="9840823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8058920"/>
        <c:crosses val="autoZero"/>
        <c:auto val="1"/>
        <c:lblAlgn val="ctr"/>
        <c:lblOffset val="100"/>
        <c:noMultiLvlLbl val="0"/>
      </c:catAx>
      <c:valAx>
        <c:axId val="768058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40823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6b35222-6d11-4791-8ad3-362dcc6dcdc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一般公共预算财政拨款支出决算结构情况表</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社会保障和就业支出</c:v>
                </c:pt>
                <c:pt idx="1">
                  <c:v>卫生健康支出</c:v>
                </c:pt>
                <c:pt idx="2">
                  <c:v>节能环保支出</c:v>
                </c:pt>
                <c:pt idx="3">
                  <c:v>住房保障支出</c:v>
                </c:pt>
              </c:strCache>
            </c:strRef>
          </c:cat>
          <c:val>
            <c:numRef>
              <c:f>Sheet1!$B$2:$B$5</c:f>
              <c:numCache>
                <c:formatCode>General</c:formatCode>
                <c:ptCount val="4"/>
                <c:pt idx="0">
                  <c:v>28.67</c:v>
                </c:pt>
                <c:pt idx="1">
                  <c:v>19.25</c:v>
                </c:pt>
                <c:pt idx="2">
                  <c:v>250.51</c:v>
                </c:pt>
                <c:pt idx="3">
                  <c:v>23.41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f6ec6dc-2b07-4d39-8c5b-81436b0605a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财政拨款“三公”经费支出结构图</a:t>
            </a:r>
          </a:p>
        </c:rich>
      </c:tx>
      <c:layout/>
      <c:overlay val="0"/>
      <c:spPr>
        <a:noFill/>
        <a:ln>
          <a:noFill/>
        </a:ln>
        <a:effectLst/>
      </c:spPr>
    </c:title>
    <c:autoTitleDeleted val="0"/>
    <c:plotArea>
      <c:layout/>
      <c:pieChart>
        <c:varyColors val="1"/>
        <c:ser>
          <c:idx val="0"/>
          <c:order val="0"/>
          <c:tx>
            <c:strRef>
              <c:f>Sheet1!$B$1</c:f>
              <c:strCache>
                <c:ptCount val="1"/>
                <c:pt idx="0">
                  <c:v>“三公”经费支出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公务用车购置及运行维护费支</c:v>
                </c:pt>
              </c:strCache>
            </c:strRef>
          </c:cat>
          <c:val>
            <c:numRef>
              <c:f>Sheet1!$B$2:$B$5</c:f>
              <c:numCache>
                <c:formatCode>General</c:formatCode>
                <c:ptCount val="4"/>
                <c:pt idx="0">
                  <c:v>1.46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dc9141f-fca4-4da0-810c-5ac075a2501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f978489-6575-4793-a265-97768c2c0aa9}"/>
        <w:style w:val=""/>
        <w:category>
          <w:name w:val="常规"/>
          <w:gallery w:val="placeholder"/>
        </w:category>
        <w:types>
          <w:type w:val="bbPlcHdr"/>
        </w:types>
        <w:behaviors>
          <w:behavior w:val="content"/>
        </w:behaviors>
        <w:description w:val=""/>
        <w:guid w:val="{ef978489-6575-4793-a265-97768c2c0aa9}"/>
      </w:docPartPr>
      <w:docPartBody>
        <w:p w14:paraId="0D80054C">
          <w:r>
            <w:rPr>
              <w:color w:val="808080"/>
            </w:rPr>
            <w:t>单击此处输入文字。</w:t>
          </w:r>
        </w:p>
      </w:docPartBody>
    </w:docPart>
    <w:docPart>
      <w:docPartPr>
        <w:name w:val="{2e865460-646c-4b63-94ce-ebd263578de9}"/>
        <w:style w:val=""/>
        <w:category>
          <w:name w:val="常规"/>
          <w:gallery w:val="placeholder"/>
        </w:category>
        <w:types>
          <w:type w:val="bbPlcHdr"/>
        </w:types>
        <w:behaviors>
          <w:behavior w:val="content"/>
        </w:behaviors>
        <w:description w:val=""/>
        <w:guid w:val="{2e865460-646c-4b63-94ce-ebd263578de9}"/>
      </w:docPartPr>
      <w:docPartBody>
        <w:p w14:paraId="772297C3">
          <w:r>
            <w:rPr>
              <w:color w:val="808080"/>
            </w:rPr>
            <w:t>单击此处输入文字。</w:t>
          </w:r>
        </w:p>
      </w:docPartBody>
    </w:docPart>
    <w:docPart>
      <w:docPartPr>
        <w:name w:val="{372ae5ea-1ec3-46e1-8325-6d88b5d29fb7}"/>
        <w:style w:val=""/>
        <w:category>
          <w:name w:val="常规"/>
          <w:gallery w:val="placeholder"/>
        </w:category>
        <w:types>
          <w:type w:val="bbPlcHdr"/>
        </w:types>
        <w:behaviors>
          <w:behavior w:val="content"/>
        </w:behaviors>
        <w:description w:val=""/>
        <w:guid w:val="{372ae5ea-1ec3-46e1-8325-6d88b5d29fb7}"/>
      </w:docPartPr>
      <w:docPartBody>
        <w:p w14:paraId="53D30810">
          <w:r>
            <w:rPr>
              <w:color w:val="808080"/>
            </w:rPr>
            <w:t>单击此处输入文字。</w:t>
          </w:r>
        </w:p>
      </w:docPartBody>
    </w:docPart>
    <w:docPart>
      <w:docPartPr>
        <w:name w:val="{0291e053-ae18-4c75-b723-b0f6c99c2b7c}"/>
        <w:style w:val=""/>
        <w:category>
          <w:name w:val="常规"/>
          <w:gallery w:val="placeholder"/>
        </w:category>
        <w:types>
          <w:type w:val="bbPlcHdr"/>
        </w:types>
        <w:behaviors>
          <w:behavior w:val="content"/>
        </w:behaviors>
        <w:description w:val=""/>
        <w:guid w:val="{0291e053-ae18-4c75-b723-b0f6c99c2b7c}"/>
      </w:docPartPr>
      <w:docPartBody>
        <w:p w14:paraId="665C00FC">
          <w:r>
            <w:rPr>
              <w:color w:val="808080"/>
            </w:rPr>
            <w:t>单击此处输入文字。</w:t>
          </w:r>
        </w:p>
      </w:docPartBody>
    </w:docPart>
    <w:docPart>
      <w:docPartPr>
        <w:name w:val="{bd952827-778f-448b-b917-2abe7490ae9f}"/>
        <w:style w:val=""/>
        <w:category>
          <w:name w:val="常规"/>
          <w:gallery w:val="placeholder"/>
        </w:category>
        <w:types>
          <w:type w:val="bbPlcHdr"/>
        </w:types>
        <w:behaviors>
          <w:behavior w:val="content"/>
        </w:behaviors>
        <w:description w:val=""/>
        <w:guid w:val="{bd952827-778f-448b-b917-2abe7490ae9f}"/>
      </w:docPartPr>
      <w:docPartBody>
        <w:p w14:paraId="4A000017">
          <w:r>
            <w:rPr>
              <w:color w:val="808080"/>
            </w:rPr>
            <w:t>单击此处输入文字。</w:t>
          </w:r>
        </w:p>
      </w:docPartBody>
    </w:docPart>
    <w:docPart>
      <w:docPartPr>
        <w:name w:val="{5c1c9bef-8158-4aaa-8eee-95dc56a9811b}"/>
        <w:style w:val=""/>
        <w:category>
          <w:name w:val="常规"/>
          <w:gallery w:val="placeholder"/>
        </w:category>
        <w:types>
          <w:type w:val="bbPlcHdr"/>
        </w:types>
        <w:behaviors>
          <w:behavior w:val="content"/>
        </w:behaviors>
        <w:description w:val=""/>
        <w:guid w:val="{5c1c9bef-8158-4aaa-8eee-95dc56a9811b}"/>
      </w:docPartPr>
      <w:docPartBody>
        <w:p w14:paraId="3141BDE2">
          <w:r>
            <w:rPr>
              <w:color w:val="808080"/>
            </w:rPr>
            <w:t>单击此处输入文字。</w:t>
          </w:r>
        </w:p>
      </w:docPartBody>
    </w:docPart>
    <w:docPart>
      <w:docPartPr>
        <w:name w:val="{36f4a6ac-ae96-4e78-9dc1-7ac00e51b16f}"/>
        <w:style w:val=""/>
        <w:category>
          <w:name w:val="常规"/>
          <w:gallery w:val="placeholder"/>
        </w:category>
        <w:types>
          <w:type w:val="bbPlcHdr"/>
        </w:types>
        <w:behaviors>
          <w:behavior w:val="content"/>
        </w:behaviors>
        <w:description w:val=""/>
        <w:guid w:val="{36f4a6ac-ae96-4e78-9dc1-7ac00e51b16f}"/>
      </w:docPartPr>
      <w:docPartBody>
        <w:p w14:paraId="1DE82C23">
          <w:r>
            <w:rPr>
              <w:color w:val="808080"/>
            </w:rPr>
            <w:t>单击此处输入文字。</w:t>
          </w:r>
        </w:p>
      </w:docPartBody>
    </w:docPart>
    <w:docPart>
      <w:docPartPr>
        <w:name w:val="{ee5de6b8-a5ec-407a-813b-c8de0dacc4c2}"/>
        <w:style w:val=""/>
        <w:category>
          <w:name w:val="常规"/>
          <w:gallery w:val="placeholder"/>
        </w:category>
        <w:types>
          <w:type w:val="bbPlcHdr"/>
        </w:types>
        <w:behaviors>
          <w:behavior w:val="content"/>
        </w:behaviors>
        <w:description w:val=""/>
        <w:guid w:val="{ee5de6b8-a5ec-407a-813b-c8de0dacc4c2}"/>
      </w:docPartPr>
      <w:docPartBody>
        <w:p w14:paraId="455EF47B">
          <w:r>
            <w:rPr>
              <w:color w:val="808080"/>
            </w:rPr>
            <w:t>单击此处输入文字。</w:t>
          </w:r>
        </w:p>
      </w:docPartBody>
    </w:docPart>
    <w:docPart>
      <w:docPartPr>
        <w:name w:val="{256a6da7-87a1-4aaf-97ae-48ae0bcb84b8}"/>
        <w:style w:val=""/>
        <w:category>
          <w:name w:val="常规"/>
          <w:gallery w:val="placeholder"/>
        </w:category>
        <w:types>
          <w:type w:val="bbPlcHdr"/>
        </w:types>
        <w:behaviors>
          <w:behavior w:val="content"/>
        </w:behaviors>
        <w:description w:val=""/>
        <w:guid w:val="{256a6da7-87a1-4aaf-97ae-48ae0bcb84b8}"/>
      </w:docPartPr>
      <w:docPartBody>
        <w:p w14:paraId="4B259A6D">
          <w:r>
            <w:rPr>
              <w:color w:val="808080"/>
            </w:rPr>
            <w:t>单击此处输入文字。</w:t>
          </w:r>
        </w:p>
      </w:docPartBody>
    </w:docPart>
    <w:docPart>
      <w:docPartPr>
        <w:name w:val="{945c5189-7d33-459d-bdea-fcb30ea9f2d0}"/>
        <w:style w:val=""/>
        <w:category>
          <w:name w:val="常规"/>
          <w:gallery w:val="placeholder"/>
        </w:category>
        <w:types>
          <w:type w:val="bbPlcHdr"/>
        </w:types>
        <w:behaviors>
          <w:behavior w:val="content"/>
        </w:behaviors>
        <w:description w:val=""/>
        <w:guid w:val="{945c5189-7d33-459d-bdea-fcb30ea9f2d0}"/>
      </w:docPartPr>
      <w:docPartBody>
        <w:p w14:paraId="295E9A1F">
          <w:r>
            <w:rPr>
              <w:color w:val="808080"/>
            </w:rPr>
            <w:t>单击此处输入文字。</w:t>
          </w:r>
        </w:p>
      </w:docPartBody>
    </w:docPart>
    <w:docPart>
      <w:docPartPr>
        <w:name w:val="{2aee6cd5-3869-4428-96bf-8855ee425f56}"/>
        <w:style w:val=""/>
        <w:category>
          <w:name w:val="常规"/>
          <w:gallery w:val="placeholder"/>
        </w:category>
        <w:types>
          <w:type w:val="bbPlcHdr"/>
        </w:types>
        <w:behaviors>
          <w:behavior w:val="content"/>
        </w:behaviors>
        <w:description w:val=""/>
        <w:guid w:val="{2aee6cd5-3869-4428-96bf-8855ee425f56}"/>
      </w:docPartPr>
      <w:docPartBody>
        <w:p w14:paraId="28925F08">
          <w:r>
            <w:rPr>
              <w:color w:val="808080"/>
            </w:rPr>
            <w:t>单击此处输入文字。</w:t>
          </w:r>
        </w:p>
      </w:docPartBody>
    </w:docPart>
    <w:docPart>
      <w:docPartPr>
        <w:name w:val="{ba3a5817-c17e-4983-9b60-2ef0f6265334}"/>
        <w:style w:val=""/>
        <w:category>
          <w:name w:val="常规"/>
          <w:gallery w:val="placeholder"/>
        </w:category>
        <w:types>
          <w:type w:val="bbPlcHdr"/>
        </w:types>
        <w:behaviors>
          <w:behavior w:val="content"/>
        </w:behaviors>
        <w:description w:val=""/>
        <w:guid w:val="{ba3a5817-c17e-4983-9b60-2ef0f6265334}"/>
      </w:docPartPr>
      <w:docPartBody>
        <w:p w14:paraId="34B689F7">
          <w:r>
            <w:rPr>
              <w:color w:val="808080"/>
            </w:rPr>
            <w:t>单击此处输入文字。</w:t>
          </w:r>
        </w:p>
      </w:docPartBody>
    </w:docPart>
    <w:docPart>
      <w:docPartPr>
        <w:name w:val="{e0afd1c6-419c-4dd9-b4e0-578a2f7c5867}"/>
        <w:style w:val=""/>
        <w:category>
          <w:name w:val="常规"/>
          <w:gallery w:val="placeholder"/>
        </w:category>
        <w:types>
          <w:type w:val="bbPlcHdr"/>
        </w:types>
        <w:behaviors>
          <w:behavior w:val="content"/>
        </w:behaviors>
        <w:description w:val=""/>
        <w:guid w:val="{e0afd1c6-419c-4dd9-b4e0-578a2f7c5867}"/>
      </w:docPartPr>
      <w:docPartBody>
        <w:p w14:paraId="4878DA6D">
          <w:r>
            <w:rPr>
              <w:color w:val="808080"/>
            </w:rPr>
            <w:t>单击此处输入文字。</w:t>
          </w:r>
        </w:p>
      </w:docPartBody>
    </w:docPart>
    <w:docPart>
      <w:docPartPr>
        <w:name w:val="{80157887-a017-4fb7-92ed-b68c3b2ad413}"/>
        <w:style w:val=""/>
        <w:category>
          <w:name w:val="常规"/>
          <w:gallery w:val="placeholder"/>
        </w:category>
        <w:types>
          <w:type w:val="bbPlcHdr"/>
        </w:types>
        <w:behaviors>
          <w:behavior w:val="content"/>
        </w:behaviors>
        <w:description w:val=""/>
        <w:guid w:val="{80157887-a017-4fb7-92ed-b68c3b2ad413}"/>
      </w:docPartPr>
      <w:docPartBody>
        <w:p w14:paraId="063F50D8">
          <w:r>
            <w:rPr>
              <w:color w:val="808080"/>
            </w:rPr>
            <w:t>单击此处输入文字。</w:t>
          </w:r>
        </w:p>
      </w:docPartBody>
    </w:docPart>
    <w:docPart>
      <w:docPartPr>
        <w:name w:val="{cac4cb3b-aad5-4440-a313-2f85ded1a1bc}"/>
        <w:style w:val=""/>
        <w:category>
          <w:name w:val="常规"/>
          <w:gallery w:val="placeholder"/>
        </w:category>
        <w:types>
          <w:type w:val="bbPlcHdr"/>
        </w:types>
        <w:behaviors>
          <w:behavior w:val="content"/>
        </w:behaviors>
        <w:description w:val=""/>
        <w:guid w:val="{cac4cb3b-aad5-4440-a313-2f85ded1a1bc}"/>
      </w:docPartPr>
      <w:docPartBody>
        <w:p w14:paraId="55A2259D">
          <w:r>
            <w:rPr>
              <w:color w:val="808080"/>
            </w:rPr>
            <w:t>单击此处输入文字。</w:t>
          </w:r>
        </w:p>
      </w:docPartBody>
    </w:docPart>
    <w:docPart>
      <w:docPartPr>
        <w:name w:val="{642e1721-1f89-4526-b24b-b0840c88480b}"/>
        <w:style w:val=""/>
        <w:category>
          <w:name w:val="常规"/>
          <w:gallery w:val="placeholder"/>
        </w:category>
        <w:types>
          <w:type w:val="bbPlcHdr"/>
        </w:types>
        <w:behaviors>
          <w:behavior w:val="content"/>
        </w:behaviors>
        <w:description w:val=""/>
        <w:guid w:val="{642e1721-1f89-4526-b24b-b0840c88480b}"/>
      </w:docPartPr>
      <w:docPartBody>
        <w:p w14:paraId="668A915C">
          <w:r>
            <w:rPr>
              <w:color w:val="808080"/>
            </w:rPr>
            <w:t>单击此处输入文字。</w:t>
          </w:r>
        </w:p>
      </w:docPartBody>
    </w:docPart>
    <w:docPart>
      <w:docPartPr>
        <w:name w:val="{0a68c7af-0a19-4a57-9523-b7d99993ef38}"/>
        <w:style w:val=""/>
        <w:category>
          <w:name w:val="常规"/>
          <w:gallery w:val="placeholder"/>
        </w:category>
        <w:types>
          <w:type w:val="bbPlcHdr"/>
        </w:types>
        <w:behaviors>
          <w:behavior w:val="content"/>
        </w:behaviors>
        <w:description w:val=""/>
        <w:guid w:val="{0a68c7af-0a19-4a57-9523-b7d99993ef38}"/>
      </w:docPartPr>
      <w:docPartBody>
        <w:p w14:paraId="40972A42">
          <w:r>
            <w:rPr>
              <w:color w:val="808080"/>
            </w:rPr>
            <w:t>单击此处输入文字。</w:t>
          </w:r>
        </w:p>
      </w:docPartBody>
    </w:docPart>
    <w:docPart>
      <w:docPartPr>
        <w:name w:val="{3906a940-cec9-4a7c-bfe3-be406c129099}"/>
        <w:style w:val=""/>
        <w:category>
          <w:name w:val="常规"/>
          <w:gallery w:val="placeholder"/>
        </w:category>
        <w:types>
          <w:type w:val="bbPlcHdr"/>
        </w:types>
        <w:behaviors>
          <w:behavior w:val="content"/>
        </w:behaviors>
        <w:description w:val=""/>
        <w:guid w:val="{3906a940-cec9-4a7c-bfe3-be406c129099}"/>
      </w:docPartPr>
      <w:docPartBody>
        <w:p w14:paraId="40151641">
          <w:r>
            <w:rPr>
              <w:color w:val="808080"/>
            </w:rPr>
            <w:t>单击此处输入文字。</w:t>
          </w:r>
        </w:p>
      </w:docPartBody>
    </w:docPart>
    <w:docPart>
      <w:docPartPr>
        <w:name w:val="{ebdbcf81-d045-4c1a-b610-3f0b35de1141}"/>
        <w:style w:val=""/>
        <w:category>
          <w:name w:val="常规"/>
          <w:gallery w:val="placeholder"/>
        </w:category>
        <w:types>
          <w:type w:val="bbPlcHdr"/>
        </w:types>
        <w:behaviors>
          <w:behavior w:val="content"/>
        </w:behaviors>
        <w:description w:val=""/>
        <w:guid w:val="{ebdbcf81-d045-4c1a-b610-3f0b35de1141}"/>
      </w:docPartPr>
      <w:docPartBody>
        <w:p w14:paraId="78D7EC72">
          <w:r>
            <w:rPr>
              <w:color w:val="808080"/>
            </w:rPr>
            <w:t>单击此处输入文字。</w:t>
          </w:r>
        </w:p>
      </w:docPartBody>
    </w:docPart>
    <w:docPart>
      <w:docPartPr>
        <w:name w:val="{857e8bcc-e120-429a-841d-b022fd512003}"/>
        <w:style w:val=""/>
        <w:category>
          <w:name w:val="常规"/>
          <w:gallery w:val="placeholder"/>
        </w:category>
        <w:types>
          <w:type w:val="bbPlcHdr"/>
        </w:types>
        <w:behaviors>
          <w:behavior w:val="content"/>
        </w:behaviors>
        <w:description w:val=""/>
        <w:guid w:val="{857e8bcc-e120-429a-841d-b022fd512003}"/>
      </w:docPartPr>
      <w:docPartBody>
        <w:p w14:paraId="29518007">
          <w:r>
            <w:rPr>
              <w:color w:val="808080"/>
            </w:rPr>
            <w:t>单击此处输入文字。</w:t>
          </w:r>
        </w:p>
      </w:docPartBody>
    </w:docPart>
    <w:docPart>
      <w:docPartPr>
        <w:name w:val="{3e69f151-3c76-4700-878d-4a0291b241ea}"/>
        <w:style w:val=""/>
        <w:category>
          <w:name w:val="常规"/>
          <w:gallery w:val="placeholder"/>
        </w:category>
        <w:types>
          <w:type w:val="bbPlcHdr"/>
        </w:types>
        <w:behaviors>
          <w:behavior w:val="content"/>
        </w:behaviors>
        <w:description w:val=""/>
        <w:guid w:val="{3e69f151-3c76-4700-878d-4a0291b241ea}"/>
      </w:docPartPr>
      <w:docPartBody>
        <w:p w14:paraId="06B9E323">
          <w:r>
            <w:rPr>
              <w:color w:val="808080"/>
            </w:rPr>
            <w:t>单击此处输入文字。</w:t>
          </w:r>
        </w:p>
      </w:docPartBody>
    </w:docPart>
    <w:docPart>
      <w:docPartPr>
        <w:name w:val="{b61e994e-bdce-4550-8b4c-3a9012f3d88c}"/>
        <w:style w:val=""/>
        <w:category>
          <w:name w:val="常规"/>
          <w:gallery w:val="placeholder"/>
        </w:category>
        <w:types>
          <w:type w:val="bbPlcHdr"/>
        </w:types>
        <w:behaviors>
          <w:behavior w:val="content"/>
        </w:behaviors>
        <w:description w:val=""/>
        <w:guid w:val="{b61e994e-bdce-4550-8b4c-3a9012f3d88c}"/>
      </w:docPartPr>
      <w:docPartBody>
        <w:p w14:paraId="48311A83">
          <w:r>
            <w:rPr>
              <w:color w:val="808080"/>
            </w:rPr>
            <w:t>单击此处输入文字。</w:t>
          </w:r>
        </w:p>
      </w:docPartBody>
    </w:docPart>
    <w:docPart>
      <w:docPartPr>
        <w:name w:val="{5120acf2-c161-4992-bf6b-ac1a6a7b9b4c}"/>
        <w:style w:val=""/>
        <w:category>
          <w:name w:val="常规"/>
          <w:gallery w:val="placeholder"/>
        </w:category>
        <w:types>
          <w:type w:val="bbPlcHdr"/>
        </w:types>
        <w:behaviors>
          <w:behavior w:val="content"/>
        </w:behaviors>
        <w:description w:val=""/>
        <w:guid w:val="{5120acf2-c161-4992-bf6b-ac1a6a7b9b4c}"/>
      </w:docPartPr>
      <w:docPartBody>
        <w:p w14:paraId="49FBA9E8">
          <w:r>
            <w:rPr>
              <w:color w:val="808080"/>
            </w:rPr>
            <w:t>单击此处输入文字。</w:t>
          </w:r>
        </w:p>
      </w:docPartBody>
    </w:docPart>
    <w:docPart>
      <w:docPartPr>
        <w:name w:val="{29332858-7982-4237-8834-0c1831fd8470}"/>
        <w:style w:val=""/>
        <w:category>
          <w:name w:val="常规"/>
          <w:gallery w:val="placeholder"/>
        </w:category>
        <w:types>
          <w:type w:val="bbPlcHdr"/>
        </w:types>
        <w:behaviors>
          <w:behavior w:val="content"/>
        </w:behaviors>
        <w:description w:val=""/>
        <w:guid w:val="{29332858-7982-4237-8834-0c1831fd8470}"/>
      </w:docPartPr>
      <w:docPartBody>
        <w:p w14:paraId="0F9B2F9F">
          <w:r>
            <w:rPr>
              <w:color w:val="808080"/>
            </w:rPr>
            <w:t>单击此处输入文字。</w:t>
          </w:r>
        </w:p>
      </w:docPartBody>
    </w:docPart>
    <w:docPart>
      <w:docPartPr>
        <w:name w:val="{f74171b4-b8a0-4975-b7ec-46567dae8b4e}"/>
        <w:style w:val=""/>
        <w:category>
          <w:name w:val="常规"/>
          <w:gallery w:val="placeholder"/>
        </w:category>
        <w:types>
          <w:type w:val="bbPlcHdr"/>
        </w:types>
        <w:behaviors>
          <w:behavior w:val="content"/>
        </w:behaviors>
        <w:description w:val=""/>
        <w:guid w:val="{f74171b4-b8a0-4975-b7ec-46567dae8b4e}"/>
      </w:docPartPr>
      <w:docPartBody>
        <w:p w14:paraId="08A1B6C8">
          <w:r>
            <w:rPr>
              <w:color w:val="808080"/>
            </w:rPr>
            <w:t>单击此处输入文字。</w:t>
          </w:r>
        </w:p>
      </w:docPartBody>
    </w:docPart>
    <w:docPart>
      <w:docPartPr>
        <w:name w:val="{d48a3e07-a1cd-4e62-a702-135245031ccc}"/>
        <w:style w:val=""/>
        <w:category>
          <w:name w:val="常规"/>
          <w:gallery w:val="placeholder"/>
        </w:category>
        <w:types>
          <w:type w:val="bbPlcHdr"/>
        </w:types>
        <w:behaviors>
          <w:behavior w:val="content"/>
        </w:behaviors>
        <w:description w:val=""/>
        <w:guid w:val="{d48a3e07-a1cd-4e62-a702-135245031ccc}"/>
      </w:docPartPr>
      <w:docPartBody>
        <w:p w14:paraId="527DBC5E">
          <w:r>
            <w:rPr>
              <w:color w:val="808080"/>
            </w:rPr>
            <w:t>单击此处输入文字。</w:t>
          </w:r>
        </w:p>
      </w:docPartBody>
    </w:docPart>
    <w:docPart>
      <w:docPartPr>
        <w:name w:val="{05190777-46ba-4dc6-91af-8aa85de261ba}"/>
        <w:style w:val=""/>
        <w:category>
          <w:name w:val="常规"/>
          <w:gallery w:val="placeholder"/>
        </w:category>
        <w:types>
          <w:type w:val="bbPlcHdr"/>
        </w:types>
        <w:behaviors>
          <w:behavior w:val="content"/>
        </w:behaviors>
        <w:description w:val=""/>
        <w:guid w:val="{05190777-46ba-4dc6-91af-8aa85de261ba}"/>
      </w:docPartPr>
      <w:docPartBody>
        <w:p w14:paraId="5FA1A5E4">
          <w:r>
            <w:rPr>
              <w:color w:val="808080"/>
            </w:rPr>
            <w:t>单击此处输入文字。</w:t>
          </w:r>
        </w:p>
      </w:docPartBody>
    </w:docPart>
    <w:docPart>
      <w:docPartPr>
        <w:name w:val="{dfeec7c2-2072-4e2a-88b1-4a216e54748e}"/>
        <w:style w:val=""/>
        <w:category>
          <w:name w:val="常规"/>
          <w:gallery w:val="placeholder"/>
        </w:category>
        <w:types>
          <w:type w:val="bbPlcHdr"/>
        </w:types>
        <w:behaviors>
          <w:behavior w:val="content"/>
        </w:behaviors>
        <w:description w:val=""/>
        <w:guid w:val="{dfeec7c2-2072-4e2a-88b1-4a216e54748e}"/>
      </w:docPartPr>
      <w:docPartBody>
        <w:p w14:paraId="6873D031">
          <w:r>
            <w:rPr>
              <w:color w:val="808080"/>
            </w:rPr>
            <w:t>单击此处输入文字。</w:t>
          </w:r>
        </w:p>
      </w:docPartBody>
    </w:docPart>
    <w:docPart>
      <w:docPartPr>
        <w:name w:val="{b655ee29-29e3-4c3a-bcb7-663b0f556bc9}"/>
        <w:style w:val=""/>
        <w:category>
          <w:name w:val="常规"/>
          <w:gallery w:val="placeholder"/>
        </w:category>
        <w:types>
          <w:type w:val="bbPlcHdr"/>
        </w:types>
        <w:behaviors>
          <w:behavior w:val="content"/>
        </w:behaviors>
        <w:description w:val=""/>
        <w:guid w:val="{b655ee29-29e3-4c3a-bcb7-663b0f556bc9}"/>
      </w:docPartPr>
      <w:docPartBody>
        <w:p w14:paraId="1D24FC8C">
          <w:r>
            <w:rPr>
              <w:color w:val="808080"/>
            </w:rPr>
            <w:t>单击此处输入文字。</w:t>
          </w:r>
        </w:p>
      </w:docPartBody>
    </w:docPart>
    <w:docPart>
      <w:docPartPr>
        <w:name w:val="{87f76a98-b506-42a4-9b7b-dca6497be6d6}"/>
        <w:style w:val=""/>
        <w:category>
          <w:name w:val="常规"/>
          <w:gallery w:val="placeholder"/>
        </w:category>
        <w:types>
          <w:type w:val="bbPlcHdr"/>
        </w:types>
        <w:behaviors>
          <w:behavior w:val="content"/>
        </w:behaviors>
        <w:description w:val=""/>
        <w:guid w:val="{87f76a98-b506-42a4-9b7b-dca6497be6d6}"/>
      </w:docPartPr>
      <w:docPartBody>
        <w:p w14:paraId="0ECF58FC">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1334</Words>
  <Characters>7606</Characters>
  <Lines>63</Lines>
  <Paragraphs>17</Paragraphs>
  <TotalTime>0</TotalTime>
  <ScaleCrop>false</ScaleCrop>
  <LinksUpToDate>false</LinksUpToDate>
  <CharactersWithSpaces>8923</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2020-08-10T09:49:00Z</dcterms:created>
  <dc:creator>曹颖</dc:creator>
  <cp:lastModifiedBy>user</cp:lastModifiedBy>
  <cp:lastPrinted>2026-08-28T16:27:00Z</cp:lastPrinted>
  <dcterms:modified xsi:type="dcterms:W3CDTF">2026-09-11T09:40:47Z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3BF536824C220DA3E40E8B68BA118B1C_42</vt:lpwstr>
  </property>
</Properties>
</file>