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3AC282">
      <w:pPr>
        <w:pStyle w:val="5"/>
        <w:spacing w:before="93"/>
        <w:rPr>
          <w:rFonts w:ascii="Times New Roman" w:eastAsia="方正小标宋简体"/>
          <w:kern w:val="2"/>
          <w:sz w:val="72"/>
          <w:szCs w:val="72"/>
        </w:rPr>
      </w:pPr>
      <w:bookmarkStart w:id="0" w:name="_Toc15377193"/>
      <w:bookmarkStart w:id="1" w:name="_Toc15378441"/>
      <w:bookmarkStart w:id="2" w:name="_Toc15396475"/>
      <w:bookmarkStart w:id="3" w:name="_Toc15377425"/>
      <w:bookmarkStart w:id="4" w:name="_Toc15396597"/>
      <w:bookmarkStart w:id="5" w:name="_Toc15306267"/>
    </w:p>
    <w:p w14:paraId="56AB5A45">
      <w:pPr>
        <w:pStyle w:val="5"/>
        <w:spacing w:before="93"/>
        <w:rPr>
          <w:rFonts w:ascii="Times New Roman" w:eastAsia="方正小标宋简体"/>
          <w:kern w:val="2"/>
          <w:sz w:val="72"/>
          <w:szCs w:val="72"/>
        </w:rPr>
      </w:pPr>
    </w:p>
    <w:p w14:paraId="728AB95A">
      <w:pPr>
        <w:pStyle w:val="5"/>
        <w:spacing w:before="93"/>
        <w:jc w:val="center"/>
        <w:rPr>
          <w:rFonts w:hint="eastAsia" w:ascii="方正小标宋_GBK" w:hAnsi="方正小标宋_GBK" w:eastAsia="方正小标宋_GBK" w:cs="方正小标宋_GBK"/>
          <w:kern w:val="2"/>
          <w:sz w:val="44"/>
          <w:szCs w:val="44"/>
        </w:rPr>
      </w:pPr>
    </w:p>
    <w:p w14:paraId="2C6469D6">
      <w:pPr>
        <w:pStyle w:val="5"/>
        <w:spacing w:before="93"/>
        <w:jc w:val="center"/>
        <w:rPr>
          <w:rFonts w:hint="eastAsia" w:ascii="方正小标宋_GBK" w:hAnsi="方正小标宋_GBK" w:eastAsia="方正小标宋_GBK" w:cs="方正小标宋_GBK"/>
          <w:kern w:val="2"/>
          <w:sz w:val="44"/>
          <w:szCs w:val="44"/>
        </w:rPr>
      </w:pPr>
    </w:p>
    <w:p w14:paraId="1F4F80F6">
      <w:pPr>
        <w:pStyle w:val="5"/>
        <w:spacing w:before="93"/>
        <w:jc w:val="center"/>
        <w:rPr>
          <w:rFonts w:hint="eastAsia" w:ascii="方正小标宋_GBK" w:hAnsi="方正小标宋_GBK" w:eastAsia="方正小标宋_GBK" w:cs="方正小标宋_GBK"/>
          <w:kern w:val="2"/>
          <w:sz w:val="44"/>
          <w:szCs w:val="44"/>
        </w:rPr>
      </w:pPr>
    </w:p>
    <w:p w14:paraId="436E3992">
      <w:pPr>
        <w:pStyle w:val="5"/>
        <w:spacing w:before="93"/>
        <w:jc w:val="center"/>
        <w:rPr>
          <w:rFonts w:hint="eastAsia" w:ascii="Times New Roman" w:eastAsia="方正小标宋简体"/>
          <w:kern w:val="2"/>
          <w:sz w:val="44"/>
          <w:szCs w:val="44"/>
          <w:lang w:eastAsia="zh-CN"/>
        </w:rPr>
      </w:pPr>
      <w:r>
        <w:rPr>
          <w:rFonts w:hint="eastAsia" w:ascii="Times New Roman" w:eastAsia="方正小标宋简体"/>
          <w:kern w:val="2"/>
          <w:sz w:val="44"/>
          <w:szCs w:val="44"/>
        </w:rPr>
        <w:t>2025年度攀枝花市</w:t>
      </w:r>
      <w:r>
        <w:rPr>
          <w:rFonts w:hint="eastAsia" w:ascii="Times New Roman" w:eastAsia="方正小标宋简体"/>
          <w:kern w:val="2"/>
          <w:sz w:val="44"/>
          <w:szCs w:val="44"/>
          <w:lang w:eastAsia="zh-CN"/>
        </w:rPr>
        <w:t>盐边生态环境监测站</w:t>
      </w:r>
    </w:p>
    <w:p w14:paraId="4C287DE0">
      <w:pPr>
        <w:pStyle w:val="5"/>
        <w:spacing w:before="93"/>
        <w:jc w:val="center"/>
        <w:rPr>
          <w:rFonts w:ascii="Times New Roman" w:eastAsia="方正小标宋简体"/>
          <w:kern w:val="2"/>
          <w:sz w:val="44"/>
          <w:szCs w:val="44"/>
        </w:rPr>
      </w:pPr>
      <w:r>
        <w:rPr>
          <w:rFonts w:hint="eastAsia" w:ascii="Times New Roman" w:eastAsia="方正小标宋简体"/>
          <w:kern w:val="2"/>
          <w:sz w:val="44"/>
          <w:szCs w:val="44"/>
        </w:rPr>
        <w:t>决算公开编制说明</w:t>
      </w:r>
    </w:p>
    <w:p w14:paraId="1E2F5F97">
      <w:pPr>
        <w:pStyle w:val="5"/>
        <w:spacing w:before="93"/>
        <w:jc w:val="center"/>
        <w:rPr>
          <w:rFonts w:hint="eastAsia" w:ascii="方正小标宋_GBK" w:hAnsi="方正小标宋_GBK" w:eastAsia="方正小标宋_GBK" w:cs="方正小标宋_GBK"/>
          <w:kern w:val="2"/>
          <w:sz w:val="44"/>
          <w:szCs w:val="44"/>
        </w:rPr>
      </w:pPr>
    </w:p>
    <w:p w14:paraId="3041F833">
      <w:pPr>
        <w:pStyle w:val="5"/>
        <w:spacing w:before="93"/>
        <w:jc w:val="center"/>
        <w:rPr>
          <w:rFonts w:hint="eastAsia" w:ascii="方正小标宋_GBK" w:hAnsi="方正小标宋_GBK" w:eastAsia="方正小标宋_GBK" w:cs="方正小标宋_GBK"/>
          <w:kern w:val="2"/>
          <w:sz w:val="44"/>
          <w:szCs w:val="44"/>
        </w:rPr>
      </w:pPr>
    </w:p>
    <w:p w14:paraId="7C6FCDEA">
      <w:pPr>
        <w:pStyle w:val="5"/>
        <w:spacing w:before="93"/>
        <w:jc w:val="center"/>
        <w:rPr>
          <w:rFonts w:hint="eastAsia" w:ascii="方正小标宋_GBK" w:hAnsi="方正小标宋_GBK" w:eastAsia="方正小标宋_GBK" w:cs="方正小标宋_GBK"/>
          <w:kern w:val="2"/>
          <w:sz w:val="44"/>
          <w:szCs w:val="44"/>
        </w:rPr>
      </w:pPr>
    </w:p>
    <w:p w14:paraId="50D71581">
      <w:pPr>
        <w:pStyle w:val="5"/>
        <w:spacing w:before="93"/>
        <w:jc w:val="center"/>
        <w:rPr>
          <w:rFonts w:hint="eastAsia" w:ascii="方正小标宋_GBK" w:hAnsi="方正小标宋_GBK" w:eastAsia="方正小标宋_GBK" w:cs="方正小标宋_GBK"/>
          <w:kern w:val="2"/>
          <w:sz w:val="44"/>
          <w:szCs w:val="44"/>
        </w:rPr>
      </w:pPr>
    </w:p>
    <w:p w14:paraId="02F193D3">
      <w:pPr>
        <w:pStyle w:val="5"/>
        <w:spacing w:before="93"/>
        <w:jc w:val="center"/>
        <w:rPr>
          <w:rFonts w:hint="eastAsia" w:ascii="方正小标宋_GBK" w:hAnsi="方正小标宋_GBK" w:eastAsia="方正小标宋_GBK" w:cs="方正小标宋_GBK"/>
          <w:kern w:val="2"/>
          <w:sz w:val="44"/>
          <w:szCs w:val="44"/>
        </w:rPr>
      </w:pPr>
    </w:p>
    <w:p w14:paraId="71074960">
      <w:pPr>
        <w:pStyle w:val="5"/>
        <w:spacing w:before="93"/>
        <w:jc w:val="center"/>
        <w:rPr>
          <w:rFonts w:hint="eastAsia" w:ascii="方正小标宋_GBK" w:hAnsi="方正小标宋_GBK" w:eastAsia="方正小标宋_GBK" w:cs="方正小标宋_GBK"/>
          <w:kern w:val="2"/>
          <w:sz w:val="44"/>
          <w:szCs w:val="44"/>
        </w:rPr>
      </w:pPr>
      <w:bookmarkStart w:id="62" w:name="_GoBack"/>
      <w:bookmarkEnd w:id="62"/>
    </w:p>
    <w:p w14:paraId="61612278">
      <w:pPr>
        <w:pStyle w:val="5"/>
        <w:spacing w:before="93"/>
        <w:jc w:val="center"/>
        <w:rPr>
          <w:rFonts w:hint="eastAsia" w:ascii="方正小标宋_GBK" w:hAnsi="方正小标宋_GBK" w:eastAsia="方正小标宋_GBK" w:cs="方正小标宋_GBK"/>
          <w:kern w:val="2"/>
          <w:sz w:val="44"/>
          <w:szCs w:val="44"/>
        </w:rPr>
      </w:pPr>
    </w:p>
    <w:p w14:paraId="20AEFEFE">
      <w:pPr>
        <w:pStyle w:val="5"/>
        <w:spacing w:before="93"/>
        <w:jc w:val="center"/>
        <w:rPr>
          <w:rFonts w:hint="eastAsia" w:ascii="方正小标宋_GBK" w:hAnsi="方正小标宋_GBK" w:eastAsia="方正小标宋_GBK" w:cs="方正小标宋_GBK"/>
          <w:kern w:val="2"/>
          <w:sz w:val="44"/>
          <w:szCs w:val="44"/>
        </w:rPr>
      </w:pPr>
    </w:p>
    <w:p w14:paraId="6D04FBAE">
      <w:pPr>
        <w:pStyle w:val="5"/>
        <w:spacing w:before="93"/>
        <w:jc w:val="center"/>
        <w:rPr>
          <w:rFonts w:hint="eastAsia" w:ascii="方正小标宋_GBK" w:hAnsi="方正小标宋_GBK" w:eastAsia="方正小标宋_GBK" w:cs="方正小标宋_GBK"/>
          <w:kern w:val="2"/>
          <w:sz w:val="44"/>
          <w:szCs w:val="44"/>
        </w:rPr>
      </w:pPr>
    </w:p>
    <w:p w14:paraId="74CF7CEB">
      <w:pPr>
        <w:pStyle w:val="5"/>
        <w:spacing w:before="93"/>
        <w:jc w:val="center"/>
        <w:rPr>
          <w:rFonts w:hint="eastAsia" w:ascii="方正小标宋_GBK" w:hAnsi="方正小标宋_GBK" w:eastAsia="方正小标宋_GBK" w:cs="方正小标宋_GBK"/>
          <w:kern w:val="2"/>
          <w:sz w:val="44"/>
          <w:szCs w:val="44"/>
        </w:rPr>
      </w:pPr>
    </w:p>
    <w:p w14:paraId="28E0A1E5">
      <w:pPr>
        <w:pStyle w:val="5"/>
        <w:spacing w:before="93"/>
        <w:jc w:val="both"/>
        <w:rPr>
          <w:rFonts w:hint="eastAsia" w:ascii="方正小标宋_GBK" w:hAnsi="方正小标宋_GBK" w:eastAsia="方正小标宋_GBK" w:cs="方正小标宋_GBK"/>
          <w:kern w:val="2"/>
          <w:sz w:val="44"/>
          <w:szCs w:val="44"/>
        </w:rPr>
      </w:pPr>
    </w:p>
    <w:p w14:paraId="783A126B">
      <w:pPr>
        <w:pStyle w:val="5"/>
        <w:spacing w:before="93"/>
        <w:jc w:val="center"/>
        <w:rPr>
          <w:rFonts w:hint="eastAsia" w:ascii="Times New Roman" w:hAnsi="Times New Roman" w:eastAsia="方正小标宋简体" w:cs="Times New Roman"/>
          <w:kern w:val="2"/>
          <w:sz w:val="44"/>
          <w:szCs w:val="44"/>
        </w:rPr>
      </w:pPr>
      <w:r>
        <w:rPr>
          <w:rFonts w:hint="eastAsia" w:ascii="Times New Roman" w:hAnsi="Times New Roman" w:eastAsia="方正小标宋简体" w:cs="Times New Roman"/>
          <w:kern w:val="2"/>
          <w:sz w:val="44"/>
          <w:szCs w:val="44"/>
        </w:rPr>
        <w:t>2025年度攀枝花市盐边生态环境监测站</w:t>
      </w:r>
    </w:p>
    <w:p w14:paraId="210D3E1B">
      <w:pPr>
        <w:pStyle w:val="5"/>
        <w:spacing w:before="93"/>
        <w:jc w:val="center"/>
        <w:rPr>
          <w:rFonts w:hint="eastAsia" w:ascii="Times New Roman" w:hAnsi="Times New Roman" w:eastAsia="方正小标宋简体" w:cs="Times New Roman"/>
          <w:kern w:val="2"/>
          <w:sz w:val="44"/>
          <w:szCs w:val="44"/>
        </w:rPr>
      </w:pPr>
      <w:r>
        <w:rPr>
          <w:rFonts w:hint="eastAsia" w:ascii="Times New Roman" w:hAnsi="Times New Roman" w:eastAsia="方正小标宋简体" w:cs="Times New Roman"/>
          <w:kern w:val="2"/>
          <w:sz w:val="44"/>
          <w:szCs w:val="44"/>
        </w:rPr>
        <w:t>单位决算</w:t>
      </w:r>
    </w:p>
    <w:p w14:paraId="0E0ABCE7">
      <w:pPr>
        <w:pStyle w:val="5"/>
        <w:spacing w:before="93"/>
        <w:jc w:val="center"/>
        <w:rPr>
          <w:rFonts w:hint="eastAsia" w:ascii="Times New Roman" w:hAnsi="Times New Roman" w:eastAsia="方正小标宋简体" w:cs="Times New Roman"/>
          <w:kern w:val="2"/>
          <w:sz w:val="44"/>
          <w:szCs w:val="44"/>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14:paraId="129CDD25">
      <w:pPr>
        <w:pStyle w:val="5"/>
        <w:spacing w:before="93"/>
        <w:rPr>
          <w:rFonts w:ascii="Times New Roman" w:eastAsia="方正小标宋简体"/>
          <w:kern w:val="2"/>
          <w:sz w:val="44"/>
          <w:szCs w:val="44"/>
        </w:rPr>
      </w:pPr>
    </w:p>
    <w:bookmarkEnd w:id="0"/>
    <w:bookmarkEnd w:id="1"/>
    <w:bookmarkEnd w:id="2"/>
    <w:bookmarkEnd w:id="3"/>
    <w:bookmarkEnd w:id="4"/>
    <w:bookmarkEnd w:id="5"/>
    <w:p w14:paraId="67C91816">
      <w:pPr>
        <w:widowControl/>
        <w:jc w:val="center"/>
        <w:rPr>
          <w:rFonts w:eastAsia="黑体"/>
          <w:sz w:val="48"/>
          <w:szCs w:val="48"/>
        </w:rPr>
      </w:pPr>
      <w:r>
        <w:rPr>
          <w:rFonts w:eastAsia="黑体"/>
          <w:sz w:val="48"/>
          <w:szCs w:val="48"/>
        </w:rPr>
        <w:t>目录</w:t>
      </w:r>
    </w:p>
    <w:p w14:paraId="1D70C3AB">
      <w:pPr>
        <w:widowControl/>
        <w:jc w:val="center"/>
        <w:rPr>
          <w:rFonts w:eastAsia="黑体"/>
          <w:sz w:val="28"/>
          <w:szCs w:val="28"/>
        </w:rPr>
      </w:pPr>
    </w:p>
    <w:p w14:paraId="34928D6E">
      <w:pPr>
        <w:pStyle w:val="12"/>
        <w:rPr>
          <w:rFonts w:ascii="Times New Roman" w:hAnsi="Times New Roman" w:eastAsia="仿宋_GB2312"/>
          <w:sz w:val="32"/>
          <w:szCs w:val="32"/>
        </w:rPr>
      </w:pPr>
      <w:r>
        <w:rPr>
          <w:rFonts w:ascii="Times New Roman" w:hAnsi="Times New Roman" w:eastAsia="仿宋_GB2312"/>
          <w:sz w:val="32"/>
          <w:szCs w:val="32"/>
        </w:rPr>
        <w:t>公开时间：202</w:t>
      </w:r>
      <w:r>
        <w:rPr>
          <w:rFonts w:hint="eastAsia" w:ascii="Times New Roman" w:hAnsi="Times New Roman" w:eastAsia="仿宋_GB2312"/>
          <w:sz w:val="32"/>
          <w:szCs w:val="32"/>
        </w:rPr>
        <w:t>6</w:t>
      </w:r>
      <w:r>
        <w:rPr>
          <w:rFonts w:ascii="Times New Roman" w:hAnsi="Times New Roman" w:eastAsia="仿宋_GB2312"/>
          <w:sz w:val="32"/>
          <w:szCs w:val="32"/>
        </w:rPr>
        <w:t>年</w:t>
      </w: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9</w:t>
      </w:r>
      <w:r>
        <w:rPr>
          <w:rFonts w:ascii="Times New Roman" w:hAnsi="Times New Roman" w:eastAsia="仿宋_GB2312"/>
          <w:sz w:val="32"/>
          <w:szCs w:val="32"/>
        </w:rPr>
        <w:t>月</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 xml:space="preserve"> </w:t>
      </w:r>
      <w:r>
        <w:rPr>
          <w:rFonts w:ascii="Times New Roman" w:hAnsi="Times New Roman" w:eastAsia="仿宋_GB2312"/>
          <w:sz w:val="32"/>
          <w:szCs w:val="32"/>
        </w:rPr>
        <w:t>日</w:t>
      </w:r>
    </w:p>
    <w:p w14:paraId="0BEA763B"/>
    <w:p w14:paraId="38D04944">
      <w:pPr>
        <w:pStyle w:val="12"/>
        <w:adjustRightInd w:val="0"/>
        <w:snapToGrid w:val="0"/>
        <w:spacing w:before="0" w:line="560" w:lineRule="exact"/>
        <w:jc w:val="left"/>
        <w:rPr>
          <w:rFonts w:ascii="Times New Roman" w:hAnsi="Times New Roman" w:eastAsia="仿宋_GB2312"/>
          <w:sz w:val="32"/>
          <w:szCs w:val="32"/>
        </w:rPr>
      </w:pPr>
      <w:r>
        <w:rPr>
          <w:rFonts w:ascii="Times New Roman" w:hAnsi="Times New Roman" w:eastAsia="黑体"/>
          <w:sz w:val="32"/>
          <w:szCs w:val="32"/>
        </w:rPr>
        <w:t>第一部分 单位概况</w:t>
      </w:r>
      <w:r>
        <w:rPr>
          <w:rFonts w:ascii="Times New Roman" w:hAnsi="Times New Roman" w:eastAsia="仿宋_GB2312"/>
        </w:rPr>
        <w:tab/>
      </w:r>
      <w:r>
        <w:rPr>
          <w:rFonts w:ascii="Times New Roman" w:hAnsi="Times New Roman" w:eastAsia="仿宋_GB2312"/>
        </w:rPr>
        <w:t>1</w:t>
      </w:r>
    </w:p>
    <w:p w14:paraId="08592F4B">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一、单位职责</w:t>
      </w:r>
      <w:r>
        <w:rPr>
          <w:rFonts w:eastAsia="仿宋_GB2312"/>
          <w:sz w:val="28"/>
          <w:szCs w:val="28"/>
        </w:rPr>
        <w:tab/>
      </w:r>
      <w:r>
        <w:rPr>
          <w:rFonts w:eastAsia="仿宋_GB2312"/>
          <w:sz w:val="28"/>
          <w:szCs w:val="28"/>
        </w:rPr>
        <w:t>1</w:t>
      </w:r>
    </w:p>
    <w:p w14:paraId="083B6930">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二、机构设置</w:t>
      </w:r>
      <w:r>
        <w:rPr>
          <w:rFonts w:eastAsia="仿宋_GB2312"/>
          <w:sz w:val="28"/>
          <w:szCs w:val="28"/>
        </w:rPr>
        <w:tab/>
      </w:r>
      <w:r>
        <w:rPr>
          <w:rFonts w:eastAsia="仿宋_GB2312"/>
          <w:sz w:val="28"/>
          <w:szCs w:val="28"/>
        </w:rPr>
        <w:t>3</w:t>
      </w:r>
    </w:p>
    <w:p w14:paraId="5EA18A36">
      <w:pPr>
        <w:pStyle w:val="12"/>
        <w:adjustRightInd w:val="0"/>
        <w:snapToGrid w:val="0"/>
        <w:spacing w:before="0" w:line="560" w:lineRule="exact"/>
        <w:jc w:val="left"/>
        <w:rPr>
          <w:rFonts w:hint="eastAsia" w:ascii="Times New Roman" w:hAnsi="Times New Roman" w:eastAsia="仿宋_GB2312"/>
          <w:sz w:val="32"/>
          <w:szCs w:val="32"/>
          <w:lang w:val="en-US" w:eastAsia="zh-CN"/>
        </w:rPr>
      </w:pPr>
      <w:r>
        <w:rPr>
          <w:rFonts w:ascii="Times New Roman" w:hAnsi="Times New Roman" w:eastAsia="黑体"/>
          <w:sz w:val="32"/>
          <w:szCs w:val="32"/>
        </w:rPr>
        <w:t>第二部分 202</w:t>
      </w:r>
      <w:r>
        <w:rPr>
          <w:rFonts w:hint="eastAsia" w:ascii="Times New Roman" w:hAnsi="Times New Roman" w:eastAsia="黑体"/>
          <w:sz w:val="32"/>
          <w:szCs w:val="32"/>
        </w:rPr>
        <w:t>5</w:t>
      </w:r>
      <w:r>
        <w:rPr>
          <w:rFonts w:ascii="Times New Roman" w:hAnsi="Times New Roman" w:eastAsia="黑体"/>
          <w:sz w:val="32"/>
          <w:szCs w:val="32"/>
        </w:rPr>
        <w:t>年度单位决算情况说明</w:t>
      </w:r>
      <w:r>
        <w:rPr>
          <w:rFonts w:ascii="Times New Roman" w:hAnsi="Times New Roman" w:eastAsia="仿宋_GB2312"/>
        </w:rPr>
        <w:tab/>
      </w:r>
      <w:r>
        <w:rPr>
          <w:rFonts w:hint="eastAsia" w:ascii="Times New Roman" w:hAnsi="Times New Roman" w:eastAsia="仿宋_GB2312"/>
          <w:lang w:val="en-US" w:eastAsia="zh-CN"/>
        </w:rPr>
        <w:t>5</w:t>
      </w:r>
    </w:p>
    <w:p w14:paraId="3035F1B0">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一、收入支出决算总体情况说明</w:t>
      </w:r>
      <w:r>
        <w:rPr>
          <w:rFonts w:eastAsia="仿宋_GB2312"/>
          <w:sz w:val="28"/>
          <w:szCs w:val="28"/>
        </w:rPr>
        <w:tab/>
      </w:r>
      <w:r>
        <w:rPr>
          <w:rFonts w:hint="eastAsia" w:eastAsia="仿宋_GB2312"/>
          <w:sz w:val="28"/>
          <w:szCs w:val="28"/>
          <w:lang w:val="en-US" w:eastAsia="zh-CN"/>
        </w:rPr>
        <w:t>5</w:t>
      </w:r>
    </w:p>
    <w:p w14:paraId="5CCBEA5E">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二、收入决算情况说明</w:t>
      </w:r>
      <w:r>
        <w:rPr>
          <w:rFonts w:eastAsia="仿宋_GB2312"/>
          <w:sz w:val="28"/>
          <w:szCs w:val="28"/>
        </w:rPr>
        <w:tab/>
      </w:r>
      <w:r>
        <w:rPr>
          <w:rFonts w:hint="eastAsia" w:eastAsia="仿宋_GB2312"/>
          <w:sz w:val="28"/>
          <w:szCs w:val="28"/>
          <w:lang w:val="en-US" w:eastAsia="zh-CN"/>
        </w:rPr>
        <w:t>5</w:t>
      </w:r>
    </w:p>
    <w:p w14:paraId="4F3638B0">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三、支出决算情况说明</w:t>
      </w:r>
      <w:r>
        <w:rPr>
          <w:rFonts w:eastAsia="仿宋_GB2312"/>
          <w:sz w:val="28"/>
          <w:szCs w:val="28"/>
        </w:rPr>
        <w:tab/>
      </w:r>
      <w:r>
        <w:rPr>
          <w:rFonts w:hint="eastAsia" w:eastAsia="仿宋_GB2312"/>
          <w:sz w:val="28"/>
          <w:szCs w:val="28"/>
          <w:lang w:val="en-US" w:eastAsia="zh-CN"/>
        </w:rPr>
        <w:t>6</w:t>
      </w:r>
    </w:p>
    <w:p w14:paraId="7CFD0249">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四、财政拨款收入支出决算总体情况说明</w:t>
      </w:r>
      <w:r>
        <w:rPr>
          <w:rFonts w:eastAsia="仿宋_GB2312"/>
          <w:sz w:val="28"/>
          <w:szCs w:val="28"/>
        </w:rPr>
        <w:tab/>
      </w:r>
      <w:r>
        <w:rPr>
          <w:rFonts w:eastAsia="仿宋_GB2312"/>
          <w:sz w:val="28"/>
          <w:szCs w:val="28"/>
        </w:rPr>
        <w:t>6</w:t>
      </w:r>
    </w:p>
    <w:p w14:paraId="4FD41B81">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五、一般公共预算财政拨款支出决算情况说明</w:t>
      </w:r>
      <w:r>
        <w:rPr>
          <w:rFonts w:eastAsia="仿宋_GB2312"/>
          <w:sz w:val="28"/>
          <w:szCs w:val="28"/>
        </w:rPr>
        <w:tab/>
      </w:r>
      <w:r>
        <w:rPr>
          <w:rFonts w:hint="eastAsia" w:eastAsia="仿宋_GB2312"/>
          <w:sz w:val="28"/>
          <w:szCs w:val="28"/>
          <w:lang w:val="en-US" w:eastAsia="zh-CN"/>
        </w:rPr>
        <w:t>7</w:t>
      </w:r>
    </w:p>
    <w:p w14:paraId="1AA788E6">
      <w:pPr>
        <w:pStyle w:val="14"/>
        <w:adjustRightInd w:val="0"/>
        <w:snapToGrid w:val="0"/>
        <w:spacing w:line="560" w:lineRule="exact"/>
        <w:ind w:left="0" w:leftChars="0" w:firstLine="640" w:firstLineChars="200"/>
        <w:jc w:val="left"/>
        <w:rPr>
          <w:rFonts w:hint="default" w:eastAsia="仿宋_GB2312"/>
          <w:sz w:val="32"/>
          <w:szCs w:val="32"/>
          <w:lang w:val="en-US" w:eastAsia="zh-CN"/>
        </w:rPr>
      </w:pPr>
      <w:r>
        <w:rPr>
          <w:rFonts w:eastAsia="仿宋_GB2312"/>
          <w:sz w:val="32"/>
          <w:szCs w:val="32"/>
        </w:rPr>
        <w:t>六、一般公共预算财政拨款基本支出决算情况说明</w:t>
      </w:r>
      <w:r>
        <w:rPr>
          <w:rFonts w:eastAsia="仿宋_GB2312"/>
          <w:sz w:val="28"/>
          <w:szCs w:val="28"/>
        </w:rPr>
        <w:tab/>
      </w:r>
      <w:r>
        <w:rPr>
          <w:rFonts w:hint="eastAsia" w:eastAsia="仿宋_GB2312"/>
          <w:sz w:val="28"/>
          <w:szCs w:val="28"/>
          <w:lang w:val="en-US" w:eastAsia="zh-CN"/>
        </w:rPr>
        <w:t>10</w:t>
      </w:r>
    </w:p>
    <w:p w14:paraId="2BB80AEC">
      <w:pPr>
        <w:pStyle w:val="14"/>
        <w:adjustRightInd w:val="0"/>
        <w:snapToGrid w:val="0"/>
        <w:spacing w:line="560" w:lineRule="exact"/>
        <w:ind w:left="0" w:leftChars="0" w:firstLine="640" w:firstLineChars="200"/>
        <w:jc w:val="left"/>
        <w:rPr>
          <w:rFonts w:hint="default" w:eastAsia="仿宋_GB2312"/>
          <w:sz w:val="32"/>
          <w:szCs w:val="32"/>
          <w:lang w:val="en-US" w:eastAsia="zh-CN"/>
        </w:rPr>
      </w:pPr>
      <w:r>
        <w:rPr>
          <w:rFonts w:eastAsia="仿宋_GB2312"/>
          <w:sz w:val="32"/>
          <w:szCs w:val="32"/>
        </w:rPr>
        <w:t>七、财政拨款“三公”经费支出决算情况说明</w:t>
      </w:r>
      <w:r>
        <w:rPr>
          <w:rFonts w:eastAsia="仿宋_GB2312"/>
          <w:sz w:val="28"/>
          <w:szCs w:val="28"/>
        </w:rPr>
        <w:tab/>
      </w:r>
      <w:r>
        <w:rPr>
          <w:rFonts w:hint="eastAsia" w:eastAsia="仿宋_GB2312"/>
          <w:sz w:val="28"/>
          <w:szCs w:val="28"/>
          <w:lang w:val="en-US" w:eastAsia="zh-CN"/>
        </w:rPr>
        <w:t>10</w:t>
      </w:r>
    </w:p>
    <w:p w14:paraId="30CCF4CE">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八、政府性基金预算支出决算情况说明</w:t>
      </w:r>
      <w:r>
        <w:rPr>
          <w:rFonts w:eastAsia="仿宋_GB2312"/>
          <w:sz w:val="28"/>
          <w:szCs w:val="28"/>
        </w:rPr>
        <w:tab/>
      </w:r>
      <w:r>
        <w:rPr>
          <w:rFonts w:eastAsia="仿宋_GB2312"/>
          <w:sz w:val="28"/>
          <w:szCs w:val="28"/>
        </w:rPr>
        <w:t>1</w:t>
      </w:r>
      <w:r>
        <w:rPr>
          <w:rFonts w:hint="eastAsia" w:eastAsia="仿宋_GB2312"/>
          <w:sz w:val="28"/>
          <w:szCs w:val="28"/>
          <w:lang w:val="en-US" w:eastAsia="zh-CN"/>
        </w:rPr>
        <w:t>2</w:t>
      </w:r>
    </w:p>
    <w:p w14:paraId="6EF88F62">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九、国有资本经营预算支出决算情况说明</w:t>
      </w:r>
      <w:r>
        <w:rPr>
          <w:rFonts w:eastAsia="仿宋_GB2312"/>
          <w:sz w:val="28"/>
          <w:szCs w:val="28"/>
        </w:rPr>
        <w:tab/>
      </w:r>
      <w:r>
        <w:rPr>
          <w:rFonts w:eastAsia="仿宋_GB2312"/>
          <w:sz w:val="28"/>
          <w:szCs w:val="28"/>
        </w:rPr>
        <w:t>1</w:t>
      </w:r>
      <w:r>
        <w:rPr>
          <w:rFonts w:hint="eastAsia" w:eastAsia="仿宋_GB2312"/>
          <w:sz w:val="28"/>
          <w:szCs w:val="28"/>
          <w:lang w:val="en-US" w:eastAsia="zh-CN"/>
        </w:rPr>
        <w:t>2</w:t>
      </w:r>
    </w:p>
    <w:p w14:paraId="194F4C99">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十、其他重要事项的情况说明</w:t>
      </w:r>
      <w:r>
        <w:rPr>
          <w:rFonts w:eastAsia="仿宋_GB2312"/>
          <w:sz w:val="28"/>
          <w:szCs w:val="28"/>
        </w:rPr>
        <w:tab/>
      </w:r>
      <w:r>
        <w:rPr>
          <w:rFonts w:eastAsia="仿宋_GB2312"/>
          <w:sz w:val="28"/>
          <w:szCs w:val="28"/>
        </w:rPr>
        <w:t>1</w:t>
      </w:r>
      <w:r>
        <w:rPr>
          <w:rFonts w:hint="eastAsia" w:eastAsia="仿宋_GB2312"/>
          <w:sz w:val="28"/>
          <w:szCs w:val="28"/>
          <w:lang w:val="en-US" w:eastAsia="zh-CN"/>
        </w:rPr>
        <w:t>2</w:t>
      </w:r>
    </w:p>
    <w:p w14:paraId="2C7CE1F1">
      <w:pPr>
        <w:pStyle w:val="12"/>
        <w:adjustRightInd w:val="0"/>
        <w:snapToGrid w:val="0"/>
        <w:spacing w:before="0" w:line="560" w:lineRule="exact"/>
        <w:jc w:val="left"/>
        <w:rPr>
          <w:rFonts w:hint="eastAsia" w:ascii="Times New Roman" w:hAnsi="Times New Roman" w:eastAsia="仿宋_GB2312"/>
          <w:lang w:val="en-US" w:eastAsia="zh-CN"/>
        </w:rPr>
      </w:pPr>
      <w:r>
        <w:rPr>
          <w:rFonts w:ascii="Times New Roman" w:hAnsi="Times New Roman" w:eastAsia="黑体"/>
          <w:sz w:val="32"/>
          <w:szCs w:val="32"/>
        </w:rPr>
        <w:t>第三部分 名词解释</w:t>
      </w:r>
      <w:r>
        <w:rPr>
          <w:rFonts w:ascii="Times New Roman" w:hAnsi="Times New Roman" w:eastAsia="仿宋_GB2312"/>
        </w:rPr>
        <w:tab/>
      </w:r>
      <w:r>
        <w:rPr>
          <w:rFonts w:ascii="Times New Roman" w:hAnsi="Times New Roman" w:eastAsia="仿宋_GB2312"/>
        </w:rPr>
        <w:t>1</w:t>
      </w:r>
      <w:r>
        <w:rPr>
          <w:rFonts w:hint="eastAsia" w:ascii="Times New Roman" w:hAnsi="Times New Roman" w:eastAsia="仿宋_GB2312"/>
          <w:lang w:val="en-US" w:eastAsia="zh-CN"/>
        </w:rPr>
        <w:t>4</w:t>
      </w:r>
    </w:p>
    <w:p w14:paraId="74420872">
      <w:pPr>
        <w:pStyle w:val="12"/>
        <w:adjustRightInd w:val="0"/>
        <w:snapToGrid w:val="0"/>
        <w:spacing w:before="0" w:line="560" w:lineRule="exact"/>
        <w:jc w:val="left"/>
        <w:rPr>
          <w:rFonts w:hint="eastAsia" w:ascii="Times New Roman" w:hAnsi="Times New Roman" w:eastAsia="仿宋_GB2312"/>
          <w:sz w:val="32"/>
          <w:szCs w:val="32"/>
          <w:lang w:val="en-US" w:eastAsia="zh-CN"/>
        </w:rPr>
      </w:pPr>
      <w:r>
        <w:rPr>
          <w:rFonts w:ascii="Times New Roman" w:hAnsi="Times New Roman" w:eastAsia="黑体"/>
          <w:sz w:val="32"/>
          <w:szCs w:val="32"/>
        </w:rPr>
        <w:t>第四部分 附件</w:t>
      </w:r>
      <w:r>
        <w:rPr>
          <w:rFonts w:ascii="Times New Roman" w:hAnsi="Times New Roman" w:eastAsia="仿宋_GB2312"/>
        </w:rPr>
        <w:tab/>
      </w:r>
      <w:r>
        <w:rPr>
          <w:rFonts w:ascii="Times New Roman" w:hAnsi="Times New Roman" w:eastAsia="仿宋_GB2312"/>
        </w:rPr>
        <w:t>1</w:t>
      </w:r>
      <w:r>
        <w:rPr>
          <w:rFonts w:hint="eastAsia" w:ascii="Times New Roman" w:hAnsi="Times New Roman" w:eastAsia="仿宋_GB2312"/>
          <w:lang w:val="en-US" w:eastAsia="zh-CN"/>
        </w:rPr>
        <w:t>6</w:t>
      </w:r>
    </w:p>
    <w:p w14:paraId="4B10A737">
      <w:pPr>
        <w:pStyle w:val="12"/>
        <w:adjustRightInd w:val="0"/>
        <w:snapToGrid w:val="0"/>
        <w:spacing w:before="0" w:line="560" w:lineRule="exact"/>
        <w:jc w:val="left"/>
        <w:rPr>
          <w:rFonts w:hint="eastAsia" w:ascii="Times New Roman" w:hAnsi="Times New Roman" w:eastAsia="仿宋_GB2312"/>
          <w:sz w:val="32"/>
          <w:szCs w:val="32"/>
          <w:lang w:val="en-US" w:eastAsia="zh-CN"/>
        </w:rPr>
      </w:pPr>
      <w:r>
        <w:rPr>
          <w:rFonts w:ascii="Times New Roman" w:hAnsi="Times New Roman" w:eastAsia="黑体"/>
          <w:sz w:val="32"/>
          <w:szCs w:val="32"/>
        </w:rPr>
        <w:t>第五部分 附表</w:t>
      </w:r>
      <w:r>
        <w:rPr>
          <w:rFonts w:ascii="Times New Roman" w:hAnsi="Times New Roman" w:eastAsia="仿宋_GB2312"/>
        </w:rPr>
        <w:tab/>
      </w:r>
      <w:r>
        <w:rPr>
          <w:rFonts w:ascii="Times New Roman" w:hAnsi="Times New Roman" w:eastAsia="仿宋_GB2312"/>
        </w:rPr>
        <w:t>1</w:t>
      </w:r>
      <w:r>
        <w:rPr>
          <w:rFonts w:hint="eastAsia" w:ascii="Times New Roman" w:hAnsi="Times New Roman" w:eastAsia="仿宋_GB2312"/>
          <w:lang w:val="en-US" w:eastAsia="zh-CN"/>
        </w:rPr>
        <w:t>7</w:t>
      </w:r>
    </w:p>
    <w:p w14:paraId="13D7D5BC">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一、收入支出决算总表</w:t>
      </w:r>
      <w:r>
        <w:rPr>
          <w:rFonts w:eastAsia="仿宋_GB2312"/>
          <w:sz w:val="28"/>
          <w:szCs w:val="28"/>
        </w:rPr>
        <w:tab/>
      </w:r>
      <w:r>
        <w:rPr>
          <w:rFonts w:eastAsia="仿宋_GB2312"/>
          <w:sz w:val="28"/>
          <w:szCs w:val="28"/>
        </w:rPr>
        <w:t>1</w:t>
      </w:r>
      <w:r>
        <w:rPr>
          <w:rFonts w:hint="eastAsia" w:eastAsia="仿宋_GB2312"/>
          <w:sz w:val="28"/>
          <w:szCs w:val="28"/>
          <w:lang w:val="en-US" w:eastAsia="zh-CN"/>
        </w:rPr>
        <w:t>7</w:t>
      </w:r>
    </w:p>
    <w:p w14:paraId="344B5F7C">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二、收入决算表</w:t>
      </w:r>
      <w:r>
        <w:rPr>
          <w:rFonts w:eastAsia="仿宋_GB2312"/>
          <w:sz w:val="28"/>
          <w:szCs w:val="28"/>
        </w:rPr>
        <w:tab/>
      </w:r>
      <w:r>
        <w:rPr>
          <w:rFonts w:eastAsia="仿宋_GB2312"/>
          <w:sz w:val="28"/>
          <w:szCs w:val="28"/>
        </w:rPr>
        <w:t>1</w:t>
      </w:r>
      <w:r>
        <w:rPr>
          <w:rFonts w:hint="eastAsia" w:eastAsia="仿宋_GB2312"/>
          <w:sz w:val="28"/>
          <w:szCs w:val="28"/>
          <w:lang w:val="en-US" w:eastAsia="zh-CN"/>
        </w:rPr>
        <w:t>7</w:t>
      </w:r>
    </w:p>
    <w:p w14:paraId="7F290D86">
      <w:pPr>
        <w:pStyle w:val="14"/>
        <w:adjustRightInd w:val="0"/>
        <w:snapToGrid w:val="0"/>
        <w:spacing w:line="560" w:lineRule="exact"/>
        <w:ind w:left="0" w:leftChars="0" w:firstLine="0" w:firstLineChars="0"/>
        <w:jc w:val="left"/>
        <w:rPr>
          <w:rFonts w:eastAsia="仿宋_GB2312"/>
          <w:sz w:val="32"/>
          <w:szCs w:val="32"/>
        </w:rPr>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pPr>
    </w:p>
    <w:p w14:paraId="4BB5B6EF">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三、支出决算表</w:t>
      </w:r>
      <w:r>
        <w:rPr>
          <w:rFonts w:eastAsia="仿宋_GB2312"/>
          <w:sz w:val="28"/>
          <w:szCs w:val="28"/>
        </w:rPr>
        <w:tab/>
      </w:r>
      <w:r>
        <w:rPr>
          <w:rFonts w:eastAsia="仿宋_GB2312"/>
          <w:sz w:val="28"/>
          <w:szCs w:val="28"/>
        </w:rPr>
        <w:t>1</w:t>
      </w:r>
      <w:r>
        <w:rPr>
          <w:rFonts w:hint="eastAsia" w:eastAsia="仿宋_GB2312"/>
          <w:sz w:val="28"/>
          <w:szCs w:val="28"/>
          <w:lang w:val="en-US" w:eastAsia="zh-CN"/>
        </w:rPr>
        <w:t>7</w:t>
      </w:r>
    </w:p>
    <w:p w14:paraId="0B67B502">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四、财政拨款收入支出决算总表</w:t>
      </w:r>
      <w:r>
        <w:rPr>
          <w:rFonts w:eastAsia="仿宋_GB2312"/>
          <w:sz w:val="28"/>
          <w:szCs w:val="28"/>
        </w:rPr>
        <w:tab/>
      </w:r>
      <w:r>
        <w:rPr>
          <w:rFonts w:eastAsia="仿宋_GB2312"/>
          <w:sz w:val="28"/>
          <w:szCs w:val="28"/>
        </w:rPr>
        <w:t>1</w:t>
      </w:r>
      <w:r>
        <w:rPr>
          <w:rFonts w:hint="eastAsia" w:eastAsia="仿宋_GB2312"/>
          <w:sz w:val="28"/>
          <w:szCs w:val="28"/>
          <w:lang w:val="en-US" w:eastAsia="zh-CN"/>
        </w:rPr>
        <w:t>7</w:t>
      </w:r>
    </w:p>
    <w:p w14:paraId="245C17F2">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五、财政拨款支出决算明细表</w:t>
      </w:r>
      <w:r>
        <w:rPr>
          <w:rFonts w:eastAsia="仿宋_GB2312"/>
          <w:sz w:val="28"/>
          <w:szCs w:val="28"/>
        </w:rPr>
        <w:tab/>
      </w:r>
      <w:r>
        <w:rPr>
          <w:rFonts w:eastAsia="仿宋_GB2312"/>
          <w:sz w:val="28"/>
          <w:szCs w:val="28"/>
        </w:rPr>
        <w:t>1</w:t>
      </w:r>
      <w:r>
        <w:rPr>
          <w:rFonts w:hint="eastAsia" w:eastAsia="仿宋_GB2312"/>
          <w:sz w:val="28"/>
          <w:szCs w:val="28"/>
          <w:lang w:val="en-US" w:eastAsia="zh-CN"/>
        </w:rPr>
        <w:t>7</w:t>
      </w:r>
    </w:p>
    <w:p w14:paraId="35D23152">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六、一般公共预算财政拨款支出决算表</w:t>
      </w:r>
      <w:r>
        <w:rPr>
          <w:rFonts w:eastAsia="仿宋_GB2312"/>
          <w:sz w:val="28"/>
          <w:szCs w:val="28"/>
        </w:rPr>
        <w:tab/>
      </w:r>
      <w:r>
        <w:rPr>
          <w:rFonts w:eastAsia="仿宋_GB2312"/>
          <w:sz w:val="28"/>
          <w:szCs w:val="28"/>
        </w:rPr>
        <w:t>1</w:t>
      </w:r>
      <w:r>
        <w:rPr>
          <w:rFonts w:hint="eastAsia" w:eastAsia="仿宋_GB2312"/>
          <w:sz w:val="28"/>
          <w:szCs w:val="28"/>
          <w:lang w:val="en-US" w:eastAsia="zh-CN"/>
        </w:rPr>
        <w:t>7</w:t>
      </w:r>
    </w:p>
    <w:p w14:paraId="3ADF2542">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七、一般公共预算财政拨款支出决算明细表</w:t>
      </w:r>
      <w:r>
        <w:rPr>
          <w:rFonts w:eastAsia="仿宋_GB2312"/>
          <w:sz w:val="28"/>
          <w:szCs w:val="28"/>
        </w:rPr>
        <w:tab/>
      </w:r>
      <w:r>
        <w:rPr>
          <w:rFonts w:eastAsia="仿宋_GB2312"/>
          <w:sz w:val="28"/>
          <w:szCs w:val="28"/>
        </w:rPr>
        <w:t>1</w:t>
      </w:r>
      <w:r>
        <w:rPr>
          <w:rFonts w:hint="eastAsia" w:eastAsia="仿宋_GB2312"/>
          <w:sz w:val="28"/>
          <w:szCs w:val="28"/>
          <w:lang w:val="en-US" w:eastAsia="zh-CN"/>
        </w:rPr>
        <w:t>7</w:t>
      </w:r>
    </w:p>
    <w:p w14:paraId="3912452F">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八、一般公共预算财政拨款基本支出决算明细表</w:t>
      </w:r>
      <w:r>
        <w:rPr>
          <w:rFonts w:eastAsia="仿宋_GB2312"/>
          <w:sz w:val="28"/>
          <w:szCs w:val="28"/>
        </w:rPr>
        <w:tab/>
      </w:r>
      <w:r>
        <w:rPr>
          <w:rFonts w:eastAsia="仿宋_GB2312"/>
          <w:sz w:val="28"/>
          <w:szCs w:val="28"/>
        </w:rPr>
        <w:t>1</w:t>
      </w:r>
      <w:r>
        <w:rPr>
          <w:rFonts w:hint="eastAsia" w:eastAsia="仿宋_GB2312"/>
          <w:sz w:val="28"/>
          <w:szCs w:val="28"/>
          <w:lang w:val="en-US" w:eastAsia="zh-CN"/>
        </w:rPr>
        <w:t>7</w:t>
      </w:r>
    </w:p>
    <w:p w14:paraId="36844FA5">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九、一般公共预算财政拨款项目支出决算表</w:t>
      </w:r>
      <w:r>
        <w:rPr>
          <w:rFonts w:eastAsia="仿宋_GB2312"/>
          <w:sz w:val="28"/>
          <w:szCs w:val="28"/>
        </w:rPr>
        <w:tab/>
      </w:r>
      <w:r>
        <w:rPr>
          <w:rFonts w:eastAsia="仿宋_GB2312"/>
          <w:sz w:val="28"/>
          <w:szCs w:val="28"/>
        </w:rPr>
        <w:t>1</w:t>
      </w:r>
      <w:r>
        <w:rPr>
          <w:rFonts w:hint="eastAsia" w:eastAsia="仿宋_GB2312"/>
          <w:sz w:val="28"/>
          <w:szCs w:val="28"/>
          <w:lang w:val="en-US" w:eastAsia="zh-CN"/>
        </w:rPr>
        <w:t>7</w:t>
      </w:r>
    </w:p>
    <w:p w14:paraId="1B09B349">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十、政府性基金预算财政拨款收入支出决算表</w:t>
      </w:r>
      <w:r>
        <w:rPr>
          <w:rFonts w:eastAsia="仿宋_GB2312"/>
          <w:sz w:val="28"/>
          <w:szCs w:val="28"/>
        </w:rPr>
        <w:tab/>
      </w:r>
      <w:r>
        <w:rPr>
          <w:rFonts w:eastAsia="仿宋_GB2312"/>
          <w:sz w:val="28"/>
          <w:szCs w:val="28"/>
        </w:rPr>
        <w:t>1</w:t>
      </w:r>
      <w:r>
        <w:rPr>
          <w:rFonts w:hint="eastAsia" w:eastAsia="仿宋_GB2312"/>
          <w:sz w:val="28"/>
          <w:szCs w:val="28"/>
          <w:lang w:val="en-US" w:eastAsia="zh-CN"/>
        </w:rPr>
        <w:t>7</w:t>
      </w:r>
    </w:p>
    <w:p w14:paraId="48B21AF5">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十一、国有资本经营预算财政拨款收入支出决算表</w:t>
      </w:r>
      <w:r>
        <w:rPr>
          <w:rFonts w:eastAsia="仿宋_GB2312"/>
          <w:sz w:val="28"/>
          <w:szCs w:val="28"/>
        </w:rPr>
        <w:tab/>
      </w:r>
      <w:r>
        <w:rPr>
          <w:rFonts w:eastAsia="仿宋_GB2312"/>
          <w:sz w:val="28"/>
          <w:szCs w:val="28"/>
        </w:rPr>
        <w:t>1</w:t>
      </w:r>
      <w:r>
        <w:rPr>
          <w:rFonts w:hint="eastAsia" w:eastAsia="仿宋_GB2312"/>
          <w:sz w:val="28"/>
          <w:szCs w:val="28"/>
          <w:lang w:val="en-US" w:eastAsia="zh-CN"/>
        </w:rPr>
        <w:t>7</w:t>
      </w:r>
    </w:p>
    <w:p w14:paraId="36698A08">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十二、国有资本经营预算财政拨款支出决算表</w:t>
      </w:r>
      <w:r>
        <w:rPr>
          <w:rFonts w:eastAsia="仿宋_GB2312"/>
          <w:sz w:val="28"/>
          <w:szCs w:val="28"/>
        </w:rPr>
        <w:tab/>
      </w:r>
      <w:r>
        <w:rPr>
          <w:rFonts w:eastAsia="仿宋_GB2312"/>
          <w:sz w:val="28"/>
          <w:szCs w:val="28"/>
        </w:rPr>
        <w:t>1</w:t>
      </w:r>
      <w:r>
        <w:rPr>
          <w:rFonts w:hint="eastAsia" w:eastAsia="仿宋_GB2312"/>
          <w:sz w:val="28"/>
          <w:szCs w:val="28"/>
          <w:lang w:val="en-US" w:eastAsia="zh-CN"/>
        </w:rPr>
        <w:t>7</w:t>
      </w:r>
    </w:p>
    <w:p w14:paraId="014F9324">
      <w:pPr>
        <w:pStyle w:val="14"/>
        <w:adjustRightInd w:val="0"/>
        <w:snapToGrid w:val="0"/>
        <w:spacing w:line="560" w:lineRule="exact"/>
        <w:ind w:left="0" w:leftChars="0" w:firstLine="640" w:firstLineChars="200"/>
        <w:jc w:val="left"/>
        <w:rPr>
          <w:rFonts w:hint="eastAsia" w:eastAsia="仿宋_GB2312"/>
          <w:sz w:val="32"/>
          <w:szCs w:val="32"/>
          <w:lang w:val="en-US" w:eastAsia="zh-CN"/>
        </w:rPr>
      </w:pPr>
      <w:r>
        <w:rPr>
          <w:rFonts w:eastAsia="仿宋_GB2312"/>
          <w:sz w:val="32"/>
          <w:szCs w:val="32"/>
        </w:rPr>
        <w:t>十三、财政拨款“三公”经费支出决算表</w:t>
      </w:r>
      <w:r>
        <w:rPr>
          <w:rFonts w:eastAsia="仿宋_GB2312"/>
          <w:sz w:val="28"/>
          <w:szCs w:val="28"/>
        </w:rPr>
        <w:tab/>
      </w:r>
      <w:r>
        <w:rPr>
          <w:rFonts w:eastAsia="仿宋_GB2312"/>
          <w:sz w:val="28"/>
          <w:szCs w:val="28"/>
        </w:rPr>
        <w:t>1</w:t>
      </w:r>
      <w:r>
        <w:rPr>
          <w:rFonts w:hint="eastAsia" w:eastAsia="仿宋_GB2312"/>
          <w:sz w:val="28"/>
          <w:szCs w:val="28"/>
          <w:lang w:val="en-US" w:eastAsia="zh-CN"/>
        </w:rPr>
        <w:t>7</w:t>
      </w:r>
    </w:p>
    <w:p w14:paraId="0DF887BE">
      <w:pPr>
        <w:pStyle w:val="2"/>
        <w:jc w:val="both"/>
        <w:rPr>
          <w:rFonts w:eastAsia="方正小标宋简体"/>
          <w:b w:val="0"/>
        </w:rPr>
        <w:sectPr>
          <w:footerReference r:id="rId8" w:type="first"/>
          <w:footerReference r:id="rId7" w:type="default"/>
          <w:pgSz w:w="11906" w:h="16838"/>
          <w:pgMar w:top="1440" w:right="1800" w:bottom="1440" w:left="1800" w:header="851" w:footer="992" w:gutter="0"/>
          <w:pgNumType w:fmt="numberInDash" w:start="1"/>
          <w:cols w:space="425" w:num="1"/>
          <w:docGrid w:type="lines" w:linePitch="312" w:charSpace="0"/>
        </w:sectPr>
      </w:pPr>
      <w:bookmarkStart w:id="6" w:name="_Toc15396599"/>
      <w:bookmarkStart w:id="7" w:name="_Toc15377196"/>
    </w:p>
    <w:p w14:paraId="6F6042B0">
      <w:pPr>
        <w:pStyle w:val="2"/>
        <w:pageBreakBefore w:val="0"/>
        <w:kinsoku/>
        <w:wordWrap/>
        <w:overflowPunct/>
        <w:topLinePunct w:val="0"/>
        <w:bidi w:val="0"/>
        <w:spacing w:line="600" w:lineRule="exact"/>
        <w:jc w:val="center"/>
        <w:textAlignment w:val="auto"/>
        <w:rPr>
          <w:rFonts w:eastAsia="黑体"/>
          <w:sz w:val="32"/>
          <w:szCs w:val="32"/>
        </w:rPr>
      </w:pPr>
      <w:r>
        <w:rPr>
          <w:rFonts w:eastAsia="方正小标宋简体"/>
          <w:b w:val="0"/>
        </w:rPr>
        <w:t xml:space="preserve">第一部分  </w:t>
      </w:r>
      <w:r>
        <w:rPr>
          <w:rStyle w:val="28"/>
          <w:rFonts w:eastAsia="方正小标宋简体"/>
          <w:b w:val="0"/>
          <w:bCs w:val="0"/>
        </w:rPr>
        <w:t>单位概况</w:t>
      </w:r>
      <w:bookmarkEnd w:id="6"/>
      <w:bookmarkEnd w:id="7"/>
    </w:p>
    <w:p w14:paraId="6ADC4DA2">
      <w:pPr>
        <w:pStyle w:val="3"/>
        <w:pageBreakBefore w:val="0"/>
        <w:numPr>
          <w:ilvl w:val="0"/>
          <w:numId w:val="1"/>
        </w:numPr>
        <w:kinsoku/>
        <w:wordWrap/>
        <w:overflowPunct/>
        <w:topLinePunct w:val="0"/>
        <w:bidi w:val="0"/>
        <w:spacing w:line="600" w:lineRule="exact"/>
        <w:ind w:firstLine="640" w:firstLineChars="200"/>
        <w:textAlignment w:val="auto"/>
        <w:rPr>
          <w:rFonts w:eastAsia="仿宋_GB2312"/>
          <w:sz w:val="32"/>
          <w:szCs w:val="32"/>
        </w:rPr>
      </w:pPr>
      <w:r>
        <w:rPr>
          <w:rFonts w:ascii="Times New Roman" w:hAnsi="Times New Roman" w:eastAsia="黑体" w:cs="Times New Roman"/>
          <w:b w:val="0"/>
        </w:rPr>
        <w:t>单位职责</w:t>
      </w:r>
    </w:p>
    <w:p w14:paraId="2613761E">
      <w:pPr>
        <w:pStyle w:val="3"/>
        <w:pageBreakBefore w:val="0"/>
        <w:numPr>
          <w:ilvl w:val="0"/>
          <w:numId w:val="0"/>
        </w:numPr>
        <w:kinsoku/>
        <w:wordWrap/>
        <w:overflowPunct/>
        <w:topLinePunct w:val="0"/>
        <w:bidi w:val="0"/>
        <w:spacing w:line="600" w:lineRule="exact"/>
        <w:ind w:firstLine="640" w:firstLineChars="200"/>
        <w:textAlignment w:val="auto"/>
        <w:rPr>
          <w:rFonts w:eastAsia="仿宋_GB2312"/>
          <w:b w:val="0"/>
          <w:bCs w:val="0"/>
          <w:sz w:val="32"/>
          <w:szCs w:val="32"/>
        </w:rPr>
      </w:pPr>
      <w:r>
        <w:rPr>
          <w:rFonts w:eastAsia="仿宋_GB2312"/>
          <w:b w:val="0"/>
          <w:bCs w:val="0"/>
          <w:sz w:val="32"/>
          <w:szCs w:val="32"/>
        </w:rPr>
        <w:t>（一）负责建立健全并执行各项生态环境基本制度。贯彻执行国家、省、市有关法律、法规、规章和政策，会同有关单位拟订并组织实施区域内生态环境政策、规划。参与编制环境功能区划，参与制定与区域内生态环境相关的经济、技术、资源配置和产业政策。参与拟订并贯彻执行区域内主体功能区划。</w:t>
      </w:r>
    </w:p>
    <w:p w14:paraId="01931CF4">
      <w:pPr>
        <w:pageBreakBefore w:val="0"/>
        <w:kinsoku/>
        <w:wordWrap/>
        <w:overflowPunct/>
        <w:topLinePunct w:val="0"/>
        <w:bidi w:val="0"/>
        <w:spacing w:line="600" w:lineRule="exact"/>
        <w:ind w:firstLine="640" w:firstLineChars="200"/>
        <w:textAlignment w:val="auto"/>
        <w:rPr>
          <w:rFonts w:eastAsia="仿宋_GB2312"/>
          <w:sz w:val="32"/>
          <w:szCs w:val="32"/>
        </w:rPr>
      </w:pPr>
      <w:r>
        <w:rPr>
          <w:rFonts w:eastAsia="仿宋_GB2312"/>
          <w:sz w:val="32"/>
          <w:szCs w:val="32"/>
        </w:rPr>
        <w:t>（二）负责区域内生态环境污染防治的监督管理。组织制定并监督实施区域内大气、水、土壤、噪声、光、恶臭、固体废物、化学品、机动车等的污染防治管理制度。参与排污口设置管理工作，负责流域水环境保护工作。监督指导区域大气环境保护工作，牵头建立区域大气污染联防联控协作机制并监督实施。</w:t>
      </w:r>
    </w:p>
    <w:p w14:paraId="1C201D44">
      <w:pPr>
        <w:pageBreakBefore w:val="0"/>
        <w:kinsoku/>
        <w:wordWrap/>
        <w:overflowPunct/>
        <w:topLinePunct w:val="0"/>
        <w:bidi w:val="0"/>
        <w:spacing w:line="600" w:lineRule="exact"/>
        <w:ind w:firstLine="640" w:firstLineChars="200"/>
        <w:textAlignment w:val="auto"/>
        <w:rPr>
          <w:rFonts w:eastAsia="仿宋_GB2312"/>
          <w:sz w:val="32"/>
          <w:szCs w:val="32"/>
        </w:rPr>
      </w:pPr>
      <w:r>
        <w:rPr>
          <w:rFonts w:eastAsia="仿宋_GB2312"/>
          <w:sz w:val="32"/>
          <w:szCs w:val="32"/>
        </w:rPr>
        <w:t>（三）指导协调和监督区域内生态保护修复工作。监督实施区域内生态保护规划，监督对生态环境有影响的自然资源开发利用活动、重要生态环境建设和生态破坏恢复工作。组织、指导绿色生态示范创建工作。监督实施区域内各类自然保护地生态环境监督制度，承担自然保护地、生态保护红线相关监管工作。监督野生动植物保护、湿地生态环境保护、荒漠化防治等工作。指导协调和监督农村生态环境保护，监督生物技术环境安全，组织协调生物多样性保护工作，参与生态保护补偿工作。</w:t>
      </w:r>
    </w:p>
    <w:p w14:paraId="42D2EB59">
      <w:pPr>
        <w:pageBreakBefore w:val="0"/>
        <w:kinsoku/>
        <w:wordWrap/>
        <w:overflowPunct/>
        <w:topLinePunct w:val="0"/>
        <w:bidi w:val="0"/>
        <w:spacing w:line="600" w:lineRule="exact"/>
        <w:ind w:firstLine="640" w:firstLineChars="200"/>
        <w:textAlignment w:val="auto"/>
        <w:rPr>
          <w:rFonts w:eastAsia="仿宋_GB2312"/>
          <w:sz w:val="32"/>
          <w:szCs w:val="32"/>
        </w:rPr>
      </w:pPr>
      <w:r>
        <w:rPr>
          <w:rFonts w:eastAsia="仿宋_GB2312"/>
          <w:sz w:val="32"/>
          <w:szCs w:val="32"/>
        </w:rPr>
        <w:t>（四）负责区域内生态环境监测、统计和信息发布工作。监督执行国家、省颁布的各类环境标准，组织实施环境监测制度和规范相关工作。会同有关单位统一规划区域内生态环境质量监测站点设置，组织实施污染源监督性监测、执法监测、温室气体减排监测和应急监测，按要求做好生态环境质量监测相关工作。对区域生态环境质量状况进行调查评价、预警预测，参与建设和管理生态环境监测网和生态环境信息网。负责区域内生态环境质量考核和生态环境统计工作。实行生态环境质量公告制度，统一发布区域内生态环境综合性报告和重大环境信息。</w:t>
      </w:r>
    </w:p>
    <w:p w14:paraId="0358F479">
      <w:pPr>
        <w:pageBreakBefore w:val="0"/>
        <w:kinsoku/>
        <w:wordWrap/>
        <w:overflowPunct/>
        <w:topLinePunct w:val="0"/>
        <w:bidi w:val="0"/>
        <w:spacing w:line="600" w:lineRule="exact"/>
        <w:ind w:firstLine="640" w:firstLineChars="200"/>
        <w:textAlignment w:val="auto"/>
        <w:rPr>
          <w:rFonts w:eastAsia="仿宋_GB2312"/>
          <w:sz w:val="32"/>
          <w:szCs w:val="32"/>
        </w:rPr>
      </w:pPr>
      <w:r>
        <w:rPr>
          <w:rFonts w:eastAsia="仿宋_GB2312"/>
          <w:sz w:val="32"/>
          <w:szCs w:val="32"/>
        </w:rPr>
        <w:t>（五）负责应对气候变化工作。组织实施国家、省应对气候变化及温室气体减排重大战略、规划和政策，组织实施区域内应对气候变化的规划和政策措施。</w:t>
      </w:r>
    </w:p>
    <w:p w14:paraId="2BAA33C6">
      <w:pPr>
        <w:pageBreakBefore w:val="0"/>
        <w:kinsoku/>
        <w:wordWrap/>
        <w:overflowPunct/>
        <w:topLinePunct w:val="0"/>
        <w:bidi w:val="0"/>
        <w:spacing w:line="600" w:lineRule="exact"/>
        <w:ind w:firstLine="640" w:firstLineChars="200"/>
        <w:textAlignment w:val="auto"/>
        <w:rPr>
          <w:rFonts w:eastAsia="仿宋_GB2312"/>
          <w:sz w:val="32"/>
          <w:szCs w:val="32"/>
        </w:rPr>
      </w:pPr>
      <w:r>
        <w:rPr>
          <w:rFonts w:eastAsia="仿宋_GB2312"/>
          <w:sz w:val="32"/>
          <w:szCs w:val="32"/>
        </w:rPr>
        <w:t>（六）开展生态环境科技工作。管理区域内生态环境保护科技成果并推广应用。组织开展生态环境重大科学研究和技术工程示范，推动生态环境技术管理体系建设。</w:t>
      </w:r>
    </w:p>
    <w:p w14:paraId="296AFBC0">
      <w:pPr>
        <w:pageBreakBefore w:val="0"/>
        <w:kinsoku/>
        <w:wordWrap/>
        <w:overflowPunct/>
        <w:topLinePunct w:val="0"/>
        <w:bidi w:val="0"/>
        <w:spacing w:line="600" w:lineRule="exact"/>
        <w:ind w:firstLine="640" w:firstLineChars="200"/>
        <w:textAlignment w:val="auto"/>
      </w:pPr>
      <w:r>
        <w:rPr>
          <w:rFonts w:eastAsia="仿宋_GB2312"/>
          <w:sz w:val="32"/>
          <w:szCs w:val="32"/>
        </w:rPr>
        <w:t>（七）职能转变。统一行使区域内生态和城乡各类污染排放监管职责，按照国家、省确定的综合行政执法改革要求承担与此对应的行政执法职责，负责区域内生态环境质量监测、调查评价和考核，切实履行监管责任，加强事中事后监管，全面落实大气、水、土壤污染防治行动计划，强化固体废物、化学品、重金属污染防治监督管理。构建政府为主导、企业为主体、社会组织和公众共同参与的生态环境治理体系，实施最严格的生态环境保护制度，严守生态保护红线和环境质量底线，坚决打好污染防治攻坚战，筑牢长江上游生态屏障，保障生态安全。</w:t>
      </w:r>
    </w:p>
    <w:p w14:paraId="2FD26A14">
      <w:pPr>
        <w:pStyle w:val="3"/>
        <w:pageBreakBefore w:val="0"/>
        <w:kinsoku/>
        <w:wordWrap/>
        <w:overflowPunct/>
        <w:topLinePunct w:val="0"/>
        <w:bidi w:val="0"/>
        <w:spacing w:line="600" w:lineRule="exact"/>
        <w:ind w:firstLine="640" w:firstLineChars="200"/>
        <w:textAlignment w:val="auto"/>
        <w:rPr>
          <w:rStyle w:val="29"/>
          <w:rFonts w:ascii="Times New Roman" w:hAnsi="Times New Roman" w:cs="Times New Roman"/>
          <w:b w:val="0"/>
          <w:bCs w:val="0"/>
        </w:rPr>
      </w:pPr>
      <w:bookmarkStart w:id="8" w:name="_Toc15377200"/>
      <w:bookmarkStart w:id="9" w:name="_Toc15396601"/>
      <w:r>
        <w:rPr>
          <w:rFonts w:ascii="Times New Roman" w:hAnsi="Times New Roman" w:eastAsia="黑体" w:cs="Times New Roman"/>
          <w:b w:val="0"/>
        </w:rPr>
        <w:t>二、机</w:t>
      </w:r>
      <w:r>
        <w:rPr>
          <w:rStyle w:val="29"/>
          <w:rFonts w:ascii="Times New Roman" w:hAnsi="Times New Roman" w:eastAsia="黑体" w:cs="Times New Roman"/>
          <w:b w:val="0"/>
          <w:bCs w:val="0"/>
        </w:rPr>
        <w:t>构设置</w:t>
      </w:r>
      <w:bookmarkEnd w:id="8"/>
      <w:bookmarkEnd w:id="9"/>
    </w:p>
    <w:p w14:paraId="005BD77F">
      <w:pPr>
        <w:pageBreakBefore w:val="0"/>
        <w:kinsoku/>
        <w:wordWrap/>
        <w:overflowPunct/>
        <w:topLinePunct w:val="0"/>
        <w:bidi w:val="0"/>
        <w:spacing w:line="600" w:lineRule="exact"/>
        <w:ind w:firstLine="640" w:firstLineChars="200"/>
        <w:jc w:val="left"/>
        <w:textAlignment w:val="auto"/>
        <w:rPr>
          <w:rFonts w:eastAsia="仿宋_GB2312"/>
          <w:sz w:val="32"/>
          <w:szCs w:val="32"/>
        </w:rPr>
      </w:pPr>
      <w:r>
        <w:rPr>
          <w:rFonts w:eastAsia="仿宋_GB2312"/>
          <w:sz w:val="32"/>
          <w:szCs w:val="32"/>
        </w:rPr>
        <w:t>攀枝花市盐边生态环境监测站属二级预算单位，监测站内设机构为办公室、现场监测室、中心分析室、质量技术室。</w:t>
      </w:r>
    </w:p>
    <w:p w14:paraId="3A394B20">
      <w:pPr>
        <w:pageBreakBefore w:val="0"/>
        <w:kinsoku/>
        <w:wordWrap/>
        <w:overflowPunct/>
        <w:topLinePunct w:val="0"/>
        <w:bidi w:val="0"/>
        <w:spacing w:line="600" w:lineRule="exact"/>
        <w:ind w:firstLine="640" w:firstLineChars="200"/>
        <w:textAlignment w:val="auto"/>
        <w:rPr>
          <w:rFonts w:eastAsia="仿宋_GB2312"/>
          <w:sz w:val="32"/>
          <w:szCs w:val="32"/>
        </w:rPr>
      </w:pPr>
      <w:r>
        <w:rPr>
          <w:rFonts w:eastAsia="仿宋_GB2312"/>
          <w:sz w:val="32"/>
          <w:szCs w:val="32"/>
        </w:rPr>
        <w:t>办公室：负责财务行政后勤管理，业务接洽和下达，文书报告收发及档案管理，组织技术业务交流学习，固定资产管理和仪器设备、试剂药品、办公用品采购事宜，政务协调和服务以及领导交予的其他任务。</w:t>
      </w:r>
    </w:p>
    <w:p w14:paraId="66A888EC">
      <w:pPr>
        <w:pStyle w:val="5"/>
        <w:pageBreakBefore w:val="0"/>
        <w:kinsoku/>
        <w:wordWrap/>
        <w:overflowPunct/>
        <w:topLinePunct w:val="0"/>
        <w:bidi w:val="0"/>
        <w:spacing w:beforeLines="0" w:line="600" w:lineRule="exact"/>
        <w:ind w:firstLine="640" w:firstLineChars="200"/>
        <w:textAlignment w:val="auto"/>
        <w:rPr>
          <w:rFonts w:ascii="Times New Roman"/>
          <w:kern w:val="2"/>
          <w:sz w:val="32"/>
          <w:szCs w:val="32"/>
        </w:rPr>
      </w:pPr>
      <w:r>
        <w:rPr>
          <w:rFonts w:ascii="Times New Roman"/>
          <w:kern w:val="2"/>
          <w:sz w:val="32"/>
          <w:szCs w:val="32"/>
        </w:rPr>
        <w:t>现场监测室：合理分配监测工作任务，按照规范程序开展现场监测及采样，对现场监测仪器设备进行日常维护，做好原始记录，制订监测工作所需物品名称和数量，编写相应作业指导书和监测报告。</w:t>
      </w:r>
    </w:p>
    <w:p w14:paraId="4531CA52">
      <w:pPr>
        <w:pStyle w:val="5"/>
        <w:pageBreakBefore w:val="0"/>
        <w:kinsoku/>
        <w:wordWrap/>
        <w:overflowPunct/>
        <w:topLinePunct w:val="0"/>
        <w:bidi w:val="0"/>
        <w:spacing w:beforeLines="0" w:line="600" w:lineRule="exact"/>
        <w:ind w:firstLine="640" w:firstLineChars="200"/>
        <w:textAlignment w:val="auto"/>
        <w:rPr>
          <w:rFonts w:ascii="Times New Roman"/>
          <w:kern w:val="2"/>
          <w:sz w:val="32"/>
          <w:szCs w:val="32"/>
        </w:rPr>
      </w:pPr>
      <w:r>
        <w:rPr>
          <w:rFonts w:ascii="Times New Roman"/>
          <w:kern w:val="2"/>
          <w:sz w:val="32"/>
          <w:szCs w:val="32"/>
        </w:rPr>
        <w:t>中心分析室：合理分配监测分析任务，按照规范程序开展实验室监测分析，对实验室仪器设备进行日常维护，做好原始记录，制订分析工作所需物品名称和数量，编写相应作业指导书和监测报告。</w:t>
      </w:r>
    </w:p>
    <w:p w14:paraId="16458CBB">
      <w:pPr>
        <w:pageBreakBefore w:val="0"/>
        <w:kinsoku/>
        <w:wordWrap/>
        <w:overflowPunct/>
        <w:topLinePunct w:val="0"/>
        <w:bidi w:val="0"/>
        <w:spacing w:line="600" w:lineRule="exact"/>
        <w:ind w:firstLine="640" w:firstLineChars="200"/>
        <w:textAlignment w:val="auto"/>
        <w:rPr>
          <w:rFonts w:eastAsia="仿宋_GB2312"/>
          <w:sz w:val="32"/>
          <w:szCs w:val="32"/>
        </w:rPr>
      </w:pPr>
      <w:r>
        <w:rPr>
          <w:rFonts w:eastAsia="仿宋_GB2312"/>
          <w:sz w:val="32"/>
          <w:szCs w:val="32"/>
        </w:rPr>
        <w:t>质量技术室：全面负责监测工作质量管理，组织策划内部审核、管理评审、和质量控制活动，及时更新及替换监测标准和方法，收集、处理、反馈客户抱怨，对不符合工作进行控制，跟踪验证纠正、预防、改进措施，确保本站管理体系的建立、有效运行和持续改进。</w:t>
      </w:r>
    </w:p>
    <w:p w14:paraId="0EB1BF23">
      <w:pPr>
        <w:pageBreakBefore w:val="0"/>
        <w:widowControl/>
        <w:kinsoku/>
        <w:wordWrap/>
        <w:overflowPunct/>
        <w:topLinePunct w:val="0"/>
        <w:bidi w:val="0"/>
        <w:spacing w:line="600" w:lineRule="exact"/>
        <w:jc w:val="left"/>
        <w:textAlignment w:val="auto"/>
        <w:rPr>
          <w:rFonts w:eastAsia="仿宋"/>
          <w:kern w:val="0"/>
          <w:sz w:val="32"/>
          <w:szCs w:val="32"/>
        </w:rPr>
      </w:pPr>
      <w:r>
        <w:rPr>
          <w:rFonts w:eastAsia="仿宋"/>
          <w:sz w:val="32"/>
          <w:szCs w:val="32"/>
        </w:rPr>
        <w:br w:type="page"/>
      </w:r>
    </w:p>
    <w:p w14:paraId="06203829">
      <w:pPr>
        <w:pStyle w:val="2"/>
        <w:pageBreakBefore w:val="0"/>
        <w:kinsoku/>
        <w:wordWrap/>
        <w:overflowPunct/>
        <w:topLinePunct w:val="0"/>
        <w:bidi w:val="0"/>
        <w:spacing w:line="600" w:lineRule="exact"/>
        <w:jc w:val="center"/>
        <w:textAlignment w:val="auto"/>
        <w:rPr>
          <w:rFonts w:eastAsia="方正小标宋简体"/>
          <w:b w:val="0"/>
        </w:rPr>
      </w:pPr>
      <w:bookmarkStart w:id="10" w:name="_Toc15377204"/>
      <w:bookmarkStart w:id="11" w:name="_Toc15396602"/>
      <w:r>
        <w:rPr>
          <w:rFonts w:eastAsia="方正小标宋简体"/>
          <w:b w:val="0"/>
        </w:rPr>
        <w:t>第二部分  202</w:t>
      </w:r>
      <w:r>
        <w:rPr>
          <w:rFonts w:hint="eastAsia" w:eastAsia="方正小标宋简体"/>
          <w:b w:val="0"/>
        </w:rPr>
        <w:t>5</w:t>
      </w:r>
      <w:r>
        <w:rPr>
          <w:rFonts w:eastAsia="方正小标宋简体"/>
          <w:b w:val="0"/>
        </w:rPr>
        <w:t>年度单位决算情况说明</w:t>
      </w:r>
      <w:bookmarkEnd w:id="10"/>
      <w:bookmarkEnd w:id="11"/>
    </w:p>
    <w:p w14:paraId="38E3205B">
      <w:pPr>
        <w:pageBreakBefore w:val="0"/>
        <w:kinsoku/>
        <w:wordWrap/>
        <w:overflowPunct/>
        <w:topLinePunct w:val="0"/>
        <w:bidi w:val="0"/>
        <w:spacing w:line="600" w:lineRule="exact"/>
        <w:textAlignment w:val="auto"/>
      </w:pPr>
    </w:p>
    <w:p w14:paraId="683C3D3F">
      <w:pPr>
        <w:pStyle w:val="27"/>
        <w:pageBreakBefore w:val="0"/>
        <w:kinsoku/>
        <w:wordWrap/>
        <w:overflowPunct/>
        <w:topLinePunct w:val="0"/>
        <w:bidi w:val="0"/>
        <w:spacing w:line="600" w:lineRule="exact"/>
        <w:ind w:firstLine="640"/>
        <w:textAlignment w:val="auto"/>
        <w:outlineLvl w:val="1"/>
        <w:rPr>
          <w:rStyle w:val="29"/>
          <w:rFonts w:ascii="Times New Roman" w:hAnsi="Times New Roman" w:eastAsia="黑体" w:cs="Times New Roman"/>
          <w:b w:val="0"/>
        </w:rPr>
      </w:pPr>
      <w:bookmarkStart w:id="12" w:name="_Toc15377205"/>
      <w:bookmarkStart w:id="13" w:name="_Toc15396603"/>
      <w:r>
        <w:rPr>
          <w:rFonts w:eastAsia="黑体"/>
          <w:sz w:val="32"/>
          <w:szCs w:val="32"/>
        </w:rPr>
        <w:t>一、收</w:t>
      </w:r>
      <w:r>
        <w:rPr>
          <w:rStyle w:val="29"/>
          <w:rFonts w:ascii="Times New Roman" w:hAnsi="Times New Roman" w:eastAsia="黑体" w:cs="Times New Roman"/>
          <w:b w:val="0"/>
        </w:rPr>
        <w:t>入支出决算总体情况说明</w:t>
      </w:r>
      <w:bookmarkEnd w:id="12"/>
      <w:bookmarkEnd w:id="13"/>
    </w:p>
    <w:p w14:paraId="783F5C3A">
      <w:pPr>
        <w:pStyle w:val="27"/>
        <w:pageBreakBefore w:val="0"/>
        <w:kinsoku/>
        <w:wordWrap/>
        <w:overflowPunct/>
        <w:topLinePunct w:val="0"/>
        <w:bidi w:val="0"/>
        <w:spacing w:line="600" w:lineRule="exact"/>
        <w:ind w:firstLine="640"/>
        <w:textAlignment w:val="auto"/>
        <w:outlineLvl w:val="1"/>
        <w:rPr>
          <w:rFonts w:eastAsia="仿宋_GB2312"/>
          <w:sz w:val="32"/>
          <w:szCs w:val="32"/>
        </w:rPr>
      </w:pPr>
      <w:r>
        <w:rPr>
          <w:rFonts w:hint="eastAsia" w:ascii="仿宋_GB2312" w:hAnsi="仿宋_GB2312" w:eastAsia="仿宋_GB2312" w:cs="仿宋_GB2312"/>
          <w:sz w:val="32"/>
          <w:szCs w:val="32"/>
        </w:rPr>
        <w:t>2025年度收入、支出总计均为273.83万元。与2024年度相比，收入、支出总计各减少124.85万元，降低31.3%。主要变动原因是2025年实施项目较2024年减少。</w:t>
      </w:r>
      <w:r>
        <w:rPr>
          <w:rFonts w:hint="eastAsia" w:ascii="仿宋_GB2312" w:hAnsi="仿宋_GB2312" w:eastAsia="仿宋_GB2312" w:cs="仿宋_GB2312"/>
          <w:sz w:val="32"/>
          <w:szCs w:val="32"/>
        </w:rPr>
        <w:br w:type="textWrapping"/>
      </w:r>
    </w:p>
    <w:p w14:paraId="32E54A85">
      <w:pPr>
        <w:pageBreakBefore w:val="0"/>
        <w:kinsoku/>
        <w:wordWrap/>
        <w:overflowPunct/>
        <w:topLinePunct w:val="0"/>
        <w:bidi w:val="0"/>
        <w:spacing w:line="600" w:lineRule="exact"/>
        <w:ind w:firstLine="640" w:firstLineChars="200"/>
        <w:textAlignment w:val="auto"/>
        <w:rPr>
          <w:rFonts w:eastAsia="仿宋_GB2312"/>
          <w:sz w:val="32"/>
          <w:szCs w:val="32"/>
        </w:rPr>
      </w:pPr>
    </w:p>
    <w:p w14:paraId="2F1654B8">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26F254D0">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3FB15CDB">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353B43F2">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614F4336">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51C2F3AE">
      <w:pPr>
        <w:pageBreakBefore w:val="0"/>
        <w:kinsoku/>
        <w:wordWrap/>
        <w:overflowPunct/>
        <w:topLinePunct w:val="0"/>
        <w:bidi w:val="0"/>
        <w:spacing w:line="600" w:lineRule="exact"/>
        <w:ind w:firstLine="640" w:firstLineChars="200"/>
        <w:jc w:val="center"/>
        <w:textAlignment w:val="auto"/>
        <w:rPr>
          <w:rFonts w:eastAsia="仿宋_GB2312"/>
          <w:sz w:val="32"/>
          <w:szCs w:val="32"/>
        </w:rPr>
      </w:pPr>
    </w:p>
    <w:p w14:paraId="34928943">
      <w:pPr>
        <w:pageBreakBefore w:val="0"/>
        <w:kinsoku/>
        <w:wordWrap/>
        <w:overflowPunct/>
        <w:topLinePunct w:val="0"/>
        <w:bidi w:val="0"/>
        <w:spacing w:line="600" w:lineRule="exact"/>
        <w:ind w:firstLine="640" w:firstLineChars="200"/>
        <w:jc w:val="center"/>
        <w:textAlignment w:val="auto"/>
        <w:rPr>
          <w:rFonts w:eastAsia="仿宋_GB2312"/>
          <w:sz w:val="32"/>
          <w:szCs w:val="32"/>
        </w:rPr>
      </w:pPr>
      <w:r>
        <w:rPr>
          <w:rFonts w:eastAsia="仿宋_GB2312"/>
          <w:sz w:val="32"/>
          <w:szCs w:val="32"/>
        </w:rPr>
        <w:drawing>
          <wp:anchor distT="0" distB="0" distL="114300" distR="114300" simplePos="0" relativeHeight="251660288" behindDoc="0" locked="0" layoutInCell="1" allowOverlap="1">
            <wp:simplePos x="0" y="0"/>
            <wp:positionH relativeFrom="column">
              <wp:posOffset>596900</wp:posOffset>
            </wp:positionH>
            <wp:positionV relativeFrom="paragraph">
              <wp:posOffset>-2795905</wp:posOffset>
            </wp:positionV>
            <wp:extent cx="4479290" cy="3078480"/>
            <wp:effectExtent l="4445" t="4445" r="12065" b="2222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15132B67">
      <w:pPr>
        <w:pageBreakBefore w:val="0"/>
        <w:kinsoku/>
        <w:wordWrap/>
        <w:overflowPunct/>
        <w:topLinePunct w:val="0"/>
        <w:bidi w:val="0"/>
        <w:spacing w:line="60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图1：收入、支出决算总计变动情况图</w:t>
      </w:r>
      <w:bookmarkStart w:id="14" w:name="_Toc15377206"/>
      <w:bookmarkStart w:id="15" w:name="_Toc15396604"/>
    </w:p>
    <w:p w14:paraId="363B0111">
      <w:pPr>
        <w:pStyle w:val="13"/>
      </w:pPr>
    </w:p>
    <w:p w14:paraId="67F6DEC3">
      <w:pPr>
        <w:pStyle w:val="27"/>
        <w:pageBreakBefore w:val="0"/>
        <w:kinsoku/>
        <w:wordWrap/>
        <w:overflowPunct/>
        <w:topLinePunct w:val="0"/>
        <w:bidi w:val="0"/>
        <w:spacing w:line="600" w:lineRule="exact"/>
        <w:ind w:firstLine="640"/>
        <w:textAlignment w:val="auto"/>
        <w:outlineLvl w:val="1"/>
        <w:rPr>
          <w:rFonts w:eastAsia="黑体"/>
          <w:sz w:val="32"/>
          <w:szCs w:val="32"/>
        </w:rPr>
      </w:pPr>
      <w:r>
        <w:rPr>
          <w:rFonts w:eastAsia="黑体"/>
          <w:sz w:val="32"/>
          <w:szCs w:val="32"/>
        </w:rPr>
        <w:t>二、收入决算情况说明</w:t>
      </w:r>
      <w:bookmarkEnd w:id="14"/>
      <w:bookmarkEnd w:id="15"/>
    </w:p>
    <w:p w14:paraId="0A9E32D6">
      <w:pPr>
        <w:pStyle w:val="27"/>
        <w:pageBreakBefore w:val="0"/>
        <w:kinsoku/>
        <w:wordWrap/>
        <w:overflowPunct/>
        <w:topLinePunct w:val="0"/>
        <w:bidi w:val="0"/>
        <w:spacing w:line="600" w:lineRule="exact"/>
        <w:ind w:firstLine="640"/>
        <w:jc w:val="left"/>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2025年度本年收入合计273.83万元，其中：一般公共预算财政拨款收入273.83万元，占100%。</w:t>
      </w:r>
      <w:bookmarkStart w:id="16" w:name="_Toc15396605"/>
      <w:bookmarkStart w:id="17" w:name="_Toc15377207"/>
    </w:p>
    <w:p w14:paraId="6D8C1C13">
      <w:pPr>
        <w:pageBreakBefore w:val="0"/>
        <w:kinsoku/>
        <w:wordWrap/>
        <w:overflowPunct/>
        <w:topLinePunct w:val="0"/>
        <w:bidi w:val="0"/>
        <w:spacing w:line="600" w:lineRule="exact"/>
        <w:ind w:firstLine="800" w:firstLineChars="25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anchor distT="0" distB="0" distL="114300" distR="114300" simplePos="0" relativeHeight="251659264" behindDoc="1" locked="0" layoutInCell="1" allowOverlap="1">
            <wp:simplePos x="0" y="0"/>
            <wp:positionH relativeFrom="column">
              <wp:posOffset>99060</wp:posOffset>
            </wp:positionH>
            <wp:positionV relativeFrom="paragraph">
              <wp:posOffset>53340</wp:posOffset>
            </wp:positionV>
            <wp:extent cx="4798060" cy="3056255"/>
            <wp:effectExtent l="0" t="0" r="21590" b="1079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_GB2312" w:hAnsi="仿宋_GB2312" w:eastAsia="仿宋_GB2312" w:cs="仿宋_GB2312"/>
          <w:sz w:val="32"/>
          <w:szCs w:val="32"/>
        </w:rPr>
        <w:t>图2：收入决算结构图</w:t>
      </w:r>
    </w:p>
    <w:p w14:paraId="2C582A0D">
      <w:pPr>
        <w:pageBreakBefore w:val="0"/>
        <w:kinsoku/>
        <w:wordWrap/>
        <w:overflowPunct/>
        <w:topLinePunct w:val="0"/>
        <w:bidi w:val="0"/>
        <w:spacing w:line="600" w:lineRule="exact"/>
        <w:ind w:firstLine="419" w:firstLineChars="131"/>
        <w:textAlignment w:val="auto"/>
        <w:outlineLvl w:val="1"/>
        <w:rPr>
          <w:rFonts w:eastAsia="黑体"/>
          <w:sz w:val="32"/>
          <w:szCs w:val="32"/>
        </w:rPr>
      </w:pPr>
    </w:p>
    <w:p w14:paraId="3F845D12">
      <w:pPr>
        <w:pStyle w:val="27"/>
        <w:pageBreakBefore w:val="0"/>
        <w:kinsoku/>
        <w:wordWrap/>
        <w:overflowPunct/>
        <w:topLinePunct w:val="0"/>
        <w:bidi w:val="0"/>
        <w:spacing w:line="600" w:lineRule="exact"/>
        <w:ind w:firstLine="640"/>
        <w:textAlignment w:val="auto"/>
        <w:outlineLvl w:val="1"/>
        <w:rPr>
          <w:rStyle w:val="29"/>
          <w:rFonts w:ascii="Times New Roman" w:hAnsi="Times New Roman" w:eastAsia="黑体" w:cs="Times New Roman"/>
          <w:b w:val="0"/>
        </w:rPr>
      </w:pPr>
      <w:r>
        <w:rPr>
          <w:rFonts w:eastAsia="黑体"/>
          <w:sz w:val="32"/>
          <w:szCs w:val="32"/>
        </w:rPr>
        <w:t>三、支</w:t>
      </w:r>
      <w:r>
        <w:rPr>
          <w:rStyle w:val="29"/>
          <w:rFonts w:ascii="Times New Roman" w:hAnsi="Times New Roman" w:eastAsia="黑体" w:cs="Times New Roman"/>
          <w:b w:val="0"/>
        </w:rPr>
        <w:t>出决算情况说明</w:t>
      </w:r>
      <w:bookmarkEnd w:id="16"/>
      <w:bookmarkEnd w:id="17"/>
    </w:p>
    <w:p w14:paraId="054DB82C">
      <w:pPr>
        <w:pStyle w:val="27"/>
        <w:pageBreakBefore w:val="0"/>
        <w:kinsoku/>
        <w:wordWrap/>
        <w:overflowPunct/>
        <w:topLinePunct w:val="0"/>
        <w:bidi w:val="0"/>
        <w:spacing w:line="600" w:lineRule="exact"/>
        <w:ind w:firstLine="640"/>
        <w:jc w:val="left"/>
        <w:textAlignment w:val="auto"/>
        <w:outlineLvl w:val="1"/>
        <w:rPr>
          <w:rFonts w:eastAsia="仿宋_GB2312"/>
          <w:sz w:val="32"/>
          <w:szCs w:val="32"/>
        </w:rPr>
      </w:pPr>
      <w:r>
        <w:rPr>
          <w:rFonts w:hint="eastAsia" w:ascii="仿宋_GB2312" w:hAnsi="仿宋_GB2312" w:eastAsia="仿宋_GB2312" w:cs="仿宋_GB2312"/>
          <w:sz w:val="32"/>
          <w:szCs w:val="32"/>
        </w:rPr>
        <w:t>2025年度本年支出合计273.83万元，其中：基本支出238.17万元，占87%；项目支出35.66万元，占13%。</w:t>
      </w:r>
    </w:p>
    <w:p w14:paraId="50736851">
      <w:pPr>
        <w:pageBreakBefore w:val="0"/>
        <w:kinsoku/>
        <w:wordWrap/>
        <w:overflowPunct/>
        <w:topLinePunct w:val="0"/>
        <w:bidi w:val="0"/>
        <w:spacing w:line="600" w:lineRule="exact"/>
        <w:jc w:val="center"/>
        <w:textAlignment w:val="auto"/>
        <w:rPr>
          <w:rFonts w:eastAsia="仿宋_GB2312"/>
          <w:sz w:val="32"/>
          <w:szCs w:val="32"/>
        </w:rPr>
      </w:pPr>
    </w:p>
    <w:p w14:paraId="3EAF9741">
      <w:pPr>
        <w:pageBreakBefore w:val="0"/>
        <w:kinsoku/>
        <w:wordWrap/>
        <w:overflowPunct/>
        <w:topLinePunct w:val="0"/>
        <w:bidi w:val="0"/>
        <w:spacing w:line="600" w:lineRule="exact"/>
        <w:ind w:firstLine="800" w:firstLineChars="250"/>
        <w:jc w:val="center"/>
        <w:textAlignment w:val="auto"/>
        <w:rPr>
          <w:rFonts w:eastAsia="仿宋_GB2312"/>
          <w:sz w:val="32"/>
          <w:szCs w:val="32"/>
        </w:rPr>
      </w:pPr>
    </w:p>
    <w:p w14:paraId="52E952B3">
      <w:pPr>
        <w:pageBreakBefore w:val="0"/>
        <w:kinsoku/>
        <w:wordWrap/>
        <w:overflowPunct/>
        <w:topLinePunct w:val="0"/>
        <w:bidi w:val="0"/>
        <w:spacing w:line="600" w:lineRule="exact"/>
        <w:ind w:firstLine="800" w:firstLineChars="250"/>
        <w:jc w:val="center"/>
        <w:textAlignment w:val="auto"/>
        <w:rPr>
          <w:rFonts w:eastAsia="仿宋_GB2312"/>
          <w:sz w:val="32"/>
          <w:szCs w:val="32"/>
        </w:rPr>
      </w:pPr>
    </w:p>
    <w:p w14:paraId="0428AE5F">
      <w:pPr>
        <w:pageBreakBefore w:val="0"/>
        <w:kinsoku/>
        <w:wordWrap/>
        <w:overflowPunct/>
        <w:topLinePunct w:val="0"/>
        <w:bidi w:val="0"/>
        <w:spacing w:line="600" w:lineRule="exact"/>
        <w:ind w:firstLine="800" w:firstLineChars="250"/>
        <w:jc w:val="center"/>
        <w:textAlignment w:val="auto"/>
        <w:rPr>
          <w:rFonts w:eastAsia="仿宋_GB2312"/>
          <w:sz w:val="32"/>
          <w:szCs w:val="32"/>
        </w:rPr>
      </w:pPr>
    </w:p>
    <w:p w14:paraId="2564C12C">
      <w:pPr>
        <w:pageBreakBefore w:val="0"/>
        <w:kinsoku/>
        <w:wordWrap/>
        <w:overflowPunct/>
        <w:topLinePunct w:val="0"/>
        <w:bidi w:val="0"/>
        <w:spacing w:line="600" w:lineRule="exact"/>
        <w:ind w:firstLine="800" w:firstLineChars="250"/>
        <w:jc w:val="center"/>
        <w:textAlignment w:val="auto"/>
        <w:rPr>
          <w:rFonts w:eastAsia="仿宋_GB2312"/>
          <w:sz w:val="32"/>
          <w:szCs w:val="32"/>
        </w:rPr>
      </w:pPr>
    </w:p>
    <w:p w14:paraId="60A255D5">
      <w:pPr>
        <w:pageBreakBefore w:val="0"/>
        <w:kinsoku/>
        <w:wordWrap/>
        <w:overflowPunct/>
        <w:topLinePunct w:val="0"/>
        <w:bidi w:val="0"/>
        <w:spacing w:line="600" w:lineRule="exact"/>
        <w:ind w:firstLine="800" w:firstLineChars="250"/>
        <w:jc w:val="center"/>
        <w:textAlignment w:val="auto"/>
        <w:rPr>
          <w:rFonts w:eastAsia="仿宋_GB2312"/>
          <w:sz w:val="32"/>
          <w:szCs w:val="32"/>
        </w:rPr>
      </w:pPr>
    </w:p>
    <w:p w14:paraId="1ABCB8B7">
      <w:pPr>
        <w:pageBreakBefore w:val="0"/>
        <w:kinsoku/>
        <w:wordWrap/>
        <w:overflowPunct/>
        <w:topLinePunct w:val="0"/>
        <w:bidi w:val="0"/>
        <w:spacing w:line="600" w:lineRule="exact"/>
        <w:ind w:firstLine="800" w:firstLineChars="250"/>
        <w:jc w:val="center"/>
        <w:textAlignment w:val="auto"/>
        <w:rPr>
          <w:rFonts w:eastAsia="仿宋_GB2312"/>
          <w:sz w:val="32"/>
          <w:szCs w:val="32"/>
        </w:rPr>
      </w:pPr>
    </w:p>
    <w:p w14:paraId="7735488D">
      <w:pPr>
        <w:pageBreakBefore w:val="0"/>
        <w:kinsoku/>
        <w:wordWrap/>
        <w:overflowPunct/>
        <w:topLinePunct w:val="0"/>
        <w:bidi w:val="0"/>
        <w:spacing w:line="600" w:lineRule="exact"/>
        <w:ind w:firstLine="800" w:firstLineChars="250"/>
        <w:jc w:val="center"/>
        <w:textAlignment w:val="auto"/>
        <w:rPr>
          <w:rFonts w:eastAsia="仿宋_GB2312"/>
          <w:sz w:val="32"/>
          <w:szCs w:val="32"/>
        </w:rPr>
      </w:pPr>
      <w:r>
        <w:rPr>
          <w:rFonts w:eastAsia="仿宋_GB2312"/>
          <w:color w:val="FF0000"/>
          <w:sz w:val="32"/>
          <w:szCs w:val="32"/>
        </w:rPr>
        <w:drawing>
          <wp:anchor distT="0" distB="0" distL="114300" distR="114300" simplePos="0" relativeHeight="251661312" behindDoc="0" locked="0" layoutInCell="1" allowOverlap="1">
            <wp:simplePos x="0" y="0"/>
            <wp:positionH relativeFrom="column">
              <wp:posOffset>714375</wp:posOffset>
            </wp:positionH>
            <wp:positionV relativeFrom="paragraph">
              <wp:posOffset>-2338705</wp:posOffset>
            </wp:positionV>
            <wp:extent cx="4349115" cy="2621915"/>
            <wp:effectExtent l="4445" t="4445" r="8890" b="2159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7BC5E3CD">
      <w:pPr>
        <w:pageBreakBefore w:val="0"/>
        <w:kinsoku/>
        <w:wordWrap/>
        <w:overflowPunct/>
        <w:topLinePunct w:val="0"/>
        <w:bidi w:val="0"/>
        <w:spacing w:line="600" w:lineRule="exact"/>
        <w:ind w:firstLine="800" w:firstLineChars="25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图3：支出决算结构图</w:t>
      </w:r>
      <w:bookmarkStart w:id="18" w:name="_Toc15396606"/>
      <w:bookmarkStart w:id="19" w:name="_Toc15377208"/>
    </w:p>
    <w:p w14:paraId="24D49C6F">
      <w:pPr>
        <w:pageBreakBefore w:val="0"/>
        <w:kinsoku/>
        <w:wordWrap/>
        <w:overflowPunct/>
        <w:topLinePunct w:val="0"/>
        <w:bidi w:val="0"/>
        <w:spacing w:line="600" w:lineRule="exact"/>
        <w:ind w:firstLine="640" w:firstLineChars="200"/>
        <w:textAlignment w:val="auto"/>
        <w:outlineLvl w:val="1"/>
        <w:rPr>
          <w:rStyle w:val="29"/>
          <w:rFonts w:ascii="Times New Roman" w:hAnsi="Times New Roman" w:eastAsia="黑体" w:cs="Times New Roman"/>
          <w:b w:val="0"/>
        </w:rPr>
      </w:pPr>
      <w:r>
        <w:rPr>
          <w:rFonts w:eastAsia="黑体"/>
          <w:sz w:val="32"/>
          <w:szCs w:val="32"/>
        </w:rPr>
        <w:t>四、财</w:t>
      </w:r>
      <w:r>
        <w:rPr>
          <w:rStyle w:val="29"/>
          <w:rFonts w:ascii="Times New Roman" w:hAnsi="Times New Roman" w:eastAsia="黑体" w:cs="Times New Roman"/>
          <w:b w:val="0"/>
        </w:rPr>
        <w:t>政拨款收入支出决算总体情况说明</w:t>
      </w:r>
      <w:bookmarkEnd w:id="18"/>
      <w:bookmarkEnd w:id="19"/>
    </w:p>
    <w:p w14:paraId="5E06291F">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2025年度财政拨款收入、支出总计均为273.83万元。与2024年度相比，财政拨款收入总计、支出总计各减少124.85万元，降低31.3%。主要变动原因是2025年实施项目减少。</w:t>
      </w:r>
    </w:p>
    <w:p w14:paraId="6146DB3C">
      <w:pPr>
        <w:pStyle w:val="13"/>
        <w:pageBreakBefore w:val="0"/>
        <w:kinsoku/>
        <w:wordWrap/>
        <w:overflowPunct/>
        <w:topLinePunct w:val="0"/>
        <w:bidi w:val="0"/>
        <w:spacing w:line="600" w:lineRule="exact"/>
        <w:textAlignment w:val="auto"/>
        <w:rPr>
          <w:rFonts w:eastAsia="仿宋_GB2312"/>
          <w:sz w:val="32"/>
          <w:szCs w:val="32"/>
        </w:rPr>
      </w:pPr>
      <w:r>
        <w:rPr>
          <w:rFonts w:eastAsia="仿宋_GB2312"/>
          <w:sz w:val="32"/>
          <w:szCs w:val="32"/>
        </w:rPr>
        <w:drawing>
          <wp:anchor distT="0" distB="0" distL="114300" distR="114300" simplePos="0" relativeHeight="251660288" behindDoc="1" locked="0" layoutInCell="1" allowOverlap="1">
            <wp:simplePos x="0" y="0"/>
            <wp:positionH relativeFrom="column">
              <wp:posOffset>118745</wp:posOffset>
            </wp:positionH>
            <wp:positionV relativeFrom="paragraph">
              <wp:posOffset>103505</wp:posOffset>
            </wp:positionV>
            <wp:extent cx="5049520" cy="2827020"/>
            <wp:effectExtent l="0" t="0" r="17780" b="1143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015E0391">
      <w:pPr>
        <w:pStyle w:val="7"/>
        <w:pageBreakBefore w:val="0"/>
        <w:kinsoku/>
        <w:wordWrap/>
        <w:overflowPunct/>
        <w:topLinePunct w:val="0"/>
        <w:bidi w:val="0"/>
        <w:spacing w:line="600" w:lineRule="exact"/>
        <w:ind w:left="420" w:firstLine="640"/>
        <w:textAlignment w:val="auto"/>
        <w:rPr>
          <w:rFonts w:ascii="Times New Roman" w:eastAsia="仿宋_GB2312"/>
          <w:sz w:val="32"/>
        </w:rPr>
      </w:pPr>
    </w:p>
    <w:p w14:paraId="047D0C4D">
      <w:pPr>
        <w:pStyle w:val="7"/>
        <w:pageBreakBefore w:val="0"/>
        <w:kinsoku/>
        <w:wordWrap/>
        <w:overflowPunct/>
        <w:topLinePunct w:val="0"/>
        <w:bidi w:val="0"/>
        <w:spacing w:line="600" w:lineRule="exact"/>
        <w:ind w:left="420" w:firstLine="640"/>
        <w:textAlignment w:val="auto"/>
        <w:rPr>
          <w:rFonts w:ascii="Times New Roman" w:eastAsia="仿宋_GB2312"/>
          <w:sz w:val="32"/>
        </w:rPr>
      </w:pPr>
    </w:p>
    <w:p w14:paraId="6B47CB71">
      <w:pPr>
        <w:pStyle w:val="7"/>
        <w:pageBreakBefore w:val="0"/>
        <w:kinsoku/>
        <w:wordWrap/>
        <w:overflowPunct/>
        <w:topLinePunct w:val="0"/>
        <w:bidi w:val="0"/>
        <w:spacing w:line="600" w:lineRule="exact"/>
        <w:ind w:left="420" w:firstLine="640"/>
        <w:textAlignment w:val="auto"/>
        <w:rPr>
          <w:rFonts w:ascii="Times New Roman" w:eastAsia="仿宋_GB2312"/>
          <w:sz w:val="32"/>
        </w:rPr>
      </w:pPr>
    </w:p>
    <w:p w14:paraId="39341E9D">
      <w:pPr>
        <w:pStyle w:val="7"/>
        <w:pageBreakBefore w:val="0"/>
        <w:kinsoku/>
        <w:wordWrap/>
        <w:overflowPunct/>
        <w:topLinePunct w:val="0"/>
        <w:bidi w:val="0"/>
        <w:spacing w:line="600" w:lineRule="exact"/>
        <w:ind w:left="420" w:firstLine="640"/>
        <w:textAlignment w:val="auto"/>
        <w:rPr>
          <w:rFonts w:ascii="Times New Roman" w:eastAsia="仿宋_GB2312"/>
          <w:sz w:val="32"/>
        </w:rPr>
      </w:pPr>
    </w:p>
    <w:p w14:paraId="0EA12241">
      <w:pPr>
        <w:pStyle w:val="7"/>
        <w:pageBreakBefore w:val="0"/>
        <w:kinsoku/>
        <w:wordWrap/>
        <w:overflowPunct/>
        <w:topLinePunct w:val="0"/>
        <w:bidi w:val="0"/>
        <w:spacing w:line="600" w:lineRule="exact"/>
        <w:ind w:left="420" w:firstLine="640"/>
        <w:textAlignment w:val="auto"/>
        <w:rPr>
          <w:rFonts w:ascii="Times New Roman" w:eastAsia="仿宋_GB2312"/>
          <w:sz w:val="32"/>
        </w:rPr>
      </w:pPr>
    </w:p>
    <w:p w14:paraId="22983169">
      <w:pPr>
        <w:pStyle w:val="13"/>
        <w:pageBreakBefore w:val="0"/>
        <w:kinsoku/>
        <w:wordWrap/>
        <w:overflowPunct/>
        <w:topLinePunct w:val="0"/>
        <w:bidi w:val="0"/>
        <w:spacing w:line="600" w:lineRule="exact"/>
        <w:textAlignment w:val="auto"/>
      </w:pPr>
    </w:p>
    <w:p w14:paraId="19EAA159">
      <w:pPr>
        <w:pageBreakBefore w:val="0"/>
        <w:kinsoku/>
        <w:wordWrap/>
        <w:overflowPunct/>
        <w:topLinePunct w:val="0"/>
        <w:bidi w:val="0"/>
        <w:spacing w:line="60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图4：财政拨款收、支决算总计变动情况</w:t>
      </w:r>
    </w:p>
    <w:p w14:paraId="4C3345DE">
      <w:pPr>
        <w:pageBreakBefore w:val="0"/>
        <w:kinsoku/>
        <w:wordWrap/>
        <w:overflowPunct/>
        <w:topLinePunct w:val="0"/>
        <w:bidi w:val="0"/>
        <w:spacing w:line="600" w:lineRule="exact"/>
        <w:ind w:firstLine="640"/>
        <w:jc w:val="center"/>
        <w:textAlignment w:val="auto"/>
        <w:rPr>
          <w:rFonts w:eastAsia="仿宋_GB2312"/>
          <w:sz w:val="32"/>
          <w:szCs w:val="32"/>
        </w:rPr>
      </w:pPr>
    </w:p>
    <w:p w14:paraId="49D542F4">
      <w:pPr>
        <w:pageBreakBefore w:val="0"/>
        <w:kinsoku/>
        <w:wordWrap/>
        <w:overflowPunct/>
        <w:topLinePunct w:val="0"/>
        <w:bidi w:val="0"/>
        <w:spacing w:line="600" w:lineRule="exact"/>
        <w:ind w:firstLine="640" w:firstLineChars="200"/>
        <w:textAlignment w:val="auto"/>
        <w:outlineLvl w:val="1"/>
        <w:rPr>
          <w:rStyle w:val="29"/>
          <w:rFonts w:ascii="Times New Roman" w:hAnsi="Times New Roman" w:eastAsia="黑体" w:cs="Times New Roman"/>
          <w:b w:val="0"/>
        </w:rPr>
      </w:pPr>
      <w:bookmarkStart w:id="20" w:name="_Toc15377209"/>
      <w:bookmarkStart w:id="21" w:name="_Toc15396607"/>
      <w:r>
        <w:rPr>
          <w:rFonts w:eastAsia="黑体"/>
          <w:sz w:val="32"/>
          <w:szCs w:val="32"/>
        </w:rPr>
        <w:t>五、</w:t>
      </w:r>
      <w:r>
        <w:rPr>
          <w:rFonts w:eastAsia="黑体"/>
          <w:b/>
          <w:sz w:val="32"/>
          <w:szCs w:val="32"/>
        </w:rPr>
        <w:t>一</w:t>
      </w:r>
      <w:r>
        <w:rPr>
          <w:rStyle w:val="29"/>
          <w:rFonts w:ascii="Times New Roman" w:hAnsi="Times New Roman" w:eastAsia="黑体" w:cs="Times New Roman"/>
          <w:b w:val="0"/>
        </w:rPr>
        <w:t>般公共预算财政拨款支出决算情况说明</w:t>
      </w:r>
      <w:bookmarkEnd w:id="20"/>
      <w:bookmarkEnd w:id="21"/>
    </w:p>
    <w:p w14:paraId="5F4F7B9C">
      <w:pPr>
        <w:pageBreakBefore w:val="0"/>
        <w:kinsoku/>
        <w:wordWrap/>
        <w:overflowPunct/>
        <w:topLinePunct w:val="0"/>
        <w:bidi w:val="0"/>
        <w:spacing w:line="600" w:lineRule="exact"/>
        <w:ind w:firstLine="643" w:firstLineChars="200"/>
        <w:textAlignment w:val="auto"/>
        <w:outlineLvl w:val="2"/>
        <w:rPr>
          <w:rFonts w:eastAsia="楷体_GB2312"/>
          <w:b/>
          <w:sz w:val="32"/>
          <w:szCs w:val="32"/>
        </w:rPr>
      </w:pPr>
      <w:bookmarkStart w:id="22" w:name="_Toc15377210"/>
      <w:r>
        <w:rPr>
          <w:rFonts w:eastAsia="楷体_GB2312"/>
          <w:b/>
          <w:sz w:val="32"/>
          <w:szCs w:val="32"/>
        </w:rPr>
        <w:t>（一）一般公共预算财政拨款支出决算总体情况</w:t>
      </w:r>
      <w:bookmarkEnd w:id="22"/>
    </w:p>
    <w:p w14:paraId="6E66D767">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2025年度一般公共预算财政拨款支出273.83万元，占本年支出合计的100%。与2024年度相比，一般公共预算财政拨款支出减少124.85万元，下降31.3%。主要变动原因是2025年</w:t>
      </w:r>
      <w:r>
        <w:rPr>
          <w:rFonts w:hint="eastAsia" w:ascii="仿宋_GB2312" w:hAnsi="仿宋_GB2312" w:eastAsia="仿宋_GB2312" w:cs="仿宋_GB2312"/>
          <w:sz w:val="32"/>
          <w:szCs w:val="32"/>
          <w:lang w:eastAsia="zh-CN"/>
        </w:rPr>
        <w:t>因</w:t>
      </w:r>
      <w:r>
        <w:rPr>
          <w:rFonts w:hint="eastAsia" w:ascii="仿宋_GB2312" w:hAnsi="仿宋_GB2312" w:eastAsia="仿宋_GB2312" w:cs="仿宋_GB2312"/>
          <w:sz w:val="32"/>
          <w:szCs w:val="32"/>
        </w:rPr>
        <w:t>实施项目减少导致的财政拨款支出变动。</w:t>
      </w:r>
    </w:p>
    <w:p w14:paraId="1AF64619">
      <w:pPr>
        <w:pageBreakBefore w:val="0"/>
        <w:kinsoku/>
        <w:wordWrap/>
        <w:overflowPunct/>
        <w:topLinePunct w:val="0"/>
        <w:bidi w:val="0"/>
        <w:spacing w:line="600" w:lineRule="exact"/>
        <w:ind w:firstLine="640"/>
        <w:textAlignment w:val="auto"/>
        <w:rPr>
          <w:rFonts w:eastAsia="仿宋_GB2312"/>
          <w:sz w:val="32"/>
          <w:szCs w:val="32"/>
        </w:rPr>
      </w:pPr>
    </w:p>
    <w:p w14:paraId="3E09E84D">
      <w:pPr>
        <w:pStyle w:val="7"/>
        <w:pageBreakBefore w:val="0"/>
        <w:kinsoku/>
        <w:wordWrap/>
        <w:overflowPunct/>
        <w:topLinePunct w:val="0"/>
        <w:bidi w:val="0"/>
        <w:spacing w:line="600" w:lineRule="exact"/>
        <w:ind w:left="0" w:leftChars="0" w:firstLine="0" w:firstLineChars="0"/>
        <w:textAlignment w:val="auto"/>
        <w:rPr>
          <w:rFonts w:ascii="Times New Roman" w:eastAsia="仿宋_GB2312"/>
          <w:sz w:val="32"/>
        </w:rPr>
      </w:pPr>
    </w:p>
    <w:p w14:paraId="714EED11">
      <w:pPr>
        <w:pageBreakBefore w:val="0"/>
        <w:kinsoku/>
        <w:wordWrap/>
        <w:overflowPunct/>
        <w:topLinePunct w:val="0"/>
        <w:bidi w:val="0"/>
        <w:spacing w:line="600" w:lineRule="exact"/>
        <w:textAlignment w:val="auto"/>
        <w:rPr>
          <w:rFonts w:eastAsia="仿宋_GB2312"/>
          <w:sz w:val="32"/>
          <w:szCs w:val="32"/>
        </w:rPr>
      </w:pPr>
    </w:p>
    <w:p w14:paraId="5249B317">
      <w:pPr>
        <w:pStyle w:val="13"/>
        <w:rPr>
          <w:rFonts w:eastAsia="仿宋_GB2312"/>
          <w:sz w:val="32"/>
          <w:szCs w:val="32"/>
        </w:rPr>
      </w:pPr>
    </w:p>
    <w:p w14:paraId="383A2FEB">
      <w:pPr>
        <w:pStyle w:val="7"/>
      </w:pPr>
    </w:p>
    <w:p w14:paraId="6DCE735A">
      <w:pPr>
        <w:pageBreakBefore w:val="0"/>
        <w:kinsoku/>
        <w:wordWrap/>
        <w:overflowPunct/>
        <w:topLinePunct w:val="0"/>
        <w:bidi w:val="0"/>
        <w:spacing w:line="600" w:lineRule="exact"/>
        <w:ind w:firstLine="640"/>
        <w:textAlignment w:val="auto"/>
        <w:rPr>
          <w:rFonts w:eastAsia="仿宋_GB2312"/>
          <w:sz w:val="32"/>
          <w:szCs w:val="32"/>
        </w:rPr>
      </w:pPr>
    </w:p>
    <w:p w14:paraId="51756533">
      <w:pPr>
        <w:pageBreakBefore w:val="0"/>
        <w:kinsoku/>
        <w:wordWrap/>
        <w:overflowPunct/>
        <w:topLinePunct w:val="0"/>
        <w:bidi w:val="0"/>
        <w:spacing w:line="600" w:lineRule="exact"/>
        <w:ind w:firstLine="640"/>
        <w:textAlignment w:val="auto"/>
        <w:rPr>
          <w:rFonts w:eastAsia="仿宋_GB2312"/>
          <w:sz w:val="32"/>
          <w:szCs w:val="32"/>
        </w:rPr>
      </w:pPr>
    </w:p>
    <w:p w14:paraId="2AFAE322">
      <w:pPr>
        <w:pageBreakBefore w:val="0"/>
        <w:kinsoku/>
        <w:wordWrap/>
        <w:overflowPunct/>
        <w:topLinePunct w:val="0"/>
        <w:bidi w:val="0"/>
        <w:spacing w:line="600" w:lineRule="exact"/>
        <w:ind w:firstLine="640"/>
        <w:textAlignment w:val="auto"/>
        <w:rPr>
          <w:rFonts w:eastAsia="仿宋_GB2312"/>
          <w:sz w:val="32"/>
          <w:szCs w:val="32"/>
        </w:rPr>
      </w:pPr>
    </w:p>
    <w:p w14:paraId="3C1ED240">
      <w:pPr>
        <w:pageBreakBefore w:val="0"/>
        <w:kinsoku/>
        <w:wordWrap/>
        <w:overflowPunct/>
        <w:topLinePunct w:val="0"/>
        <w:bidi w:val="0"/>
        <w:spacing w:line="600" w:lineRule="exact"/>
        <w:ind w:firstLine="640"/>
        <w:textAlignment w:val="auto"/>
        <w:rPr>
          <w:rFonts w:eastAsia="仿宋_GB2312"/>
          <w:sz w:val="32"/>
          <w:szCs w:val="32"/>
        </w:rPr>
      </w:pPr>
    </w:p>
    <w:p w14:paraId="2E46149F">
      <w:pPr>
        <w:pageBreakBefore w:val="0"/>
        <w:kinsoku/>
        <w:wordWrap/>
        <w:overflowPunct/>
        <w:topLinePunct w:val="0"/>
        <w:bidi w:val="0"/>
        <w:spacing w:line="600" w:lineRule="exact"/>
        <w:ind w:firstLine="640"/>
        <w:textAlignment w:val="auto"/>
        <w:rPr>
          <w:rFonts w:eastAsia="仿宋_GB2312"/>
          <w:sz w:val="32"/>
          <w:szCs w:val="32"/>
        </w:rPr>
      </w:pPr>
    </w:p>
    <w:p w14:paraId="136AC63A">
      <w:pPr>
        <w:pageBreakBefore w:val="0"/>
        <w:kinsoku/>
        <w:wordWrap/>
        <w:overflowPunct/>
        <w:topLinePunct w:val="0"/>
        <w:bidi w:val="0"/>
        <w:spacing w:line="600" w:lineRule="exact"/>
        <w:ind w:firstLine="640"/>
        <w:textAlignment w:val="auto"/>
        <w:rPr>
          <w:rFonts w:eastAsia="仿宋_GB2312"/>
          <w:sz w:val="32"/>
          <w:szCs w:val="32"/>
        </w:rPr>
      </w:pPr>
      <w:r>
        <w:rPr>
          <w:rFonts w:ascii="Times New Roman" w:eastAsia="仿宋_GB2312"/>
          <w:sz w:val="32"/>
        </w:rPr>
        <w:drawing>
          <wp:anchor distT="0" distB="0" distL="114300" distR="114300" simplePos="0" relativeHeight="251662336" behindDoc="0" locked="0" layoutInCell="1" allowOverlap="1">
            <wp:simplePos x="0" y="0"/>
            <wp:positionH relativeFrom="column">
              <wp:posOffset>410845</wp:posOffset>
            </wp:positionH>
            <wp:positionV relativeFrom="paragraph">
              <wp:posOffset>-2433955</wp:posOffset>
            </wp:positionV>
            <wp:extent cx="4770120" cy="2727960"/>
            <wp:effectExtent l="4445" t="4445" r="6985" b="1079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6362579D">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图5：一般公共预算财政拨款支出决算变动情况</w:t>
      </w:r>
    </w:p>
    <w:p w14:paraId="5AFA228C">
      <w:pPr>
        <w:pageBreakBefore w:val="0"/>
        <w:kinsoku/>
        <w:wordWrap/>
        <w:overflowPunct/>
        <w:topLinePunct w:val="0"/>
        <w:bidi w:val="0"/>
        <w:spacing w:line="600" w:lineRule="exact"/>
        <w:ind w:firstLine="643" w:firstLineChars="200"/>
        <w:textAlignment w:val="auto"/>
        <w:outlineLvl w:val="2"/>
        <w:rPr>
          <w:rFonts w:eastAsia="楷体_GB2312"/>
          <w:b/>
          <w:sz w:val="32"/>
          <w:szCs w:val="32"/>
        </w:rPr>
      </w:pPr>
      <w:bookmarkStart w:id="23" w:name="_Toc15377211"/>
      <w:r>
        <w:rPr>
          <w:rFonts w:eastAsia="楷体_GB2312"/>
          <w:b/>
          <w:sz w:val="32"/>
          <w:szCs w:val="32"/>
        </w:rPr>
        <w:t>（二）一般公共预算财政拨款支出决算结构情况</w:t>
      </w:r>
      <w:bookmarkEnd w:id="23"/>
    </w:p>
    <w:p w14:paraId="0BAEE995">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2025年度一般公共预算财政拨款支出273.83万元，主要用于以下方面：节能环保支出209.84万元，占76.6%；社会保障和就业支出26.27万元，占9.6%；卫生健康支出16万元，占5.9%；住房保障支出21.7万元，占7.9%。</w:t>
      </w:r>
    </w:p>
    <w:p w14:paraId="0EB64D4F">
      <w:pPr>
        <w:pStyle w:val="13"/>
        <w:pageBreakBefore w:val="0"/>
        <w:kinsoku/>
        <w:wordWrap/>
        <w:overflowPunct/>
        <w:topLinePunct w:val="0"/>
        <w:bidi w:val="0"/>
        <w:spacing w:line="600" w:lineRule="exact"/>
        <w:textAlignment w:val="auto"/>
        <w:rPr>
          <w:rFonts w:eastAsia="仿宋_GB2312"/>
          <w:sz w:val="32"/>
          <w:szCs w:val="32"/>
        </w:rPr>
      </w:pPr>
    </w:p>
    <w:p w14:paraId="4EE88E9D">
      <w:pPr>
        <w:pStyle w:val="7"/>
        <w:pageBreakBefore w:val="0"/>
        <w:kinsoku/>
        <w:wordWrap/>
        <w:overflowPunct/>
        <w:topLinePunct w:val="0"/>
        <w:bidi w:val="0"/>
        <w:spacing w:line="600" w:lineRule="exact"/>
        <w:ind w:left="0" w:leftChars="0" w:firstLine="0" w:firstLineChars="0"/>
        <w:jc w:val="center"/>
        <w:textAlignment w:val="auto"/>
        <w:rPr>
          <w:rFonts w:ascii="Times New Roman" w:eastAsia="仿宋_GB2312"/>
          <w:sz w:val="32"/>
        </w:rPr>
      </w:pPr>
    </w:p>
    <w:p w14:paraId="69E5238B">
      <w:pPr>
        <w:pageBreakBefore w:val="0"/>
        <w:kinsoku/>
        <w:wordWrap/>
        <w:overflowPunct/>
        <w:topLinePunct w:val="0"/>
        <w:bidi w:val="0"/>
        <w:spacing w:line="600" w:lineRule="exact"/>
        <w:ind w:firstLine="640"/>
        <w:jc w:val="center"/>
        <w:textAlignment w:val="auto"/>
        <w:rPr>
          <w:rFonts w:eastAsia="仿宋_GB2312"/>
          <w:sz w:val="32"/>
          <w:szCs w:val="32"/>
        </w:rPr>
      </w:pPr>
    </w:p>
    <w:p w14:paraId="31C2FA8D">
      <w:pPr>
        <w:pageBreakBefore w:val="0"/>
        <w:kinsoku/>
        <w:wordWrap/>
        <w:overflowPunct/>
        <w:topLinePunct w:val="0"/>
        <w:bidi w:val="0"/>
        <w:spacing w:line="600" w:lineRule="exact"/>
        <w:ind w:firstLine="640"/>
        <w:jc w:val="center"/>
        <w:textAlignment w:val="auto"/>
        <w:rPr>
          <w:rFonts w:eastAsia="仿宋_GB2312"/>
          <w:sz w:val="32"/>
          <w:szCs w:val="32"/>
        </w:rPr>
      </w:pPr>
    </w:p>
    <w:p w14:paraId="21360DC0">
      <w:pPr>
        <w:pageBreakBefore w:val="0"/>
        <w:kinsoku/>
        <w:wordWrap/>
        <w:overflowPunct/>
        <w:topLinePunct w:val="0"/>
        <w:bidi w:val="0"/>
        <w:spacing w:line="600" w:lineRule="exact"/>
        <w:ind w:firstLine="640"/>
        <w:jc w:val="center"/>
        <w:textAlignment w:val="auto"/>
        <w:rPr>
          <w:rFonts w:eastAsia="仿宋_GB2312"/>
          <w:sz w:val="32"/>
          <w:szCs w:val="32"/>
        </w:rPr>
      </w:pPr>
    </w:p>
    <w:p w14:paraId="56B756D0">
      <w:pPr>
        <w:pageBreakBefore w:val="0"/>
        <w:kinsoku/>
        <w:wordWrap/>
        <w:overflowPunct/>
        <w:topLinePunct w:val="0"/>
        <w:bidi w:val="0"/>
        <w:spacing w:line="600" w:lineRule="exact"/>
        <w:ind w:firstLine="640"/>
        <w:jc w:val="center"/>
        <w:textAlignment w:val="auto"/>
        <w:rPr>
          <w:rFonts w:eastAsia="仿宋_GB2312"/>
          <w:sz w:val="32"/>
          <w:szCs w:val="32"/>
        </w:rPr>
      </w:pPr>
    </w:p>
    <w:p w14:paraId="275AFDA7">
      <w:pPr>
        <w:pageBreakBefore w:val="0"/>
        <w:kinsoku/>
        <w:wordWrap/>
        <w:overflowPunct/>
        <w:topLinePunct w:val="0"/>
        <w:bidi w:val="0"/>
        <w:spacing w:line="600" w:lineRule="exact"/>
        <w:ind w:firstLine="640"/>
        <w:jc w:val="center"/>
        <w:textAlignment w:val="auto"/>
        <w:rPr>
          <w:rFonts w:eastAsia="仿宋_GB2312"/>
          <w:sz w:val="32"/>
          <w:szCs w:val="32"/>
        </w:rPr>
      </w:pPr>
    </w:p>
    <w:p w14:paraId="6B124458">
      <w:pPr>
        <w:pageBreakBefore w:val="0"/>
        <w:kinsoku/>
        <w:wordWrap/>
        <w:overflowPunct/>
        <w:topLinePunct w:val="0"/>
        <w:bidi w:val="0"/>
        <w:spacing w:line="600" w:lineRule="exact"/>
        <w:ind w:firstLine="1292" w:firstLineChars="404"/>
        <w:jc w:val="both"/>
        <w:textAlignment w:val="auto"/>
        <w:rPr>
          <w:rFonts w:eastAsia="仿宋_GB2312"/>
          <w:sz w:val="32"/>
          <w:szCs w:val="32"/>
        </w:rPr>
      </w:pPr>
      <w:r>
        <w:rPr>
          <w:rFonts w:ascii="Times New Roman" w:eastAsia="仿宋_GB2312"/>
          <w:sz w:val="32"/>
        </w:rPr>
        <w:drawing>
          <wp:anchor distT="0" distB="0" distL="114300" distR="114300" simplePos="0" relativeHeight="251663360" behindDoc="0" locked="0" layoutInCell="1" allowOverlap="1">
            <wp:simplePos x="0" y="0"/>
            <wp:positionH relativeFrom="column">
              <wp:posOffset>825500</wp:posOffset>
            </wp:positionH>
            <wp:positionV relativeFrom="paragraph">
              <wp:posOffset>-2586355</wp:posOffset>
            </wp:positionV>
            <wp:extent cx="4417060" cy="2881630"/>
            <wp:effectExtent l="4445" t="4445" r="17145" b="9525"/>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62761F82">
      <w:pPr>
        <w:pageBreakBefore w:val="0"/>
        <w:kinsoku/>
        <w:wordWrap/>
        <w:overflowPunct/>
        <w:topLinePunct w:val="0"/>
        <w:bidi w:val="0"/>
        <w:spacing w:line="600" w:lineRule="exact"/>
        <w:ind w:firstLine="1292" w:firstLineChars="404"/>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图6：一般公共预算财政拨款支出决算结构</w:t>
      </w:r>
    </w:p>
    <w:p w14:paraId="1FAF94C1">
      <w:pPr>
        <w:pageBreakBefore w:val="0"/>
        <w:kinsoku/>
        <w:wordWrap/>
        <w:overflowPunct/>
        <w:topLinePunct w:val="0"/>
        <w:bidi w:val="0"/>
        <w:spacing w:line="600" w:lineRule="exact"/>
        <w:ind w:firstLine="643" w:firstLineChars="200"/>
        <w:textAlignment w:val="auto"/>
        <w:outlineLvl w:val="2"/>
        <w:rPr>
          <w:rFonts w:eastAsia="楷体_GB2312"/>
          <w:b/>
          <w:sz w:val="32"/>
          <w:szCs w:val="32"/>
        </w:rPr>
      </w:pPr>
      <w:bookmarkStart w:id="24" w:name="_Toc15377212"/>
      <w:r>
        <w:rPr>
          <w:rFonts w:eastAsia="楷体_GB2312"/>
          <w:b/>
          <w:sz w:val="32"/>
          <w:szCs w:val="32"/>
        </w:rPr>
        <w:t>（三）一般公共预算财政拨款支出决算具体情况</w:t>
      </w:r>
      <w:bookmarkEnd w:id="24"/>
    </w:p>
    <w:p w14:paraId="67CD2149">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bookmarkStart w:id="25" w:name="_Toc15377213"/>
      <w:bookmarkStart w:id="26" w:name="_Toc15378460"/>
      <w:bookmarkStart w:id="27" w:name="_Toc15377444"/>
      <w:r>
        <w:rPr>
          <w:rFonts w:hint="eastAsia" w:ascii="仿宋_GB2312" w:hAnsi="仿宋_GB2312" w:eastAsia="仿宋_GB2312" w:cs="仿宋_GB2312"/>
          <w:sz w:val="32"/>
          <w:szCs w:val="32"/>
        </w:rPr>
        <w:t>2025年度一般公共预算财政拨款支出决算数为273.83万元，完成预算100%。其中：</w:t>
      </w:r>
      <w:bookmarkEnd w:id="25"/>
      <w:bookmarkEnd w:id="26"/>
      <w:bookmarkEnd w:id="27"/>
    </w:p>
    <w:p w14:paraId="1E5E40A8">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1.社会保障和就业（208类）行政事业单位养老支出（05款）事业单位离退休（02项）：支出决算为0.22万元，完成预算100%，决算数等于预算数。</w:t>
      </w:r>
    </w:p>
    <w:p w14:paraId="268E5683">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2.社会保障和就业（208类）行政事业单位养老支出（05款）机关事业单位基本养老保险缴费支出（05项）:支出决算为26.04万元，完成预算100%，决算数等于预算数。</w:t>
      </w:r>
    </w:p>
    <w:p w14:paraId="6253E442">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3.卫生健康（210类）行政事业单位医疗（11款）事业单位医疗（02项）：支出决算为14.23万元，完成预算100%，决算数等于预算数。</w:t>
      </w:r>
    </w:p>
    <w:p w14:paraId="4182D0B8">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4.卫生健康（210类）行政事业单位医疗（11款）公务员医疗补助（03项）：支出决算为1.80万元，完成预算100%，决算数等于预算数。</w:t>
      </w:r>
    </w:p>
    <w:p w14:paraId="22532E25">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5.节能环保支出（211类）环境保护管理事务（01款）其他环境保护管理事务支出（99项）：支出决算为174.18万元，完成预算100%，决算数等于预算数。</w:t>
      </w:r>
    </w:p>
    <w:p w14:paraId="67A8E85A">
      <w:pPr>
        <w:pageBreakBefore w:val="0"/>
        <w:kinsoku/>
        <w:wordWrap/>
        <w:overflowPunct/>
        <w:topLinePunct w:val="0"/>
        <w:bidi w:val="0"/>
        <w:spacing w:line="600" w:lineRule="exact"/>
        <w:ind w:firstLine="640"/>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6.节能环保支出（211类）污染防治（03款）其他污染防治支出（99项）：支出决算为35.66万元，完成预算100%，决算数等于预算数。</w:t>
      </w:r>
    </w:p>
    <w:p w14:paraId="7BD66250">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7.住房保障支出（221类）住房改革支出（02款）住房公积金（01项）：支出决算为21.7万元，完成预算100%，决算数等于预算数。</w:t>
      </w:r>
    </w:p>
    <w:p w14:paraId="6A1B5F24">
      <w:pPr>
        <w:pageBreakBefore w:val="0"/>
        <w:tabs>
          <w:tab w:val="right" w:pos="8306"/>
        </w:tabs>
        <w:kinsoku/>
        <w:wordWrap/>
        <w:overflowPunct/>
        <w:topLinePunct w:val="0"/>
        <w:bidi w:val="0"/>
        <w:spacing w:line="600" w:lineRule="exact"/>
        <w:ind w:firstLine="640"/>
        <w:textAlignment w:val="auto"/>
        <w:outlineLvl w:val="1"/>
        <w:rPr>
          <w:rStyle w:val="29"/>
          <w:rFonts w:ascii="Times New Roman" w:hAnsi="Times New Roman" w:cs="Times New Roman"/>
        </w:rPr>
      </w:pPr>
      <w:bookmarkStart w:id="28" w:name="_Toc15377214"/>
      <w:bookmarkStart w:id="29" w:name="_Toc15396608"/>
      <w:r>
        <w:rPr>
          <w:rFonts w:eastAsia="黑体"/>
          <w:sz w:val="32"/>
          <w:szCs w:val="32"/>
        </w:rPr>
        <w:t>六</w:t>
      </w:r>
      <w:r>
        <w:rPr>
          <w:rFonts w:eastAsia="黑体"/>
          <w:b/>
          <w:sz w:val="32"/>
          <w:szCs w:val="32"/>
        </w:rPr>
        <w:t>、一</w:t>
      </w:r>
      <w:r>
        <w:rPr>
          <w:rStyle w:val="29"/>
          <w:rFonts w:ascii="Times New Roman" w:hAnsi="Times New Roman" w:eastAsia="黑体" w:cs="Times New Roman"/>
          <w:b w:val="0"/>
        </w:rPr>
        <w:t>般公共预算财政拨款基本支出决算情况说明</w:t>
      </w:r>
      <w:bookmarkEnd w:id="28"/>
      <w:bookmarkEnd w:id="29"/>
      <w:r>
        <w:rPr>
          <w:rStyle w:val="29"/>
          <w:rFonts w:ascii="Times New Roman" w:hAnsi="Times New Roman" w:eastAsia="黑体" w:cs="Times New Roman"/>
          <w:b w:val="0"/>
        </w:rPr>
        <w:tab/>
      </w:r>
    </w:p>
    <w:p w14:paraId="1EE968F3">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2025年度一般公共预算财政拨款基本支出238.17万元，其中：</w:t>
      </w:r>
    </w:p>
    <w:p w14:paraId="621CD127">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人员经费219.36万元，主要包括：基本工资、津贴补贴、绩效工资、机关事业单位基本养老保险缴费、职工基本医疗保险缴费、公务员医疗补助缴费、其他社会保障缴费、住房公积金、医疗费补助等。</w:t>
      </w:r>
    </w:p>
    <w:p w14:paraId="7E6592E3">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公用经费18.81万元，主要包括：办公费、水费、电费、差旅费、培训费、公务接待费、劳务费、工会经费、福利费、委托业务费、公务用车运行维护费。办公设备购置。</w:t>
      </w:r>
    </w:p>
    <w:p w14:paraId="40F74E21">
      <w:pPr>
        <w:pageBreakBefore w:val="0"/>
        <w:kinsoku/>
        <w:wordWrap/>
        <w:overflowPunct/>
        <w:topLinePunct w:val="0"/>
        <w:bidi w:val="0"/>
        <w:spacing w:line="600" w:lineRule="exact"/>
        <w:ind w:firstLine="640"/>
        <w:textAlignment w:val="auto"/>
        <w:outlineLvl w:val="1"/>
        <w:rPr>
          <w:rStyle w:val="29"/>
          <w:rFonts w:ascii="Times New Roman" w:hAnsi="Times New Roman" w:eastAsia="黑体" w:cs="Times New Roman"/>
          <w:b w:val="0"/>
        </w:rPr>
      </w:pPr>
      <w:bookmarkStart w:id="30" w:name="_Toc15377215"/>
      <w:bookmarkStart w:id="31" w:name="_Toc15396609"/>
      <w:r>
        <w:rPr>
          <w:rFonts w:eastAsia="黑体"/>
          <w:sz w:val="32"/>
          <w:szCs w:val="32"/>
        </w:rPr>
        <w:t>七、</w:t>
      </w:r>
      <w:r>
        <w:rPr>
          <w:rStyle w:val="29"/>
          <w:rFonts w:ascii="Times New Roman" w:hAnsi="Times New Roman" w:eastAsia="黑体" w:cs="Times New Roman"/>
          <w:b w:val="0"/>
        </w:rPr>
        <w:t>财政拨款</w:t>
      </w:r>
      <w:r>
        <w:rPr>
          <w:rStyle w:val="29"/>
          <w:rFonts w:ascii="Times New Roman" w:hAnsi="Times New Roman" w:eastAsia="黑体" w:cs="Times New Roman"/>
        </w:rPr>
        <w:t>“</w:t>
      </w:r>
      <w:r>
        <w:rPr>
          <w:rStyle w:val="29"/>
          <w:rFonts w:ascii="Times New Roman" w:hAnsi="Times New Roman" w:eastAsia="黑体" w:cs="Times New Roman"/>
          <w:b w:val="0"/>
        </w:rPr>
        <w:t>三公”经费支出决算情况说明</w:t>
      </w:r>
      <w:bookmarkEnd w:id="30"/>
      <w:bookmarkEnd w:id="31"/>
    </w:p>
    <w:p w14:paraId="2330595D">
      <w:pPr>
        <w:pageBreakBefore w:val="0"/>
        <w:kinsoku/>
        <w:wordWrap/>
        <w:overflowPunct/>
        <w:topLinePunct w:val="0"/>
        <w:bidi w:val="0"/>
        <w:spacing w:line="600" w:lineRule="exact"/>
        <w:ind w:firstLine="643" w:firstLineChars="200"/>
        <w:textAlignment w:val="auto"/>
        <w:outlineLvl w:val="2"/>
        <w:rPr>
          <w:rFonts w:eastAsia="楷体_GB2312"/>
          <w:b/>
          <w:sz w:val="32"/>
          <w:szCs w:val="32"/>
        </w:rPr>
      </w:pPr>
      <w:bookmarkStart w:id="32" w:name="_Toc15377216"/>
      <w:r>
        <w:rPr>
          <w:rFonts w:eastAsia="楷体_GB2312"/>
          <w:b/>
          <w:sz w:val="32"/>
          <w:szCs w:val="32"/>
        </w:rPr>
        <w:t>（一）“三公”经费财政拨款支出决算总体情况说明</w:t>
      </w:r>
      <w:bookmarkEnd w:id="32"/>
    </w:p>
    <w:p w14:paraId="2FE2017D">
      <w:pPr>
        <w:pageBreakBefore w:val="0"/>
        <w:kinsoku/>
        <w:wordWrap/>
        <w:overflowPunct/>
        <w:topLinePunct w:val="0"/>
        <w:bidi w:val="0"/>
        <w:spacing w:line="600" w:lineRule="exact"/>
        <w:ind w:firstLine="640"/>
        <w:textAlignment w:val="auto"/>
        <w:rPr>
          <w:rFonts w:eastAsia="仿宋_GB2312"/>
          <w:b/>
          <w:bCs/>
          <w:sz w:val="32"/>
          <w:szCs w:val="32"/>
        </w:rPr>
      </w:pPr>
      <w:r>
        <w:rPr>
          <w:rFonts w:hint="eastAsia" w:ascii="仿宋_GB2312" w:hAnsi="仿宋_GB2312" w:eastAsia="仿宋_GB2312" w:cs="仿宋_GB2312"/>
          <w:sz w:val="32"/>
          <w:szCs w:val="32"/>
        </w:rPr>
        <w:t>2025年度“三公”经费财政拨款支出决算为2.80万元，完成预算100%，较上年度减少0.08万元，降低2.8%。决算数与预算数持平，较2024年降低的主要原因是2025年公务用车使用电量较多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一定程度控制了公务用车的燃油费。</w:t>
      </w:r>
    </w:p>
    <w:p w14:paraId="6824A758">
      <w:pPr>
        <w:pageBreakBefore w:val="0"/>
        <w:kinsoku/>
        <w:wordWrap/>
        <w:overflowPunct/>
        <w:topLinePunct w:val="0"/>
        <w:bidi w:val="0"/>
        <w:spacing w:line="600" w:lineRule="exact"/>
        <w:ind w:firstLine="643" w:firstLineChars="200"/>
        <w:textAlignment w:val="auto"/>
        <w:outlineLvl w:val="2"/>
        <w:rPr>
          <w:rFonts w:eastAsia="楷体_GB2312"/>
          <w:b/>
          <w:sz w:val="32"/>
          <w:szCs w:val="32"/>
        </w:rPr>
      </w:pPr>
      <w:bookmarkStart w:id="33" w:name="_Toc15377217"/>
      <w:r>
        <w:rPr>
          <w:rFonts w:eastAsia="楷体_GB2312"/>
          <w:b/>
          <w:sz w:val="32"/>
          <w:szCs w:val="32"/>
        </w:rPr>
        <w:t>（二）“三公”经费财政拨款支出决算具体情况说明</w:t>
      </w:r>
      <w:bookmarkEnd w:id="33"/>
    </w:p>
    <w:p w14:paraId="6AB37E79">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2025年度“三公”经费财政拨款支出决算中，因公出国（境）费支出决算0万元，占0%；公务用车购置及运行维护费支出决算2.69万元，占96%；</w:t>
      </w:r>
      <w:bookmarkStart w:id="34" w:name="OLE_LINK1"/>
      <w:r>
        <w:rPr>
          <w:rFonts w:hint="eastAsia" w:ascii="仿宋_GB2312" w:hAnsi="仿宋_GB2312" w:eastAsia="仿宋_GB2312" w:cs="仿宋_GB2312"/>
          <w:sz w:val="32"/>
          <w:szCs w:val="32"/>
        </w:rPr>
        <w:t>公务接待费支出</w:t>
      </w:r>
      <w:bookmarkEnd w:id="34"/>
      <w:r>
        <w:rPr>
          <w:rFonts w:hint="eastAsia" w:ascii="仿宋_GB2312" w:hAnsi="仿宋_GB2312" w:eastAsia="仿宋_GB2312" w:cs="仿宋_GB2312"/>
          <w:sz w:val="32"/>
          <w:szCs w:val="32"/>
        </w:rPr>
        <w:t>决算0.11万元，占4%。具体情况如下：</w:t>
      </w:r>
    </w:p>
    <w:p w14:paraId="361240F8">
      <w:pPr>
        <w:pStyle w:val="13"/>
        <w:pageBreakBefore w:val="0"/>
        <w:kinsoku/>
        <w:wordWrap/>
        <w:overflowPunct/>
        <w:topLinePunct w:val="0"/>
        <w:bidi w:val="0"/>
        <w:spacing w:line="600" w:lineRule="exact"/>
        <w:jc w:val="both"/>
        <w:textAlignment w:val="auto"/>
        <w:rPr>
          <w:rFonts w:eastAsia="仿宋_GB2312"/>
          <w:sz w:val="32"/>
          <w:szCs w:val="32"/>
        </w:rPr>
      </w:pPr>
    </w:p>
    <w:p w14:paraId="3A699B1A">
      <w:pPr>
        <w:pStyle w:val="7"/>
      </w:pPr>
    </w:p>
    <w:p w14:paraId="0A2500CB">
      <w:pPr>
        <w:pageBreakBefore w:val="0"/>
        <w:kinsoku/>
        <w:wordWrap/>
        <w:overflowPunct/>
        <w:topLinePunct w:val="0"/>
        <w:bidi w:val="0"/>
        <w:spacing w:line="600" w:lineRule="exact"/>
        <w:ind w:firstLine="640"/>
        <w:jc w:val="center"/>
        <w:textAlignment w:val="auto"/>
        <w:rPr>
          <w:rFonts w:eastAsia="仿宋_GB2312"/>
          <w:sz w:val="32"/>
          <w:szCs w:val="32"/>
        </w:rPr>
      </w:pPr>
    </w:p>
    <w:p w14:paraId="0AE1C6BC">
      <w:pPr>
        <w:pageBreakBefore w:val="0"/>
        <w:kinsoku/>
        <w:wordWrap/>
        <w:overflowPunct/>
        <w:topLinePunct w:val="0"/>
        <w:bidi w:val="0"/>
        <w:spacing w:line="600" w:lineRule="exact"/>
        <w:ind w:firstLine="640"/>
        <w:jc w:val="center"/>
        <w:textAlignment w:val="auto"/>
        <w:rPr>
          <w:rFonts w:eastAsia="仿宋_GB2312"/>
          <w:sz w:val="32"/>
          <w:szCs w:val="32"/>
        </w:rPr>
      </w:pPr>
    </w:p>
    <w:p w14:paraId="73E6569E">
      <w:pPr>
        <w:pageBreakBefore w:val="0"/>
        <w:kinsoku/>
        <w:wordWrap/>
        <w:overflowPunct/>
        <w:topLinePunct w:val="0"/>
        <w:bidi w:val="0"/>
        <w:spacing w:line="600" w:lineRule="exact"/>
        <w:ind w:firstLine="640"/>
        <w:jc w:val="center"/>
        <w:textAlignment w:val="auto"/>
        <w:rPr>
          <w:rFonts w:eastAsia="仿宋_GB2312"/>
          <w:sz w:val="32"/>
          <w:szCs w:val="32"/>
        </w:rPr>
      </w:pPr>
    </w:p>
    <w:p w14:paraId="0FF6B1AA">
      <w:pPr>
        <w:pageBreakBefore w:val="0"/>
        <w:kinsoku/>
        <w:wordWrap/>
        <w:overflowPunct/>
        <w:topLinePunct w:val="0"/>
        <w:bidi w:val="0"/>
        <w:spacing w:line="600" w:lineRule="exact"/>
        <w:ind w:firstLine="640"/>
        <w:jc w:val="center"/>
        <w:textAlignment w:val="auto"/>
        <w:rPr>
          <w:rFonts w:eastAsia="仿宋_GB2312"/>
          <w:sz w:val="32"/>
          <w:szCs w:val="32"/>
        </w:rPr>
      </w:pPr>
    </w:p>
    <w:p w14:paraId="6B991E7C">
      <w:pPr>
        <w:pageBreakBefore w:val="0"/>
        <w:kinsoku/>
        <w:wordWrap/>
        <w:overflowPunct/>
        <w:topLinePunct w:val="0"/>
        <w:bidi w:val="0"/>
        <w:spacing w:line="600" w:lineRule="exact"/>
        <w:ind w:firstLine="640"/>
        <w:jc w:val="center"/>
        <w:textAlignment w:val="auto"/>
        <w:rPr>
          <w:rFonts w:eastAsia="仿宋_GB2312"/>
          <w:sz w:val="32"/>
          <w:szCs w:val="32"/>
        </w:rPr>
      </w:pPr>
    </w:p>
    <w:p w14:paraId="51274813">
      <w:pPr>
        <w:pageBreakBefore w:val="0"/>
        <w:kinsoku/>
        <w:wordWrap/>
        <w:overflowPunct/>
        <w:topLinePunct w:val="0"/>
        <w:bidi w:val="0"/>
        <w:spacing w:line="600" w:lineRule="exact"/>
        <w:ind w:firstLine="640"/>
        <w:jc w:val="center"/>
        <w:textAlignment w:val="auto"/>
        <w:rPr>
          <w:rFonts w:eastAsia="仿宋_GB2312"/>
          <w:sz w:val="32"/>
          <w:szCs w:val="32"/>
        </w:rPr>
      </w:pPr>
    </w:p>
    <w:p w14:paraId="63D8A87A">
      <w:pPr>
        <w:pageBreakBefore w:val="0"/>
        <w:kinsoku/>
        <w:wordWrap/>
        <w:overflowPunct/>
        <w:topLinePunct w:val="0"/>
        <w:bidi w:val="0"/>
        <w:spacing w:line="600" w:lineRule="exact"/>
        <w:ind w:firstLine="640"/>
        <w:jc w:val="center"/>
        <w:textAlignment w:val="auto"/>
        <w:rPr>
          <w:rFonts w:eastAsia="仿宋_GB2312"/>
          <w:sz w:val="32"/>
          <w:szCs w:val="32"/>
        </w:rPr>
      </w:pPr>
      <w:r>
        <w:rPr>
          <w:rFonts w:eastAsia="仿宋_GB2312"/>
          <w:sz w:val="32"/>
          <w:szCs w:val="32"/>
        </w:rPr>
        <w:drawing>
          <wp:anchor distT="0" distB="0" distL="114300" distR="114300" simplePos="0" relativeHeight="251664384" behindDoc="0" locked="0" layoutInCell="1" allowOverlap="1">
            <wp:simplePos x="0" y="0"/>
            <wp:positionH relativeFrom="column">
              <wp:posOffset>549275</wp:posOffset>
            </wp:positionH>
            <wp:positionV relativeFrom="paragraph">
              <wp:posOffset>-2510155</wp:posOffset>
            </wp:positionV>
            <wp:extent cx="4570730" cy="2797175"/>
            <wp:effectExtent l="4445" t="4445" r="15875" b="1778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768395CC">
      <w:pPr>
        <w:pageBreakBefore w:val="0"/>
        <w:kinsoku/>
        <w:wordWrap/>
        <w:overflowPunct/>
        <w:topLinePunct w:val="0"/>
        <w:bidi w:val="0"/>
        <w:spacing w:line="600" w:lineRule="exact"/>
        <w:ind w:firstLine="64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图7：“三公”经费财政拨款支出结构</w:t>
      </w:r>
    </w:p>
    <w:p w14:paraId="1C65BCB9">
      <w:pPr>
        <w:pageBreakBefore w:val="0"/>
        <w:kinsoku/>
        <w:wordWrap/>
        <w:overflowPunct/>
        <w:topLinePunct w:val="0"/>
        <w:bidi w:val="0"/>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1.因公出国（境）经费支出0万元，完成预算100%。</w:t>
      </w:r>
      <w:r>
        <w:rPr>
          <w:rFonts w:hint="eastAsia" w:ascii="仿宋_GB2312" w:hAnsi="仿宋_GB2312" w:eastAsia="仿宋_GB2312" w:cs="仿宋_GB2312"/>
          <w:sz w:val="32"/>
          <w:szCs w:val="32"/>
        </w:rPr>
        <w:t>全年安排因公出国（境）团组0次，出国（境）0人。因公出国（境）支出决算与2024年持平。</w:t>
      </w:r>
    </w:p>
    <w:p w14:paraId="20D576ED">
      <w:pPr>
        <w:pageBreakBefore w:val="0"/>
        <w:kinsoku/>
        <w:wordWrap/>
        <w:overflowPunct/>
        <w:topLinePunct w:val="0"/>
        <w:bidi w:val="0"/>
        <w:spacing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2.公务用车购置及运行维护费支出2.69万元，完成预算100%。</w:t>
      </w:r>
      <w:r>
        <w:rPr>
          <w:rFonts w:hint="eastAsia" w:ascii="仿宋_GB2312" w:hAnsi="仿宋_GB2312" w:eastAsia="仿宋_GB2312" w:cs="仿宋_GB2312"/>
          <w:sz w:val="32"/>
          <w:szCs w:val="32"/>
        </w:rPr>
        <w:t>公务用车购置及运行维护费支出决算比2024年度减少0.11万元，降低3.9%。主要原因是2025年公务用车使用电量较多一定程度控制了公务用车的燃油费</w:t>
      </w:r>
      <w:r>
        <w:rPr>
          <w:rFonts w:hint="eastAsia" w:ascii="仿宋_GB2312" w:hAnsi="仿宋_GB2312" w:eastAsia="仿宋_GB2312" w:cs="仿宋_GB2312"/>
          <w:sz w:val="32"/>
          <w:szCs w:val="32"/>
          <w:lang w:eastAsia="zh-CN"/>
        </w:rPr>
        <w:t>。</w:t>
      </w:r>
    </w:p>
    <w:p w14:paraId="25CD5DA6">
      <w:pPr>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公务用车购置支出0万元。全年按规定更新购置公务用车0辆，其中：轿车0辆、金额0万元，越野车0辆、金额0万元，载客汽车0辆、金额0万元，主要用于生态环境监测使用。截至2024年12月31日，单位共有公务用车1辆，其中：轿车1辆、越野车0辆、载客汽车0辆。</w:t>
      </w:r>
    </w:p>
    <w:p w14:paraId="0EE3A635">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公务用车运行维护费支出2.69万元。主要用于生态环境监测所需的公务用车燃料费、维修费、过路过桥费、保险费等支出。</w:t>
      </w:r>
    </w:p>
    <w:p w14:paraId="70C889ED">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3.公务接待费支出0.11万元，完成预算100%。</w:t>
      </w:r>
      <w:r>
        <w:rPr>
          <w:rFonts w:hint="eastAsia" w:ascii="仿宋_GB2312" w:hAnsi="仿宋_GB2312" w:eastAsia="仿宋_GB2312" w:cs="仿宋_GB2312"/>
          <w:sz w:val="32"/>
          <w:szCs w:val="32"/>
        </w:rPr>
        <w:t>公务接待费支出决算比2024年度增加0.03万元，增长37.5%。主要原因2025年较2024年多了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次公务接待费。</w:t>
      </w:r>
    </w:p>
    <w:p w14:paraId="25576E06">
      <w:pPr>
        <w:pageBreakBefore w:val="0"/>
        <w:kinsoku/>
        <w:wordWrap/>
        <w:overflowPunct/>
        <w:topLinePunct w:val="0"/>
        <w:bidi w:val="0"/>
        <w:spacing w:line="600" w:lineRule="exact"/>
        <w:ind w:firstLine="64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国内公务接待支出0.11万元，主要用于开展业务活动</w:t>
      </w:r>
      <w:r>
        <w:rPr>
          <w:rFonts w:hint="eastAsia" w:ascii="仿宋_GB2312" w:hAnsi="仿宋_GB2312" w:eastAsia="仿宋_GB2312" w:cs="仿宋_GB2312"/>
          <w:sz w:val="32"/>
          <w:szCs w:val="32"/>
          <w:lang w:eastAsia="zh-CN"/>
        </w:rPr>
        <w:t>所需</w:t>
      </w:r>
      <w:r>
        <w:rPr>
          <w:rFonts w:hint="eastAsia" w:ascii="仿宋_GB2312" w:hAnsi="仿宋_GB2312" w:eastAsia="仿宋_GB2312" w:cs="仿宋_GB2312"/>
          <w:sz w:val="32"/>
          <w:szCs w:val="32"/>
        </w:rPr>
        <w:t>的用餐费。国内公务接待1批次，14人次（不包括陪同人员）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共计支出0.11万元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具体内容包括：接待省综合处来盐调研“十五五”生态环境保护规划工作来宾1106元。</w:t>
      </w:r>
    </w:p>
    <w:p w14:paraId="738BEA8C">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外事接待支出0万元。</w:t>
      </w:r>
      <w:bookmarkStart w:id="35" w:name="_Toc15377218"/>
      <w:bookmarkStart w:id="36" w:name="_Toc15396610"/>
    </w:p>
    <w:p w14:paraId="70F45CAB">
      <w:pPr>
        <w:pageBreakBefore w:val="0"/>
        <w:kinsoku/>
        <w:wordWrap/>
        <w:overflowPunct/>
        <w:topLinePunct w:val="0"/>
        <w:bidi w:val="0"/>
        <w:spacing w:line="600" w:lineRule="exact"/>
        <w:ind w:firstLine="640"/>
        <w:textAlignment w:val="auto"/>
        <w:outlineLvl w:val="1"/>
        <w:rPr>
          <w:rStyle w:val="29"/>
          <w:rFonts w:ascii="Times New Roman" w:hAnsi="Times New Roman" w:eastAsia="黑体" w:cs="Times New Roman"/>
        </w:rPr>
      </w:pPr>
      <w:r>
        <w:rPr>
          <w:rFonts w:eastAsia="黑体"/>
          <w:sz w:val="32"/>
          <w:szCs w:val="32"/>
        </w:rPr>
        <w:t>八、</w:t>
      </w:r>
      <w:r>
        <w:rPr>
          <w:rStyle w:val="29"/>
          <w:rFonts w:ascii="Times New Roman" w:hAnsi="Times New Roman" w:eastAsia="黑体" w:cs="Times New Roman"/>
          <w:b w:val="0"/>
        </w:rPr>
        <w:t>政府性基金预算支出决算情况说明</w:t>
      </w:r>
      <w:bookmarkEnd w:id="35"/>
      <w:bookmarkEnd w:id="36"/>
    </w:p>
    <w:p w14:paraId="2BC47BD5">
      <w:pPr>
        <w:pageBreakBefore w:val="0"/>
        <w:kinsoku/>
        <w:wordWrap/>
        <w:overflowPunct/>
        <w:topLinePunct w:val="0"/>
        <w:bidi w:val="0"/>
        <w:spacing w:line="600" w:lineRule="exact"/>
        <w:ind w:firstLine="640"/>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2025年度政府性基金预算财政拨款支出0万元，占本年支出合计的0%。与2024年度相比，政府性基金预算财政拨款支出减少了110.17万元，减少100%。主要变动原因是2025年未使用政府性基金。</w:t>
      </w:r>
    </w:p>
    <w:p w14:paraId="05C4E747">
      <w:pPr>
        <w:pageBreakBefore w:val="0"/>
        <w:kinsoku/>
        <w:wordWrap/>
        <w:overflowPunct/>
        <w:topLinePunct w:val="0"/>
        <w:bidi w:val="0"/>
        <w:spacing w:line="600" w:lineRule="exact"/>
        <w:ind w:left="630"/>
        <w:textAlignment w:val="auto"/>
        <w:outlineLvl w:val="1"/>
        <w:rPr>
          <w:rStyle w:val="29"/>
          <w:rFonts w:ascii="Times New Roman" w:hAnsi="Times New Roman" w:eastAsia="黑体" w:cs="Times New Roman"/>
          <w:b w:val="0"/>
        </w:rPr>
      </w:pPr>
      <w:bookmarkStart w:id="37" w:name="_Toc15377219"/>
      <w:bookmarkStart w:id="38" w:name="_Toc15396611"/>
      <w:r>
        <w:rPr>
          <w:rStyle w:val="29"/>
          <w:rFonts w:ascii="Times New Roman" w:hAnsi="Times New Roman" w:eastAsia="黑体" w:cs="Times New Roman"/>
          <w:b w:val="0"/>
        </w:rPr>
        <w:t>九、国有资本经营预算支出决算情况说明</w:t>
      </w:r>
      <w:bookmarkEnd w:id="37"/>
      <w:bookmarkEnd w:id="38"/>
    </w:p>
    <w:p w14:paraId="5A48D2AC">
      <w:pPr>
        <w:pageBreakBefore w:val="0"/>
        <w:kinsoku/>
        <w:wordWrap/>
        <w:overflowPunct/>
        <w:topLinePunct w:val="0"/>
        <w:bidi w:val="0"/>
        <w:spacing w:line="600" w:lineRule="exact"/>
        <w:ind w:firstLine="640"/>
        <w:textAlignment w:val="auto"/>
        <w:rPr>
          <w:rFonts w:ascii="Times New Roman"/>
        </w:rPr>
      </w:pPr>
      <w:r>
        <w:rPr>
          <w:rFonts w:hint="eastAsia" w:ascii="仿宋_GB2312" w:hAnsi="仿宋_GB2312" w:eastAsia="仿宋_GB2312" w:cs="仿宋_GB2312"/>
          <w:sz w:val="32"/>
          <w:szCs w:val="32"/>
        </w:rPr>
        <w:t>2025年度国有资本经营预算财政拨款支出0万元，占本年支出合计的0%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与2024年持平。</w:t>
      </w:r>
    </w:p>
    <w:p w14:paraId="6B606744">
      <w:pPr>
        <w:pageBreakBefore w:val="0"/>
        <w:kinsoku/>
        <w:wordWrap/>
        <w:overflowPunct/>
        <w:topLinePunct w:val="0"/>
        <w:bidi w:val="0"/>
        <w:spacing w:line="600" w:lineRule="exact"/>
        <w:ind w:left="630"/>
        <w:textAlignment w:val="auto"/>
        <w:outlineLvl w:val="1"/>
        <w:rPr>
          <w:rStyle w:val="29"/>
          <w:rFonts w:ascii="Times New Roman" w:hAnsi="Times New Roman" w:eastAsia="黑体" w:cs="Times New Roman"/>
          <w:b w:val="0"/>
        </w:rPr>
      </w:pPr>
      <w:bookmarkStart w:id="39" w:name="_Toc15396612"/>
      <w:bookmarkStart w:id="40" w:name="_Toc15377221"/>
      <w:r>
        <w:rPr>
          <w:rStyle w:val="29"/>
          <w:rFonts w:ascii="Times New Roman" w:hAnsi="Times New Roman" w:eastAsia="黑体" w:cs="Times New Roman"/>
          <w:b w:val="0"/>
        </w:rPr>
        <w:t>十、其他重要事项的情况说明</w:t>
      </w:r>
      <w:bookmarkEnd w:id="39"/>
      <w:bookmarkEnd w:id="40"/>
    </w:p>
    <w:p w14:paraId="2AA6AC5B">
      <w:pPr>
        <w:pageBreakBefore w:val="0"/>
        <w:kinsoku/>
        <w:wordWrap/>
        <w:overflowPunct/>
        <w:topLinePunct w:val="0"/>
        <w:bidi w:val="0"/>
        <w:spacing w:line="600" w:lineRule="exact"/>
        <w:ind w:firstLine="643" w:firstLineChars="200"/>
        <w:textAlignment w:val="auto"/>
        <w:outlineLvl w:val="2"/>
        <w:rPr>
          <w:rFonts w:eastAsia="楷体_GB2312"/>
          <w:b/>
          <w:sz w:val="32"/>
          <w:szCs w:val="32"/>
        </w:rPr>
      </w:pPr>
      <w:bookmarkStart w:id="41" w:name="_Toc15377222"/>
      <w:r>
        <w:rPr>
          <w:rFonts w:eastAsia="楷体_GB2312"/>
          <w:b/>
          <w:sz w:val="32"/>
          <w:szCs w:val="32"/>
        </w:rPr>
        <w:t>（一）机关运行经费支出情况</w:t>
      </w:r>
      <w:bookmarkEnd w:id="41"/>
    </w:p>
    <w:p w14:paraId="475229C2">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2025年度，攀枝花市盐边生态环境监测站属一类公益事业单位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不产生机关运行经费。</w:t>
      </w:r>
    </w:p>
    <w:p w14:paraId="040C5A8B">
      <w:pPr>
        <w:pageBreakBefore w:val="0"/>
        <w:kinsoku/>
        <w:wordWrap/>
        <w:overflowPunct/>
        <w:topLinePunct w:val="0"/>
        <w:bidi w:val="0"/>
        <w:spacing w:line="600" w:lineRule="exact"/>
        <w:ind w:firstLine="643" w:firstLineChars="200"/>
        <w:textAlignment w:val="auto"/>
        <w:outlineLvl w:val="2"/>
        <w:rPr>
          <w:rFonts w:eastAsia="楷体_GB2312"/>
          <w:b/>
          <w:sz w:val="32"/>
          <w:szCs w:val="32"/>
        </w:rPr>
      </w:pPr>
      <w:bookmarkStart w:id="42" w:name="_Toc15377223"/>
      <w:r>
        <w:rPr>
          <w:rFonts w:eastAsia="楷体_GB2312"/>
          <w:b/>
          <w:sz w:val="32"/>
          <w:szCs w:val="32"/>
        </w:rPr>
        <w:t>（二）政府采购支出情况</w:t>
      </w:r>
      <w:bookmarkEnd w:id="42"/>
    </w:p>
    <w:p w14:paraId="1C532451">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攀枝花市盐边生态环境监测站政府采购支出总额5.86万元，其中：政府采购货物支出3.45万元、政府采购工程支出0万元、政府采购服务支出2.41万元。主要用于单位公务用车保险服务、维修保养、燃油费及办公用品采购。授予中小企业合同金额0万元，占政府采购支出总额的0%，其中：授予小微企业合同金额0万元，占政府采购支出总额的0%。</w:t>
      </w:r>
    </w:p>
    <w:p w14:paraId="3D957FBD">
      <w:pPr>
        <w:pageBreakBefore w:val="0"/>
        <w:kinsoku/>
        <w:wordWrap/>
        <w:overflowPunct/>
        <w:topLinePunct w:val="0"/>
        <w:bidi w:val="0"/>
        <w:spacing w:line="600" w:lineRule="exact"/>
        <w:ind w:firstLine="643" w:firstLineChars="200"/>
        <w:textAlignment w:val="auto"/>
        <w:outlineLvl w:val="2"/>
        <w:rPr>
          <w:rFonts w:eastAsia="楷体_GB2312"/>
          <w:b/>
          <w:sz w:val="32"/>
          <w:szCs w:val="32"/>
        </w:rPr>
      </w:pPr>
      <w:bookmarkStart w:id="43" w:name="_Toc15377224"/>
      <w:r>
        <w:rPr>
          <w:rFonts w:eastAsia="楷体_GB2312"/>
          <w:b/>
          <w:sz w:val="32"/>
          <w:szCs w:val="32"/>
        </w:rPr>
        <w:t>（三）国有资产占有使用情况</w:t>
      </w:r>
      <w:bookmarkEnd w:id="43"/>
    </w:p>
    <w:p w14:paraId="51D781A3">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2025年12月31日，攀枝花市盐边生态环境监测站共有车辆1辆，其中：主要负责人用车0辆、机要通信用车0辆、应急保障用车0辆、其他用车1辆，其他用车主要是用于生态环境监测。单价100万元（含）以上设备（不含车辆）0台（套）。</w:t>
      </w:r>
    </w:p>
    <w:p w14:paraId="7E7AC1BD">
      <w:pPr>
        <w:pageBreakBefore w:val="0"/>
        <w:kinsoku/>
        <w:wordWrap/>
        <w:overflowPunct/>
        <w:topLinePunct w:val="0"/>
        <w:bidi w:val="0"/>
        <w:spacing w:line="600" w:lineRule="exact"/>
        <w:ind w:firstLine="643" w:firstLineChars="200"/>
        <w:textAlignment w:val="auto"/>
        <w:outlineLvl w:val="2"/>
        <w:rPr>
          <w:rFonts w:eastAsia="楷体_GB2312"/>
          <w:b/>
          <w:sz w:val="32"/>
          <w:szCs w:val="32"/>
        </w:rPr>
      </w:pPr>
      <w:r>
        <w:rPr>
          <w:rFonts w:eastAsia="楷体_GB2312"/>
          <w:b/>
          <w:sz w:val="32"/>
          <w:szCs w:val="32"/>
        </w:rPr>
        <w:t>（四）预算绩效管理情况</w:t>
      </w:r>
    </w:p>
    <w:p w14:paraId="0D928F02">
      <w:pPr>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攀枝花市盐边生态环境监测站在2025年度预算编制阶段，组织对县级生态环境监测机构标准化建设、盐边生态环境监测站水环境监测工作专项经费2个项目开展了预算事前绩效评估，编制了绩效目标；预算执行过程中开展了绩效监控。组织对2个项目开展绩效自评，绩效自评表详见第四部分附件。</w:t>
      </w:r>
    </w:p>
    <w:p w14:paraId="50296A9F">
      <w:pPr>
        <w:pStyle w:val="13"/>
        <w:pageBreakBefore w:val="0"/>
        <w:kinsoku/>
        <w:wordWrap/>
        <w:overflowPunct/>
        <w:topLinePunct w:val="0"/>
        <w:bidi w:val="0"/>
        <w:spacing w:line="600" w:lineRule="exact"/>
        <w:textAlignment w:val="auto"/>
      </w:pPr>
    </w:p>
    <w:p w14:paraId="284E7EFC">
      <w:pPr>
        <w:pStyle w:val="7"/>
        <w:pageBreakBefore w:val="0"/>
        <w:kinsoku/>
        <w:wordWrap/>
        <w:overflowPunct/>
        <w:topLinePunct w:val="0"/>
        <w:bidi w:val="0"/>
        <w:spacing w:line="600" w:lineRule="exact"/>
        <w:ind w:left="420"/>
        <w:textAlignment w:val="auto"/>
      </w:pPr>
    </w:p>
    <w:p w14:paraId="79F0B4EF">
      <w:pPr>
        <w:pStyle w:val="13"/>
        <w:pageBreakBefore w:val="0"/>
        <w:kinsoku/>
        <w:wordWrap/>
        <w:overflowPunct/>
        <w:topLinePunct w:val="0"/>
        <w:bidi w:val="0"/>
        <w:spacing w:line="600" w:lineRule="exact"/>
        <w:textAlignment w:val="auto"/>
      </w:pPr>
    </w:p>
    <w:p w14:paraId="0B2DC824">
      <w:pPr>
        <w:pageBreakBefore w:val="0"/>
        <w:kinsoku/>
        <w:wordWrap/>
        <w:overflowPunct/>
        <w:topLinePunct w:val="0"/>
        <w:bidi w:val="0"/>
        <w:spacing w:line="600" w:lineRule="exact"/>
        <w:jc w:val="center"/>
        <w:textAlignment w:val="auto"/>
        <w:outlineLvl w:val="0"/>
        <w:rPr>
          <w:rFonts w:eastAsia="黑体"/>
          <w:sz w:val="44"/>
          <w:szCs w:val="44"/>
        </w:rPr>
      </w:pPr>
      <w:bookmarkStart w:id="44" w:name="_Toc15396613"/>
      <w:bookmarkStart w:id="45" w:name="_Toc15377225"/>
    </w:p>
    <w:p w14:paraId="51BB691C">
      <w:pPr>
        <w:pageBreakBefore w:val="0"/>
        <w:kinsoku/>
        <w:wordWrap/>
        <w:overflowPunct/>
        <w:topLinePunct w:val="0"/>
        <w:bidi w:val="0"/>
        <w:spacing w:line="600" w:lineRule="exact"/>
        <w:jc w:val="center"/>
        <w:textAlignment w:val="auto"/>
        <w:outlineLvl w:val="0"/>
        <w:rPr>
          <w:rFonts w:eastAsia="黑体"/>
          <w:sz w:val="44"/>
          <w:szCs w:val="44"/>
        </w:rPr>
      </w:pPr>
      <w:r>
        <w:rPr>
          <w:rFonts w:eastAsia="黑体"/>
          <w:sz w:val="44"/>
          <w:szCs w:val="44"/>
        </w:rPr>
        <w:t>第三部分  名词解释</w:t>
      </w:r>
      <w:bookmarkEnd w:id="44"/>
      <w:bookmarkEnd w:id="45"/>
    </w:p>
    <w:p w14:paraId="1B4F1EAA">
      <w:pPr>
        <w:pageBreakBefore w:val="0"/>
        <w:kinsoku/>
        <w:wordWrap/>
        <w:overflowPunct/>
        <w:topLinePunct w:val="0"/>
        <w:bidi w:val="0"/>
        <w:spacing w:line="600" w:lineRule="exact"/>
        <w:jc w:val="left"/>
        <w:textAlignment w:val="auto"/>
        <w:rPr>
          <w:b/>
          <w:sz w:val="44"/>
          <w:szCs w:val="44"/>
        </w:rPr>
      </w:pPr>
    </w:p>
    <w:p w14:paraId="48716A28">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bookmarkStart w:id="46" w:name="_Toc15377226"/>
      <w:r>
        <w:rPr>
          <w:rFonts w:hint="eastAsia" w:ascii="仿宋_GB2312" w:hAnsi="仿宋_GB2312" w:eastAsia="仿宋_GB2312" w:cs="仿宋_GB2312"/>
          <w:color w:val="auto"/>
          <w:sz w:val="32"/>
          <w:szCs w:val="32"/>
        </w:rPr>
        <w:t>1.财政拨款收入：指单位从同级财政部门取得的财政预算资金。</w:t>
      </w:r>
    </w:p>
    <w:p w14:paraId="5F70A2F0">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2.其他收入：指单位取得的除上述收入以外的各项收入。主要是仁和区财政安排资金等。 </w:t>
      </w:r>
    </w:p>
    <w:p w14:paraId="50A5E939">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3.年初结转和结余：指以前年度尚未完成、结转到本年按有关规定继续使用的资金。 </w:t>
      </w:r>
    </w:p>
    <w:p w14:paraId="1E937CDD">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4.年末结转和结余：指单位按有关规定结转到下年或以后年度继续使用的资金。</w:t>
      </w:r>
    </w:p>
    <w:p w14:paraId="288E00B6">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5.社会保障和就业（类）行政事业单位养老（款）事业单位离退休（项）：指事业开支的离退休经费。</w:t>
      </w:r>
    </w:p>
    <w:p w14:paraId="3176DC43">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6.社会保障和就业（类）行政事业单位养老（款）机关事业单位基本养老保险缴费支出（项）：指机关事业单位实施养老保险制度由单位缴纳的基本养老保险支出。</w:t>
      </w:r>
    </w:p>
    <w:p w14:paraId="4745A406">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7.卫生健康（类）行政事业单位医疗（款）事业单位医疗（项）：指财政部门安排事业单位基本医疗保险缴费经费。</w:t>
      </w:r>
    </w:p>
    <w:p w14:paraId="2D76B768">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8.卫生健康（类）行政事业单位医疗（款）公务员医疗补助（项）：指财政部门集中安排的公务员医疗补助经费。</w:t>
      </w:r>
    </w:p>
    <w:p w14:paraId="2888ABC0">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9.卫生健康（类）行政事业单位医疗（款）其他行政事业单位医疗支出（项）：指财政部门安排用于事业单位补充个人医疗补助支出。</w:t>
      </w:r>
    </w:p>
    <w:p w14:paraId="3E1B946C">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节能环保（类）环境保护管理事务（款）其他环境保护管理事务支出（项）：指除行政运行、一般行政管理事务、环境保护宣传、环境保护法规规划及标准、环境国际合作及履约、环境保护行政许可以外其他用于环境保护管理事务方面的支出。</w:t>
      </w:r>
    </w:p>
    <w:p w14:paraId="6B74E2AC">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11.住房保障（类）住房改革（款）住房公积金（项）：指行政事业单位按人力资源社会保障部、财政部规定的基本工资和津贴补贴以及规定比例为职工缴纳的住房公积金。</w:t>
      </w:r>
    </w:p>
    <w:p w14:paraId="16D4D230">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12.基本支出：指为保障机构正常运转、完成日常工作任务而发生的人员支出和公用支出。</w:t>
      </w:r>
    </w:p>
    <w:p w14:paraId="3D505C5D">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13.项目支出：指在基本支出之外为完成特定行政任务和事业发展目标所发生的支出。 </w:t>
      </w:r>
    </w:p>
    <w:p w14:paraId="590B2E1F">
      <w:pPr>
        <w:pStyle w:val="26"/>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CBFC50B">
      <w:pPr>
        <w:pageBreakBefore w:val="0"/>
        <w:kinsoku/>
        <w:wordWrap/>
        <w:overflowPunct/>
        <w:topLinePunct w:val="0"/>
        <w:bidi w:val="0"/>
        <w:spacing w:line="600" w:lineRule="exact"/>
        <w:jc w:val="center"/>
        <w:textAlignment w:val="auto"/>
        <w:rPr>
          <w:rStyle w:val="28"/>
          <w:rFonts w:eastAsia="黑体"/>
          <w:b w:val="0"/>
        </w:rPr>
      </w:pPr>
      <w:r>
        <w:rPr>
          <w:rFonts w:eastAsia="仿宋_GB2312"/>
          <w:sz w:val="32"/>
          <w:szCs w:val="32"/>
        </w:rPr>
        <w:br w:type="page"/>
      </w:r>
      <w:bookmarkStart w:id="47" w:name="_Toc15396614"/>
      <w:r>
        <w:rPr>
          <w:rFonts w:eastAsia="黑体"/>
          <w:sz w:val="44"/>
          <w:szCs w:val="44"/>
        </w:rPr>
        <w:t>第四部分  附件</w:t>
      </w:r>
      <w:bookmarkEnd w:id="47"/>
    </w:p>
    <w:p w14:paraId="720CF5BA">
      <w:pPr>
        <w:pageBreakBefore w:val="0"/>
        <w:kinsoku/>
        <w:wordWrap/>
        <w:overflowPunct/>
        <w:topLinePunct w:val="0"/>
        <w:bidi w:val="0"/>
        <w:spacing w:line="600" w:lineRule="exact"/>
        <w:jc w:val="left"/>
        <w:textAlignment w:val="auto"/>
        <w:outlineLvl w:val="0"/>
        <w:rPr>
          <w:rFonts w:eastAsia="黑体"/>
          <w:color w:val="FF0000"/>
          <w:sz w:val="32"/>
          <w:szCs w:val="32"/>
        </w:rPr>
      </w:pPr>
    </w:p>
    <w:p w14:paraId="3B042C85">
      <w:pPr>
        <w:pStyle w:val="34"/>
        <w:pageBreakBefore w:val="0"/>
        <w:kinsoku/>
        <w:wordWrap/>
        <w:overflowPunct/>
        <w:topLinePunct w:val="0"/>
        <w:bidi w:val="0"/>
        <w:spacing w:line="600" w:lineRule="exact"/>
        <w:jc w:val="center"/>
        <w:textAlignment w:val="auto"/>
        <w:rPr>
          <w:rFonts w:hint="eastAsia" w:ascii="仿宋_GB2312" w:hAnsi="仿宋_GB2312" w:eastAsia="仿宋_GB2312" w:cs="仿宋_GB2312"/>
          <w:color w:val="auto"/>
          <w:kern w:val="2"/>
          <w:sz w:val="44"/>
          <w:szCs w:val="44"/>
          <w:lang w:val="en-US"/>
        </w:rPr>
      </w:pPr>
      <w:r>
        <w:rPr>
          <w:rFonts w:hint="eastAsia" w:ascii="仿宋_GB2312" w:hAnsi="仿宋_GB2312" w:eastAsia="仿宋_GB2312" w:cs="仿宋_GB2312"/>
          <w:color w:val="auto"/>
          <w:sz w:val="32"/>
          <w:szCs w:val="32"/>
          <w:lang w:val="en-US"/>
        </w:rPr>
        <w:t>部门预算项目支出绩效自评表（2025年度）见附件</w:t>
      </w:r>
    </w:p>
    <w:p w14:paraId="225E7035">
      <w:pPr>
        <w:pageBreakBefore w:val="0"/>
        <w:kinsoku/>
        <w:wordWrap/>
        <w:overflowPunct/>
        <w:topLinePunct w:val="0"/>
        <w:bidi w:val="0"/>
        <w:spacing w:line="600" w:lineRule="exact"/>
        <w:ind w:firstLine="640"/>
        <w:textAlignment w:val="auto"/>
        <w:rPr>
          <w:rFonts w:eastAsia="仿宋_GB2312"/>
          <w:kern w:val="0"/>
          <w:sz w:val="32"/>
          <w:szCs w:val="32"/>
        </w:rPr>
      </w:pPr>
      <w:bookmarkStart w:id="48" w:name="_Toc15396618"/>
      <w:r>
        <w:rPr>
          <w:rFonts w:eastAsia="仿宋_GB2312"/>
          <w:kern w:val="0"/>
          <w:sz w:val="32"/>
          <w:szCs w:val="32"/>
        </w:rPr>
        <w:br w:type="page"/>
      </w:r>
    </w:p>
    <w:p w14:paraId="05998C9A">
      <w:pPr>
        <w:pageBreakBefore w:val="0"/>
        <w:widowControl/>
        <w:kinsoku/>
        <w:wordWrap/>
        <w:overflowPunct/>
        <w:topLinePunct w:val="0"/>
        <w:bidi w:val="0"/>
        <w:spacing w:line="600" w:lineRule="exact"/>
        <w:jc w:val="center"/>
        <w:textAlignment w:val="auto"/>
        <w:rPr>
          <w:rFonts w:eastAsia="仿宋"/>
        </w:rPr>
      </w:pPr>
      <w:r>
        <w:rPr>
          <w:rFonts w:eastAsia="黑体"/>
          <w:sz w:val="44"/>
          <w:szCs w:val="44"/>
        </w:rPr>
        <w:t>第</w:t>
      </w:r>
      <w:r>
        <w:rPr>
          <w:rStyle w:val="28"/>
          <w:rFonts w:eastAsia="黑体"/>
          <w:b w:val="0"/>
        </w:rPr>
        <w:t>五部分 附表</w:t>
      </w:r>
      <w:bookmarkEnd w:id="46"/>
      <w:bookmarkEnd w:id="48"/>
      <w:bookmarkStart w:id="49" w:name="_Toc15396619"/>
    </w:p>
    <w:p w14:paraId="71F1320D">
      <w:pPr>
        <w:pStyle w:val="14"/>
        <w:pageBreakBefore w:val="0"/>
        <w:kinsoku/>
        <w:wordWrap/>
        <w:overflowPunct/>
        <w:topLinePunct w:val="0"/>
        <w:bidi w:val="0"/>
        <w:adjustRightInd w:val="0"/>
        <w:snapToGrid w:val="0"/>
        <w:spacing w:line="600" w:lineRule="exact"/>
        <w:jc w:val="left"/>
        <w:textAlignment w:val="auto"/>
        <w:rPr>
          <w:rFonts w:eastAsia="仿宋_GB2312"/>
          <w:sz w:val="32"/>
          <w:szCs w:val="32"/>
        </w:rPr>
      </w:pPr>
    </w:p>
    <w:p w14:paraId="115D2C26">
      <w:pPr>
        <w:pStyle w:val="14"/>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bookmarkEnd w:id="49"/>
    </w:p>
    <w:p w14:paraId="6577307C">
      <w:pPr>
        <w:pStyle w:val="14"/>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50" w:name="_Toc15396620"/>
      <w:r>
        <w:rPr>
          <w:rFonts w:hint="eastAsia" w:ascii="仿宋_GB2312" w:hAnsi="仿宋_GB2312" w:eastAsia="仿宋_GB2312" w:cs="仿宋_GB2312"/>
          <w:sz w:val="32"/>
          <w:szCs w:val="32"/>
        </w:rPr>
        <w:t>二、收入决算表</w:t>
      </w:r>
      <w:bookmarkEnd w:id="50"/>
    </w:p>
    <w:p w14:paraId="090272FC">
      <w:pPr>
        <w:pStyle w:val="14"/>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51" w:name="_Toc15396621"/>
      <w:r>
        <w:rPr>
          <w:rFonts w:hint="eastAsia" w:ascii="仿宋_GB2312" w:hAnsi="仿宋_GB2312" w:eastAsia="仿宋_GB2312" w:cs="仿宋_GB2312"/>
          <w:sz w:val="32"/>
          <w:szCs w:val="32"/>
        </w:rPr>
        <w:t>三、支出决算表</w:t>
      </w:r>
      <w:bookmarkEnd w:id="51"/>
    </w:p>
    <w:p w14:paraId="56DA42AC">
      <w:pPr>
        <w:pStyle w:val="14"/>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52" w:name="_Toc15396622"/>
      <w:r>
        <w:rPr>
          <w:rFonts w:hint="eastAsia" w:ascii="仿宋_GB2312" w:hAnsi="仿宋_GB2312" w:eastAsia="仿宋_GB2312" w:cs="仿宋_GB2312"/>
          <w:sz w:val="32"/>
          <w:szCs w:val="32"/>
        </w:rPr>
        <w:t>四、财政拨款收入支出决算总表</w:t>
      </w:r>
      <w:bookmarkEnd w:id="52"/>
    </w:p>
    <w:p w14:paraId="3BEFB09B">
      <w:pPr>
        <w:pStyle w:val="14"/>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53" w:name="_Toc15396623"/>
      <w:r>
        <w:rPr>
          <w:rFonts w:hint="eastAsia" w:ascii="仿宋_GB2312" w:hAnsi="仿宋_GB2312" w:eastAsia="仿宋_GB2312" w:cs="仿宋_GB2312"/>
          <w:sz w:val="32"/>
          <w:szCs w:val="32"/>
        </w:rPr>
        <w:t>五、财政拨款支出决算明细表</w:t>
      </w:r>
      <w:bookmarkEnd w:id="53"/>
      <w:bookmarkStart w:id="54" w:name="_Toc15396624"/>
    </w:p>
    <w:p w14:paraId="2BABA0B5">
      <w:pPr>
        <w:pStyle w:val="14"/>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bookmarkEnd w:id="54"/>
    </w:p>
    <w:p w14:paraId="0C36DF9F">
      <w:pPr>
        <w:pStyle w:val="14"/>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55" w:name="_Toc15396625"/>
      <w:r>
        <w:rPr>
          <w:rFonts w:hint="eastAsia" w:ascii="仿宋_GB2312" w:hAnsi="仿宋_GB2312" w:eastAsia="仿宋_GB2312" w:cs="仿宋_GB2312"/>
          <w:sz w:val="32"/>
          <w:szCs w:val="32"/>
        </w:rPr>
        <w:t>七、一般公共预算财政拨款支出决算明细表</w:t>
      </w:r>
      <w:bookmarkEnd w:id="55"/>
    </w:p>
    <w:p w14:paraId="2050744B">
      <w:pPr>
        <w:pStyle w:val="14"/>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56" w:name="_Toc15396626"/>
      <w:r>
        <w:rPr>
          <w:rFonts w:hint="eastAsia" w:ascii="仿宋_GB2312" w:hAnsi="仿宋_GB2312" w:eastAsia="仿宋_GB2312" w:cs="仿宋_GB2312"/>
          <w:sz w:val="32"/>
          <w:szCs w:val="32"/>
        </w:rPr>
        <w:t>八、一般公共预算财政拨款基本支出决算表</w:t>
      </w:r>
      <w:bookmarkEnd w:id="56"/>
    </w:p>
    <w:p w14:paraId="484453E1">
      <w:pPr>
        <w:pStyle w:val="14"/>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57" w:name="_Toc15396627"/>
      <w:r>
        <w:rPr>
          <w:rFonts w:hint="eastAsia" w:ascii="仿宋_GB2312" w:hAnsi="仿宋_GB2312" w:eastAsia="仿宋_GB2312" w:cs="仿宋_GB2312"/>
          <w:sz w:val="32"/>
          <w:szCs w:val="32"/>
        </w:rPr>
        <w:t>九、一般公共预算财政拨款项目支出决算表</w:t>
      </w:r>
      <w:bookmarkEnd w:id="57"/>
    </w:p>
    <w:p w14:paraId="56763FA8">
      <w:pPr>
        <w:pStyle w:val="14"/>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58" w:name="_Toc15396628"/>
      <w:r>
        <w:rPr>
          <w:rFonts w:hint="eastAsia" w:ascii="仿宋_GB2312" w:hAnsi="仿宋_GB2312" w:eastAsia="仿宋_GB2312" w:cs="仿宋_GB2312"/>
          <w:sz w:val="32"/>
          <w:szCs w:val="32"/>
        </w:rPr>
        <w:t>十、</w:t>
      </w:r>
      <w:bookmarkEnd w:id="58"/>
      <w:r>
        <w:rPr>
          <w:rFonts w:hint="eastAsia" w:ascii="仿宋_GB2312" w:hAnsi="仿宋_GB2312" w:eastAsia="仿宋_GB2312" w:cs="仿宋_GB2312"/>
          <w:sz w:val="32"/>
          <w:szCs w:val="32"/>
        </w:rPr>
        <w:t>政府性基金预算财政拨款收入支出决算表</w:t>
      </w:r>
    </w:p>
    <w:p w14:paraId="24863B40">
      <w:pPr>
        <w:pStyle w:val="14"/>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59" w:name="_Toc15396629"/>
      <w:r>
        <w:rPr>
          <w:rFonts w:hint="eastAsia" w:ascii="仿宋_GB2312" w:hAnsi="仿宋_GB2312" w:eastAsia="仿宋_GB2312" w:cs="仿宋_GB2312"/>
          <w:sz w:val="32"/>
          <w:szCs w:val="32"/>
        </w:rPr>
        <w:t>十一、</w:t>
      </w:r>
      <w:bookmarkEnd w:id="59"/>
      <w:r>
        <w:rPr>
          <w:rFonts w:hint="eastAsia" w:ascii="仿宋_GB2312" w:hAnsi="仿宋_GB2312" w:eastAsia="仿宋_GB2312" w:cs="仿宋_GB2312"/>
          <w:sz w:val="32"/>
          <w:szCs w:val="32"/>
        </w:rPr>
        <w:t>国有资本经营预算财政拨款收入支出决算表</w:t>
      </w:r>
    </w:p>
    <w:p w14:paraId="0207E835">
      <w:pPr>
        <w:pStyle w:val="14"/>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60" w:name="_Toc15396630"/>
      <w:r>
        <w:rPr>
          <w:rFonts w:hint="eastAsia" w:ascii="仿宋_GB2312" w:hAnsi="仿宋_GB2312" w:eastAsia="仿宋_GB2312" w:cs="仿宋_GB2312"/>
          <w:sz w:val="32"/>
          <w:szCs w:val="32"/>
        </w:rPr>
        <w:t>十二、</w:t>
      </w:r>
      <w:bookmarkEnd w:id="60"/>
      <w:r>
        <w:rPr>
          <w:rFonts w:hint="eastAsia" w:ascii="仿宋_GB2312" w:hAnsi="仿宋_GB2312" w:eastAsia="仿宋_GB2312" w:cs="仿宋_GB2312"/>
          <w:sz w:val="32"/>
          <w:szCs w:val="32"/>
        </w:rPr>
        <w:t>国有资本经营预算财政拨款支出决算表</w:t>
      </w:r>
    </w:p>
    <w:p w14:paraId="132557D5">
      <w:pPr>
        <w:pStyle w:val="14"/>
        <w:pageBreakBefore w:val="0"/>
        <w:kinsoku/>
        <w:wordWrap/>
        <w:overflowPunct/>
        <w:topLinePunct w:val="0"/>
        <w:bidi w:val="0"/>
        <w:adjustRightInd w:val="0"/>
        <w:snapToGrid w:val="0"/>
        <w:spacing w:line="600" w:lineRule="exact"/>
        <w:jc w:val="left"/>
        <w:textAlignment w:val="auto"/>
        <w:rPr>
          <w:rFonts w:hint="eastAsia" w:ascii="仿宋_GB2312" w:hAnsi="仿宋_GB2312" w:eastAsia="仿宋_GB2312" w:cs="仿宋_GB2312"/>
          <w:sz w:val="32"/>
          <w:szCs w:val="32"/>
        </w:rPr>
      </w:pPr>
      <w:bookmarkStart w:id="61" w:name="_Toc15396631"/>
      <w:r>
        <w:rPr>
          <w:rFonts w:hint="eastAsia" w:ascii="仿宋_GB2312" w:hAnsi="仿宋_GB2312" w:eastAsia="仿宋_GB2312" w:cs="仿宋_GB2312"/>
          <w:sz w:val="32"/>
          <w:szCs w:val="32"/>
        </w:rPr>
        <w:t>十三、</w:t>
      </w:r>
      <w:bookmarkEnd w:id="61"/>
      <w:r>
        <w:rPr>
          <w:rFonts w:hint="eastAsia" w:ascii="仿宋_GB2312" w:hAnsi="仿宋_GB2312" w:eastAsia="仿宋_GB2312" w:cs="仿宋_GB2312"/>
          <w:sz w:val="32"/>
          <w:szCs w:val="32"/>
        </w:rPr>
        <w:t>财政拨款“三公”经费支出决算表</w:t>
      </w:r>
    </w:p>
    <w:p w14:paraId="1D075331">
      <w:pPr>
        <w:pageBreakBefore w:val="0"/>
        <w:kinsoku/>
        <w:wordWrap/>
        <w:overflowPunct/>
        <w:topLinePunct w:val="0"/>
        <w:bidi w:val="0"/>
        <w:spacing w:line="600" w:lineRule="exact"/>
        <w:textAlignment w:val="auto"/>
      </w:pPr>
    </w:p>
    <w:sectPr>
      <w:footerReference r:id="rId9"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859B9">
    <w:pPr>
      <w:pStyle w:val="10"/>
      <w:jc w:val="center"/>
    </w:pPr>
  </w:p>
  <w:p w14:paraId="5C2DBC8A">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430B9">
    <w:pPr>
      <w:pStyle w:val="10"/>
      <w:jc w:val="center"/>
    </w:pPr>
  </w:p>
  <w:p w14:paraId="5BA36436">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1ACCE">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AE9A0">
    <w:pPr>
      <w:pStyle w:val="1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CBA7C">
    <w:pPr>
      <w:pStyle w:val="10"/>
    </w:pPr>
    <w:r>
      <mc:AlternateContent>
        <mc:Choice Requires="wps">
          <w:drawing>
            <wp:anchor distT="0" distB="0" distL="114300" distR="114300" simplePos="0" relativeHeight="251665408" behindDoc="0" locked="0" layoutInCell="1" allowOverlap="1">
              <wp:simplePos x="0" y="0"/>
              <wp:positionH relativeFrom="margin">
                <wp:align>inside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AD9162">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35AD9162">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66DCC">
    <w:pPr>
      <w:pStyle w:val="10"/>
      <w:jc w:val="center"/>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3896D4">
                          <w:pPr>
                            <w:pStyle w:val="10"/>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643896D4">
                    <w:pPr>
                      <w:pStyle w:val="10"/>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601D9">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78376"/>
    <w:multiLevelType w:val="singleLevel"/>
    <w:tmpl w:val="99B7837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255D"/>
    <w:rsid w:val="0007571B"/>
    <w:rsid w:val="000768F2"/>
    <w:rsid w:val="0009184B"/>
    <w:rsid w:val="00094236"/>
    <w:rsid w:val="0009593C"/>
    <w:rsid w:val="00097322"/>
    <w:rsid w:val="000A6A92"/>
    <w:rsid w:val="000B047F"/>
    <w:rsid w:val="000B5923"/>
    <w:rsid w:val="000B5A48"/>
    <w:rsid w:val="000B644C"/>
    <w:rsid w:val="000B6FF3"/>
    <w:rsid w:val="000C3467"/>
    <w:rsid w:val="000C3CA6"/>
    <w:rsid w:val="000D1267"/>
    <w:rsid w:val="000D1D50"/>
    <w:rsid w:val="000D5782"/>
    <w:rsid w:val="000E6613"/>
    <w:rsid w:val="000E7119"/>
    <w:rsid w:val="00114E9B"/>
    <w:rsid w:val="00142216"/>
    <w:rsid w:val="00144D6A"/>
    <w:rsid w:val="0014729F"/>
    <w:rsid w:val="00157BAB"/>
    <w:rsid w:val="00160E10"/>
    <w:rsid w:val="001654D1"/>
    <w:rsid w:val="00174518"/>
    <w:rsid w:val="0018106D"/>
    <w:rsid w:val="001877A7"/>
    <w:rsid w:val="00191536"/>
    <w:rsid w:val="00196687"/>
    <w:rsid w:val="001C0962"/>
    <w:rsid w:val="001D4D90"/>
    <w:rsid w:val="001D7531"/>
    <w:rsid w:val="001E737D"/>
    <w:rsid w:val="001F0592"/>
    <w:rsid w:val="001F7506"/>
    <w:rsid w:val="002006CD"/>
    <w:rsid w:val="00202B36"/>
    <w:rsid w:val="00204B7A"/>
    <w:rsid w:val="00204CDE"/>
    <w:rsid w:val="0021101A"/>
    <w:rsid w:val="002114B4"/>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034C2"/>
    <w:rsid w:val="00313D05"/>
    <w:rsid w:val="003216A9"/>
    <w:rsid w:val="00335A74"/>
    <w:rsid w:val="00337FE0"/>
    <w:rsid w:val="0036561B"/>
    <w:rsid w:val="0037013F"/>
    <w:rsid w:val="00380C92"/>
    <w:rsid w:val="003A484F"/>
    <w:rsid w:val="003A4883"/>
    <w:rsid w:val="003B0BE0"/>
    <w:rsid w:val="003B0C1B"/>
    <w:rsid w:val="003B688C"/>
    <w:rsid w:val="003C0291"/>
    <w:rsid w:val="003C39AE"/>
    <w:rsid w:val="003C7B60"/>
    <w:rsid w:val="003D0C0F"/>
    <w:rsid w:val="003D1FB2"/>
    <w:rsid w:val="003D5950"/>
    <w:rsid w:val="003D66DA"/>
    <w:rsid w:val="003E1310"/>
    <w:rsid w:val="003E6F55"/>
    <w:rsid w:val="00406254"/>
    <w:rsid w:val="004223DE"/>
    <w:rsid w:val="00434489"/>
    <w:rsid w:val="00437085"/>
    <w:rsid w:val="00443880"/>
    <w:rsid w:val="004464F4"/>
    <w:rsid w:val="0047135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26F59"/>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1563F"/>
    <w:rsid w:val="0062270A"/>
    <w:rsid w:val="00622830"/>
    <w:rsid w:val="00623DA0"/>
    <w:rsid w:val="00630AEF"/>
    <w:rsid w:val="006325F8"/>
    <w:rsid w:val="00633463"/>
    <w:rsid w:val="00634C9A"/>
    <w:rsid w:val="006440E4"/>
    <w:rsid w:val="0065155B"/>
    <w:rsid w:val="0066343B"/>
    <w:rsid w:val="00664777"/>
    <w:rsid w:val="006748A4"/>
    <w:rsid w:val="00681A31"/>
    <w:rsid w:val="00683E73"/>
    <w:rsid w:val="006967D8"/>
    <w:rsid w:val="006A3141"/>
    <w:rsid w:val="006A5E34"/>
    <w:rsid w:val="006B2422"/>
    <w:rsid w:val="006B2B9A"/>
    <w:rsid w:val="006C1937"/>
    <w:rsid w:val="006C7714"/>
    <w:rsid w:val="006F020C"/>
    <w:rsid w:val="007127B7"/>
    <w:rsid w:val="0071372F"/>
    <w:rsid w:val="0071798E"/>
    <w:rsid w:val="007416B6"/>
    <w:rsid w:val="00746F48"/>
    <w:rsid w:val="00751086"/>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17D5A"/>
    <w:rsid w:val="00821FD4"/>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63B"/>
    <w:rsid w:val="009C2A4B"/>
    <w:rsid w:val="009C2E98"/>
    <w:rsid w:val="009D3447"/>
    <w:rsid w:val="009D4711"/>
    <w:rsid w:val="009F1185"/>
    <w:rsid w:val="009F18CD"/>
    <w:rsid w:val="009F2A13"/>
    <w:rsid w:val="009F7527"/>
    <w:rsid w:val="00A04EB0"/>
    <w:rsid w:val="00A10C89"/>
    <w:rsid w:val="00A13CC1"/>
    <w:rsid w:val="00A16847"/>
    <w:rsid w:val="00A16A5D"/>
    <w:rsid w:val="00A237D8"/>
    <w:rsid w:val="00A268C4"/>
    <w:rsid w:val="00A307CD"/>
    <w:rsid w:val="00A331C8"/>
    <w:rsid w:val="00A3520F"/>
    <w:rsid w:val="00A40A00"/>
    <w:rsid w:val="00A4142F"/>
    <w:rsid w:val="00A422EB"/>
    <w:rsid w:val="00A45BB7"/>
    <w:rsid w:val="00A56DF2"/>
    <w:rsid w:val="00A56E6E"/>
    <w:rsid w:val="00A67AB5"/>
    <w:rsid w:val="00A733B2"/>
    <w:rsid w:val="00A741C2"/>
    <w:rsid w:val="00A86087"/>
    <w:rsid w:val="00A91760"/>
    <w:rsid w:val="00A93B00"/>
    <w:rsid w:val="00A93C21"/>
    <w:rsid w:val="00AB64C9"/>
    <w:rsid w:val="00AC3C6A"/>
    <w:rsid w:val="00AD5620"/>
    <w:rsid w:val="00AD656B"/>
    <w:rsid w:val="00AD7C1B"/>
    <w:rsid w:val="00AE16BA"/>
    <w:rsid w:val="00AE1EBE"/>
    <w:rsid w:val="00AF0013"/>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371E"/>
    <w:rsid w:val="00BC5361"/>
    <w:rsid w:val="00BC5460"/>
    <w:rsid w:val="00BC6B50"/>
    <w:rsid w:val="00BD0E25"/>
    <w:rsid w:val="00BF1FD4"/>
    <w:rsid w:val="00BF5BD6"/>
    <w:rsid w:val="00C03E31"/>
    <w:rsid w:val="00C33E72"/>
    <w:rsid w:val="00C354B2"/>
    <w:rsid w:val="00C35554"/>
    <w:rsid w:val="00C42709"/>
    <w:rsid w:val="00C4518D"/>
    <w:rsid w:val="00C533CC"/>
    <w:rsid w:val="00C5751C"/>
    <w:rsid w:val="00C61BFC"/>
    <w:rsid w:val="00C62B85"/>
    <w:rsid w:val="00C65438"/>
    <w:rsid w:val="00C87FD8"/>
    <w:rsid w:val="00C91381"/>
    <w:rsid w:val="00C91CBB"/>
    <w:rsid w:val="00C91EEA"/>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6B32"/>
    <w:rsid w:val="00DD73B7"/>
    <w:rsid w:val="00DF28BC"/>
    <w:rsid w:val="00DF34B9"/>
    <w:rsid w:val="00E01053"/>
    <w:rsid w:val="00E07ACF"/>
    <w:rsid w:val="00E331A1"/>
    <w:rsid w:val="00E33202"/>
    <w:rsid w:val="00E336A9"/>
    <w:rsid w:val="00E338E1"/>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3F70"/>
    <w:rsid w:val="00F05438"/>
    <w:rsid w:val="00F1361C"/>
    <w:rsid w:val="00F156F0"/>
    <w:rsid w:val="00F160C7"/>
    <w:rsid w:val="00F2408F"/>
    <w:rsid w:val="00F240E9"/>
    <w:rsid w:val="00F36D8F"/>
    <w:rsid w:val="00F417B1"/>
    <w:rsid w:val="00F45853"/>
    <w:rsid w:val="00F602DF"/>
    <w:rsid w:val="00F754A1"/>
    <w:rsid w:val="00F81FD9"/>
    <w:rsid w:val="00F83C4F"/>
    <w:rsid w:val="00F841AA"/>
    <w:rsid w:val="00F84A94"/>
    <w:rsid w:val="00F87E96"/>
    <w:rsid w:val="00FA23E8"/>
    <w:rsid w:val="00FD3CC1"/>
    <w:rsid w:val="00FF1E02"/>
    <w:rsid w:val="00FF30B4"/>
    <w:rsid w:val="012A5EC2"/>
    <w:rsid w:val="015975B8"/>
    <w:rsid w:val="02FEBE30"/>
    <w:rsid w:val="04916F1E"/>
    <w:rsid w:val="061E35DE"/>
    <w:rsid w:val="066E0107"/>
    <w:rsid w:val="06D1416E"/>
    <w:rsid w:val="07996F6E"/>
    <w:rsid w:val="07DFD8BA"/>
    <w:rsid w:val="08030015"/>
    <w:rsid w:val="09867E8F"/>
    <w:rsid w:val="0A2032A3"/>
    <w:rsid w:val="0AA81E94"/>
    <w:rsid w:val="0ADB2D95"/>
    <w:rsid w:val="0CA8290A"/>
    <w:rsid w:val="0D35B1ED"/>
    <w:rsid w:val="0E1B6795"/>
    <w:rsid w:val="0E254B6B"/>
    <w:rsid w:val="0E4B2404"/>
    <w:rsid w:val="0F98263C"/>
    <w:rsid w:val="101860EC"/>
    <w:rsid w:val="101F47CC"/>
    <w:rsid w:val="10C055FF"/>
    <w:rsid w:val="11205FB1"/>
    <w:rsid w:val="11694EBD"/>
    <w:rsid w:val="11772AA4"/>
    <w:rsid w:val="118107EC"/>
    <w:rsid w:val="12E24EE2"/>
    <w:rsid w:val="13D50BC4"/>
    <w:rsid w:val="14B17F78"/>
    <w:rsid w:val="165E0673"/>
    <w:rsid w:val="16811147"/>
    <w:rsid w:val="16B831D5"/>
    <w:rsid w:val="16BB723D"/>
    <w:rsid w:val="17E50567"/>
    <w:rsid w:val="186504BB"/>
    <w:rsid w:val="19A445FC"/>
    <w:rsid w:val="1B673F45"/>
    <w:rsid w:val="1BE8440E"/>
    <w:rsid w:val="1D155CEE"/>
    <w:rsid w:val="1D1638FE"/>
    <w:rsid w:val="1D7645A8"/>
    <w:rsid w:val="1E312DEB"/>
    <w:rsid w:val="1E740ACF"/>
    <w:rsid w:val="1FEDFE99"/>
    <w:rsid w:val="1FF35744"/>
    <w:rsid w:val="1FF6BC77"/>
    <w:rsid w:val="2186353C"/>
    <w:rsid w:val="23860B96"/>
    <w:rsid w:val="240371BF"/>
    <w:rsid w:val="244F3473"/>
    <w:rsid w:val="24C97D99"/>
    <w:rsid w:val="25A718F0"/>
    <w:rsid w:val="25BB59F6"/>
    <w:rsid w:val="260F557C"/>
    <w:rsid w:val="26970054"/>
    <w:rsid w:val="26F9AB71"/>
    <w:rsid w:val="272DCA03"/>
    <w:rsid w:val="278261D2"/>
    <w:rsid w:val="281408E2"/>
    <w:rsid w:val="28416DD0"/>
    <w:rsid w:val="28BF3D2D"/>
    <w:rsid w:val="29551580"/>
    <w:rsid w:val="29AA3A3B"/>
    <w:rsid w:val="29FD04D3"/>
    <w:rsid w:val="2BFF7BC6"/>
    <w:rsid w:val="2C8A61B5"/>
    <w:rsid w:val="2D3B75CB"/>
    <w:rsid w:val="2DF04E50"/>
    <w:rsid w:val="2E586DFA"/>
    <w:rsid w:val="2F0037BE"/>
    <w:rsid w:val="2F040D46"/>
    <w:rsid w:val="2F6B035B"/>
    <w:rsid w:val="2FAE5751"/>
    <w:rsid w:val="2FB1A395"/>
    <w:rsid w:val="2FB96B00"/>
    <w:rsid w:val="2FD9A7D8"/>
    <w:rsid w:val="2FDBF714"/>
    <w:rsid w:val="3009443F"/>
    <w:rsid w:val="30AB6865"/>
    <w:rsid w:val="319F7F4E"/>
    <w:rsid w:val="32BD1EF1"/>
    <w:rsid w:val="3304709D"/>
    <w:rsid w:val="33377C67"/>
    <w:rsid w:val="33A773CB"/>
    <w:rsid w:val="33EF54EA"/>
    <w:rsid w:val="349D6851"/>
    <w:rsid w:val="35775AA4"/>
    <w:rsid w:val="36AA5135"/>
    <w:rsid w:val="36BE0DA7"/>
    <w:rsid w:val="376B6AA6"/>
    <w:rsid w:val="376D39B2"/>
    <w:rsid w:val="37E16F03"/>
    <w:rsid w:val="37F53A3B"/>
    <w:rsid w:val="389B6C89"/>
    <w:rsid w:val="38D469F0"/>
    <w:rsid w:val="38FC716B"/>
    <w:rsid w:val="39627CCD"/>
    <w:rsid w:val="39760B43"/>
    <w:rsid w:val="397BAF1F"/>
    <w:rsid w:val="3A4941B4"/>
    <w:rsid w:val="3AB017D1"/>
    <w:rsid w:val="3AB79AF3"/>
    <w:rsid w:val="3AD6C01D"/>
    <w:rsid w:val="3AE834C0"/>
    <w:rsid w:val="3B7EF35A"/>
    <w:rsid w:val="3B9FDB6C"/>
    <w:rsid w:val="3BF5BC2F"/>
    <w:rsid w:val="3BFECF1F"/>
    <w:rsid w:val="3CBB01ED"/>
    <w:rsid w:val="3CEBA265"/>
    <w:rsid w:val="3D98207C"/>
    <w:rsid w:val="3DEE7CF3"/>
    <w:rsid w:val="3E740A63"/>
    <w:rsid w:val="3E78745D"/>
    <w:rsid w:val="3EE17838"/>
    <w:rsid w:val="3EF5805B"/>
    <w:rsid w:val="3F55381A"/>
    <w:rsid w:val="3F7F7599"/>
    <w:rsid w:val="3FF4CAE0"/>
    <w:rsid w:val="3FF7B227"/>
    <w:rsid w:val="448E7F39"/>
    <w:rsid w:val="44E268DA"/>
    <w:rsid w:val="450D13D7"/>
    <w:rsid w:val="45506656"/>
    <w:rsid w:val="486A6C7A"/>
    <w:rsid w:val="4A627F82"/>
    <w:rsid w:val="4AEB7B5F"/>
    <w:rsid w:val="4B0E749A"/>
    <w:rsid w:val="4B2477C4"/>
    <w:rsid w:val="4B4F25DA"/>
    <w:rsid w:val="4BE068DB"/>
    <w:rsid w:val="4D577224"/>
    <w:rsid w:val="4DBF1CEB"/>
    <w:rsid w:val="4DF0007C"/>
    <w:rsid w:val="4EAB630A"/>
    <w:rsid w:val="4ECE2238"/>
    <w:rsid w:val="4F833267"/>
    <w:rsid w:val="4FE9BD67"/>
    <w:rsid w:val="4FFB052F"/>
    <w:rsid w:val="531E46CB"/>
    <w:rsid w:val="537E6D0A"/>
    <w:rsid w:val="53F74C96"/>
    <w:rsid w:val="55170BA8"/>
    <w:rsid w:val="553218C9"/>
    <w:rsid w:val="567E1AA5"/>
    <w:rsid w:val="56E2A7FA"/>
    <w:rsid w:val="56E47B74"/>
    <w:rsid w:val="57175D52"/>
    <w:rsid w:val="57BD3DD4"/>
    <w:rsid w:val="57F57322"/>
    <w:rsid w:val="596B3CF9"/>
    <w:rsid w:val="59DD1EE3"/>
    <w:rsid w:val="5AB91D67"/>
    <w:rsid w:val="5AF92295"/>
    <w:rsid w:val="5B250254"/>
    <w:rsid w:val="5BDD79E6"/>
    <w:rsid w:val="5BDF8D19"/>
    <w:rsid w:val="5BF561CA"/>
    <w:rsid w:val="5BFF5DFC"/>
    <w:rsid w:val="5C8F14A0"/>
    <w:rsid w:val="5CD71FC4"/>
    <w:rsid w:val="5D1C2A41"/>
    <w:rsid w:val="5D1F11B5"/>
    <w:rsid w:val="5D695134"/>
    <w:rsid w:val="5DAE1B18"/>
    <w:rsid w:val="5DE7D9E5"/>
    <w:rsid w:val="5DFB0136"/>
    <w:rsid w:val="5EBE870F"/>
    <w:rsid w:val="5ECEC941"/>
    <w:rsid w:val="5F417106"/>
    <w:rsid w:val="5FA7E2EE"/>
    <w:rsid w:val="5FBF9FF3"/>
    <w:rsid w:val="5FCD4E2C"/>
    <w:rsid w:val="5FEF394A"/>
    <w:rsid w:val="5FF67715"/>
    <w:rsid w:val="5FFE4887"/>
    <w:rsid w:val="627C2BA0"/>
    <w:rsid w:val="62BF3928"/>
    <w:rsid w:val="63B3701E"/>
    <w:rsid w:val="63DFE5D4"/>
    <w:rsid w:val="647F5392"/>
    <w:rsid w:val="6526EF20"/>
    <w:rsid w:val="65E66580"/>
    <w:rsid w:val="664B1D71"/>
    <w:rsid w:val="664B4E8E"/>
    <w:rsid w:val="67223F23"/>
    <w:rsid w:val="67277B67"/>
    <w:rsid w:val="67AA3209"/>
    <w:rsid w:val="67F4410D"/>
    <w:rsid w:val="69650411"/>
    <w:rsid w:val="698D0931"/>
    <w:rsid w:val="6A7FE5F3"/>
    <w:rsid w:val="6B053271"/>
    <w:rsid w:val="6BDD78B3"/>
    <w:rsid w:val="6C4A05C8"/>
    <w:rsid w:val="6C8742B8"/>
    <w:rsid w:val="6DBF5E93"/>
    <w:rsid w:val="6DFF077E"/>
    <w:rsid w:val="6E714EF0"/>
    <w:rsid w:val="6E7E3605"/>
    <w:rsid w:val="6E7FDCC7"/>
    <w:rsid w:val="6ED6A62E"/>
    <w:rsid w:val="6EDD608E"/>
    <w:rsid w:val="6EE00B15"/>
    <w:rsid w:val="6EEFE9AF"/>
    <w:rsid w:val="6EFCA5AF"/>
    <w:rsid w:val="6F6FB3EB"/>
    <w:rsid w:val="6F8731EA"/>
    <w:rsid w:val="6FCE6052"/>
    <w:rsid w:val="6FD57C00"/>
    <w:rsid w:val="6FE1662E"/>
    <w:rsid w:val="6FE9FCE2"/>
    <w:rsid w:val="6FEFFFD8"/>
    <w:rsid w:val="6FF5CC65"/>
    <w:rsid w:val="6FFB47EC"/>
    <w:rsid w:val="6FFF034A"/>
    <w:rsid w:val="70484440"/>
    <w:rsid w:val="712A28F1"/>
    <w:rsid w:val="715831D8"/>
    <w:rsid w:val="715C0E4B"/>
    <w:rsid w:val="716F37AC"/>
    <w:rsid w:val="71992E7C"/>
    <w:rsid w:val="71FBE70D"/>
    <w:rsid w:val="71FF4ED9"/>
    <w:rsid w:val="72233669"/>
    <w:rsid w:val="72734D90"/>
    <w:rsid w:val="73160E6D"/>
    <w:rsid w:val="7332FE48"/>
    <w:rsid w:val="73AB61DA"/>
    <w:rsid w:val="73AD73D5"/>
    <w:rsid w:val="73B6EB34"/>
    <w:rsid w:val="73FA497D"/>
    <w:rsid w:val="744731E5"/>
    <w:rsid w:val="74BBD01D"/>
    <w:rsid w:val="74ED5379"/>
    <w:rsid w:val="75DEEEC2"/>
    <w:rsid w:val="75E32345"/>
    <w:rsid w:val="764719D3"/>
    <w:rsid w:val="76E3355F"/>
    <w:rsid w:val="76FF1ABF"/>
    <w:rsid w:val="76FF5125"/>
    <w:rsid w:val="77487081"/>
    <w:rsid w:val="776F6FFA"/>
    <w:rsid w:val="777A7F64"/>
    <w:rsid w:val="778769C8"/>
    <w:rsid w:val="77A75DCA"/>
    <w:rsid w:val="77BA3164"/>
    <w:rsid w:val="77DC22F5"/>
    <w:rsid w:val="77FE3CFB"/>
    <w:rsid w:val="783E271A"/>
    <w:rsid w:val="78616DE9"/>
    <w:rsid w:val="78CEF73D"/>
    <w:rsid w:val="78E875D7"/>
    <w:rsid w:val="79086DAD"/>
    <w:rsid w:val="796DAE6D"/>
    <w:rsid w:val="79D7FD79"/>
    <w:rsid w:val="79EE5BA4"/>
    <w:rsid w:val="79F071FB"/>
    <w:rsid w:val="79FFECDE"/>
    <w:rsid w:val="7A894339"/>
    <w:rsid w:val="7A9E6CC4"/>
    <w:rsid w:val="7AD284E8"/>
    <w:rsid w:val="7AFF7572"/>
    <w:rsid w:val="7B6C7DFB"/>
    <w:rsid w:val="7BBFBED0"/>
    <w:rsid w:val="7BC3E394"/>
    <w:rsid w:val="7BFF2014"/>
    <w:rsid w:val="7BFFF3DF"/>
    <w:rsid w:val="7C0B68EE"/>
    <w:rsid w:val="7C1F3737"/>
    <w:rsid w:val="7C5E5B58"/>
    <w:rsid w:val="7CBFC87B"/>
    <w:rsid w:val="7CFE0F48"/>
    <w:rsid w:val="7D272ABC"/>
    <w:rsid w:val="7D7EC23E"/>
    <w:rsid w:val="7E8ADEBF"/>
    <w:rsid w:val="7EEF11D3"/>
    <w:rsid w:val="7EFE4840"/>
    <w:rsid w:val="7F0971A6"/>
    <w:rsid w:val="7F1D62E7"/>
    <w:rsid w:val="7F3B21B1"/>
    <w:rsid w:val="7F3F679B"/>
    <w:rsid w:val="7F4FC4EF"/>
    <w:rsid w:val="7F5E4D54"/>
    <w:rsid w:val="7F6E0135"/>
    <w:rsid w:val="7F79F205"/>
    <w:rsid w:val="7F9B7436"/>
    <w:rsid w:val="7F9F98A9"/>
    <w:rsid w:val="7FA30C79"/>
    <w:rsid w:val="7FA79C44"/>
    <w:rsid w:val="7FAF3945"/>
    <w:rsid w:val="7FAF8ABF"/>
    <w:rsid w:val="7FB7269E"/>
    <w:rsid w:val="7FBF0C94"/>
    <w:rsid w:val="7FBF0EC6"/>
    <w:rsid w:val="7FC96657"/>
    <w:rsid w:val="7FCE00B5"/>
    <w:rsid w:val="7FDA9588"/>
    <w:rsid w:val="7FDF220F"/>
    <w:rsid w:val="7FEDC5F7"/>
    <w:rsid w:val="7FEDD9DE"/>
    <w:rsid w:val="7FF5890D"/>
    <w:rsid w:val="7FF93490"/>
    <w:rsid w:val="7FFBA06F"/>
    <w:rsid w:val="8FA4743D"/>
    <w:rsid w:val="99FF2014"/>
    <w:rsid w:val="A6DD0D7F"/>
    <w:rsid w:val="AB7DFDA1"/>
    <w:rsid w:val="ACFF4FBB"/>
    <w:rsid w:val="ADC6F725"/>
    <w:rsid w:val="AF6FE993"/>
    <w:rsid w:val="AFDCD3EB"/>
    <w:rsid w:val="B44F24BA"/>
    <w:rsid w:val="B5772F85"/>
    <w:rsid w:val="B7CF06AB"/>
    <w:rsid w:val="B7CFA926"/>
    <w:rsid w:val="B7F8786B"/>
    <w:rsid w:val="BABB6AA1"/>
    <w:rsid w:val="BB2F4199"/>
    <w:rsid w:val="BBBE665A"/>
    <w:rsid w:val="BCFFB442"/>
    <w:rsid w:val="BD079C78"/>
    <w:rsid w:val="BD733540"/>
    <w:rsid w:val="BF3735D5"/>
    <w:rsid w:val="BF7F09AC"/>
    <w:rsid w:val="BFBD232E"/>
    <w:rsid w:val="BFD475C3"/>
    <w:rsid w:val="BFDE5EA6"/>
    <w:rsid w:val="BFDF79A3"/>
    <w:rsid w:val="BFE63625"/>
    <w:rsid w:val="BFEE50FA"/>
    <w:rsid w:val="C9F52CC0"/>
    <w:rsid w:val="CF6FC6F3"/>
    <w:rsid w:val="CFD3D3D7"/>
    <w:rsid w:val="CFDF1009"/>
    <w:rsid w:val="D7D7B16A"/>
    <w:rsid w:val="D8D6DB89"/>
    <w:rsid w:val="DA772D39"/>
    <w:rsid w:val="DB6F4CAB"/>
    <w:rsid w:val="DB777682"/>
    <w:rsid w:val="DD1FB521"/>
    <w:rsid w:val="DD75B75E"/>
    <w:rsid w:val="DDFF6EB9"/>
    <w:rsid w:val="DDFFAB4A"/>
    <w:rsid w:val="DEEF7ABD"/>
    <w:rsid w:val="DEFBFEAE"/>
    <w:rsid w:val="DEFFFA15"/>
    <w:rsid w:val="DF1F3B80"/>
    <w:rsid w:val="DF6F9789"/>
    <w:rsid w:val="DFA7BCA4"/>
    <w:rsid w:val="DFB57DF9"/>
    <w:rsid w:val="DFBC478E"/>
    <w:rsid w:val="DFE9BE81"/>
    <w:rsid w:val="DFFFA9E8"/>
    <w:rsid w:val="E5F4E9DC"/>
    <w:rsid w:val="E6EF4C06"/>
    <w:rsid w:val="E70FE695"/>
    <w:rsid w:val="EB2E368B"/>
    <w:rsid w:val="ECFED1BC"/>
    <w:rsid w:val="ED1D69BB"/>
    <w:rsid w:val="ED7FD312"/>
    <w:rsid w:val="EF2E1AC6"/>
    <w:rsid w:val="EF53993F"/>
    <w:rsid w:val="EF58869D"/>
    <w:rsid w:val="EF6FD633"/>
    <w:rsid w:val="EFBFB2F4"/>
    <w:rsid w:val="EFBFFA21"/>
    <w:rsid w:val="EFD6BC57"/>
    <w:rsid w:val="F2BEBCB8"/>
    <w:rsid w:val="F35F8023"/>
    <w:rsid w:val="F36FB518"/>
    <w:rsid w:val="F37742AA"/>
    <w:rsid w:val="F3DA9CD0"/>
    <w:rsid w:val="F3DE1A04"/>
    <w:rsid w:val="F3F722E5"/>
    <w:rsid w:val="F4FBCD07"/>
    <w:rsid w:val="F73F97A0"/>
    <w:rsid w:val="F745930C"/>
    <w:rsid w:val="F7F5169D"/>
    <w:rsid w:val="FA5F1E70"/>
    <w:rsid w:val="FA5FDB97"/>
    <w:rsid w:val="FA7F82EB"/>
    <w:rsid w:val="FB7F486A"/>
    <w:rsid w:val="FBEFD0B4"/>
    <w:rsid w:val="FBFF5B2E"/>
    <w:rsid w:val="FD7FFE2B"/>
    <w:rsid w:val="FDEE196B"/>
    <w:rsid w:val="FDFE6575"/>
    <w:rsid w:val="FE37CB4A"/>
    <w:rsid w:val="FEDFDDC2"/>
    <w:rsid w:val="FEED32F6"/>
    <w:rsid w:val="FEF781DD"/>
    <w:rsid w:val="FF3F711C"/>
    <w:rsid w:val="FF3F7E3F"/>
    <w:rsid w:val="FF5FDA5B"/>
    <w:rsid w:val="FF6FB945"/>
    <w:rsid w:val="FFBA12D7"/>
    <w:rsid w:val="FFBFEE6C"/>
    <w:rsid w:val="FFCBD314"/>
    <w:rsid w:val="FFDFF91C"/>
    <w:rsid w:val="FFDFFAEE"/>
    <w:rsid w:val="FFEF6777"/>
    <w:rsid w:val="FFEFAD58"/>
    <w:rsid w:val="FFF9B57B"/>
    <w:rsid w:val="FFFBCA49"/>
    <w:rsid w:val="FFFD61D9"/>
    <w:rsid w:val="FFFD8F59"/>
    <w:rsid w:val="FFFDA43E"/>
    <w:rsid w:val="FFFE4663"/>
    <w:rsid w:val="FFFF2BB1"/>
    <w:rsid w:val="FFFF6BC9"/>
    <w:rsid w:val="FFFF95FE"/>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2"/>
    <w:qFormat/>
    <w:uiPriority w:val="9"/>
    <w:rPr>
      <w:rFonts w:ascii="Times New Roman" w:hAnsi="Times New Roman"/>
      <w:b/>
      <w:bCs/>
      <w:kern w:val="44"/>
      <w:sz w:val="44"/>
      <w:szCs w:val="44"/>
    </w:rPr>
  </w:style>
  <w:style w:type="character" w:customStyle="1" w:styleId="29">
    <w:name w:val="标题 2 Char"/>
    <w:basedOn w:val="16"/>
    <w:link w:val="3"/>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4"/>
    <w:qFormat/>
    <w:uiPriority w:val="9"/>
    <w:rPr>
      <w:rFonts w:ascii="Times New Roman" w:hAnsi="Times New Roman"/>
      <w:b/>
      <w:bCs/>
      <w:kern w:val="2"/>
      <w:sz w:val="32"/>
      <w:szCs w:val="32"/>
    </w:rPr>
  </w:style>
  <w:style w:type="paragraph" w:customStyle="1" w:styleId="33">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500" b="1" i="0" u="none" strike="noStrike" kern="1200" baseline="0">
                <a:solidFill>
                  <a:schemeClr val="dk1">
                    <a:lumMod val="75000"/>
                    <a:lumOff val="25000"/>
                  </a:schemeClr>
                </a:solidFill>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defRPr>
            </a:pPr>
            <a:r>
              <a:rPr lang="en-US" altLang="zh-CN" sz="1300" baseline="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rPr>
              <a:t>2024</a:t>
            </a:r>
            <a:r>
              <a:rPr lang="zh-CN" altLang="en-US" sz="1300" baseline="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rPr>
              <a:t>年、</a:t>
            </a:r>
            <a:r>
              <a:rPr lang="en-US" altLang="zh-CN" sz="1300" baseline="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rPr>
              <a:t>2025</a:t>
            </a:r>
            <a:r>
              <a:rPr lang="zh-CN" altLang="en-US" sz="1300" baseline="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rPr>
              <a:t>年收入、支出决算数（万元）         </a:t>
            </a:r>
            <a:r>
              <a:rPr lang="zh-CN" altLang="en-US" sz="150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rPr>
              <a:t>       </a:t>
            </a:r>
            <a:endParaRPr lang="zh-CN" altLang="en-US" sz="1500">
              <a:latin typeface="仿宋_GB2312" panose="02010609030101010101" pitchFamily="3" charset="-122"/>
              <a:ea typeface="仿宋_GB2312" panose="02010609030101010101" pitchFamily="3" charset="-122"/>
              <a:cs typeface="仿宋_GB2312" panose="02010609030101010101" pitchFamily="3" charset="-122"/>
              <a:sym typeface="仿宋_GB2312" panose="02010609030101010101" pitchFamily="3" charset="-122"/>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收入数</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dk1">
                          <a:lumMod val="50000"/>
                          <a:lumOff val="50000"/>
                        </a:schemeClr>
                      </a:solidFill>
                      <a:prstDash val="solid"/>
                      <a:round/>
                    </a:ln>
                    <a:effectLst/>
                  </c:spPr>
                </c15:leaderLines>
              </c:ext>
            </c:extLst>
          </c:dLbls>
          <c:cat>
            <c:strRef>
              <c:f>Sheet1!$A$2:$A$3</c:f>
              <c:strCache>
                <c:ptCount val="2"/>
                <c:pt idx="0">
                  <c:v>2024年</c:v>
                </c:pt>
                <c:pt idx="1">
                  <c:v>2025年</c:v>
                </c:pt>
              </c:strCache>
            </c:strRef>
          </c:cat>
          <c:val>
            <c:numRef>
              <c:f>Sheet1!$B$2:$B$3</c:f>
              <c:numCache>
                <c:formatCode>General</c:formatCode>
                <c:ptCount val="2"/>
                <c:pt idx="0">
                  <c:v>398.68</c:v>
                </c:pt>
                <c:pt idx="1">
                  <c:v>273.83</c:v>
                </c:pt>
              </c:numCache>
            </c:numRef>
          </c:val>
        </c:ser>
        <c:ser>
          <c:idx val="1"/>
          <c:order val="1"/>
          <c:tx>
            <c:strRef>
              <c:f>Sheet1!$C$1</c:f>
              <c:strCache>
                <c:ptCount val="1"/>
                <c:pt idx="0">
                  <c:v>支出数</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dk1">
                          <a:lumMod val="50000"/>
                          <a:lumOff val="50000"/>
                        </a:schemeClr>
                      </a:solidFill>
                      <a:prstDash val="solid"/>
                      <a:round/>
                    </a:ln>
                    <a:effectLst/>
                  </c:spPr>
                </c15:leaderLines>
              </c:ext>
            </c:extLst>
          </c:dLbls>
          <c:cat>
            <c:strRef>
              <c:f>Sheet1!$A$2:$A$3</c:f>
              <c:strCache>
                <c:ptCount val="2"/>
                <c:pt idx="0">
                  <c:v>2024年</c:v>
                </c:pt>
                <c:pt idx="1">
                  <c:v>2025年</c:v>
                </c:pt>
              </c:strCache>
            </c:strRef>
          </c:cat>
          <c:val>
            <c:numRef>
              <c:f>Sheet1!$C$2:$C$3</c:f>
              <c:numCache>
                <c:formatCode>General</c:formatCode>
                <c:ptCount val="2"/>
                <c:pt idx="0">
                  <c:v>398.68</c:v>
                </c:pt>
                <c:pt idx="1">
                  <c:v>273.83</c:v>
                </c:pt>
              </c:numCache>
            </c:numRef>
          </c:val>
        </c:ser>
        <c:ser>
          <c:idx val="2"/>
          <c:order val="2"/>
          <c:tx>
            <c:strRef>
              <c:f>Sheet1!#REF!</c:f>
              <c:strCache>
                <c:ptCount val="1"/>
                <c:pt idx="0">
                  <c:v/>
                </c:pt>
              </c:strCache>
            </c:strRef>
          </c:tx>
          <c:spPr>
            <a:solidFill>
              <a:schemeClr val="accent3">
                <a:alpha val="85000"/>
              </a:schemeClr>
            </a:solidFill>
            <a:ln w="9525" cap="flat" cmpd="sng" algn="ctr">
              <a:solidFill>
                <a:schemeClr val="lt1">
                  <a:alpha val="50000"/>
                </a:schemeClr>
              </a:solidFill>
              <a:round/>
            </a:ln>
            <a:effectLst/>
          </c:spPr>
          <c:invertIfNegative val="0"/>
          <c:dLbls>
            <c:delete val="1"/>
          </c:dLbls>
          <c:cat>
            <c:strRef>
              <c:f>Sheet1!$A$2:$A$3</c:f>
              <c:strCache>
                <c:ptCount val="2"/>
                <c:pt idx="0">
                  <c:v>2024年</c:v>
                </c:pt>
                <c:pt idx="1">
                  <c:v>2025年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65"/>
        <c:axId val="229060992"/>
        <c:axId val="229062528"/>
      </c:barChart>
      <c:catAx>
        <c:axId val="229060992"/>
        <c:scaling>
          <c:orientation val="minMax"/>
        </c:scaling>
        <c:delete val="0"/>
        <c:axPos val="b"/>
        <c:majorTickMark val="none"/>
        <c:minorTickMark val="none"/>
        <c:tickLblPos val="nextTo"/>
        <c:spPr>
          <a:noFill/>
          <a:ln w="19050" cap="flat" cmpd="sng" algn="ctr">
            <a:solidFill>
              <a:schemeClr val="dk1">
                <a:lumMod val="75000"/>
                <a:lumOff val="25000"/>
              </a:schemeClr>
            </a:solidFill>
            <a:prstDash val="solid"/>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229062528"/>
        <c:crosses val="autoZero"/>
        <c:auto val="1"/>
        <c:lblAlgn val="ctr"/>
        <c:lblOffset val="100"/>
        <c:noMultiLvlLbl val="0"/>
      </c:catAx>
      <c:valAx>
        <c:axId val="22906252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prstDash val="solid"/>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29060992"/>
        <c:crosses val="autoZero"/>
        <c:crossBetween val="between"/>
      </c:valAx>
      <c:spPr>
        <a:noFill/>
        <a:ln>
          <a:noFill/>
        </a:ln>
        <a:effectLst/>
      </c:spPr>
    </c:plotArea>
    <c:legend>
      <c:legendPos val="b"/>
      <c:legendEntry>
        <c:idx val="2"/>
        <c:delete val="1"/>
      </c:legendEntry>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cfeb3e79-fc42-45b8-979d-6234bb19646d}"/>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金额（万元）</c:v>
                </c:pt>
              </c:strCache>
            </c:strRef>
          </c:tx>
          <c:spPr>
            <a:scene3d>
              <a:camera prst="orthographicFront"/>
              <a:lightRig rig="threePt" dir="t"/>
            </a:scene3d>
            <a:sp3d contourW="9525"/>
          </c:spPr>
          <c:explosion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contourW="9525"/>
            </c:spPr>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contourW="9525"/>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1"/>
                <c:pt idx="0">
                  <c:v>一般公共预算财政拨款收入</c:v>
                </c:pt>
              </c:strCache>
            </c:strRef>
          </c:cat>
          <c:val>
            <c:numRef>
              <c:f>Sheet1!$B$2:$B$3</c:f>
              <c:numCache>
                <c:formatCode>General</c:formatCode>
                <c:ptCount val="2"/>
                <c:pt idx="0">
                  <c:v>273.83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393c1ad8-6d5e-4433-90df-ada1efe1d769}"/>
      </c:ext>
    </c:extLst>
  </c:chart>
  <c:spPr>
    <a:pattFill prst="dkDnDiag">
      <a:fgClr>
        <a:schemeClr val="lt1">
          <a:lumMod val="95000"/>
        </a:schemeClr>
      </a:fgClr>
      <a:bgClr>
        <a:schemeClr val="lt1"/>
      </a:bgClr>
    </a:patt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金额（万元）</c:v>
                </c:pt>
              </c:strCache>
            </c:strRef>
          </c:tx>
          <c:spPr>
            <a:scene3d>
              <a:camera prst="orthographicFront"/>
              <a:lightRig rig="threePt" dir="t"/>
            </a:scene3d>
            <a:sp3d contourW="19050"/>
          </c:spPr>
          <c:explosion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c:spPr>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238.17</c:v>
                </c:pt>
                <c:pt idx="1">
                  <c:v>35.66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e8cdb8be-31d8-48d4-a126-f1ae1850dda6}"/>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rPr lang="en-US" altLang="zh-CN" sz="1500">
                <a:latin typeface="仿宋_GB2312" panose="02010609030101010101" pitchFamily="3" charset="-122"/>
                <a:ea typeface="仿宋_GB2312" panose="02010609030101010101" pitchFamily="3" charset="-122"/>
                <a:cs typeface="仿宋_GB2312" panose="02010609030101010101" pitchFamily="3" charset="-122"/>
              </a:rPr>
              <a:t>2024</a:t>
            </a:r>
            <a:r>
              <a:rPr lang="zh-CN" altLang="en-US" sz="1500">
                <a:latin typeface="仿宋_GB2312" panose="02010609030101010101" pitchFamily="3" charset="-122"/>
                <a:ea typeface="仿宋_GB2312" panose="02010609030101010101" pitchFamily="3" charset="-122"/>
                <a:cs typeface="仿宋_GB2312" panose="02010609030101010101" pitchFamily="3" charset="-122"/>
              </a:rPr>
              <a:t>年、</a:t>
            </a:r>
            <a:r>
              <a:rPr lang="en-US" altLang="zh-CN" sz="1500">
                <a:latin typeface="仿宋_GB2312" panose="02010609030101010101" pitchFamily="3" charset="-122"/>
                <a:ea typeface="仿宋_GB2312" panose="02010609030101010101" pitchFamily="3" charset="-122"/>
                <a:cs typeface="仿宋_GB2312" panose="02010609030101010101" pitchFamily="3" charset="-122"/>
              </a:rPr>
              <a:t>2025</a:t>
            </a:r>
            <a:r>
              <a:rPr lang="zh-CN" altLang="en-US" sz="1500">
                <a:latin typeface="仿宋_GB2312" panose="02010609030101010101" pitchFamily="3" charset="-122"/>
                <a:ea typeface="仿宋_GB2312" panose="02010609030101010101" pitchFamily="3" charset="-122"/>
                <a:cs typeface="仿宋_GB2312" panose="02010609030101010101" pitchFamily="3" charset="-122"/>
              </a:rPr>
              <a:t>年财政拨款收入支出数（万元）</a:t>
            </a:r>
            <a:endParaRPr lang="zh-CN" altLang="en-US" sz="1500">
              <a:latin typeface="仿宋_GB2312" panose="02010609030101010101" pitchFamily="3" charset="-122"/>
              <a:ea typeface="仿宋_GB2312" panose="02010609030101010101" pitchFamily="3" charset="-122"/>
              <a:cs typeface="仿宋_GB2312" panose="02010609030101010101" pitchFamily="3" charset="-122"/>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财政拨款收入</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Sheet1!$A$2:$A$3</c:f>
              <c:strCache>
                <c:ptCount val="2"/>
                <c:pt idx="0">
                  <c:v>2024年</c:v>
                </c:pt>
                <c:pt idx="1">
                  <c:v>2025年</c:v>
                </c:pt>
              </c:strCache>
            </c:strRef>
          </c:cat>
          <c:val>
            <c:numRef>
              <c:f>Sheet1!$B$2:$B$3</c:f>
              <c:numCache>
                <c:formatCode>General</c:formatCode>
                <c:ptCount val="2"/>
                <c:pt idx="0">
                  <c:v>398.68</c:v>
                </c:pt>
                <c:pt idx="1">
                  <c:v>273.83</c:v>
                </c:pt>
              </c:numCache>
            </c:numRef>
          </c:val>
        </c:ser>
        <c:ser>
          <c:idx val="1"/>
          <c:order val="1"/>
          <c:tx>
            <c:strRef>
              <c:f>Sheet1!$C$1</c:f>
              <c:strCache>
                <c:ptCount val="1"/>
                <c:pt idx="0">
                  <c:v>财政拨款支出</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Sheet1!$A$2:$A$3</c:f>
              <c:strCache>
                <c:ptCount val="2"/>
                <c:pt idx="0">
                  <c:v>2024年</c:v>
                </c:pt>
                <c:pt idx="1">
                  <c:v>2025年</c:v>
                </c:pt>
              </c:strCache>
            </c:strRef>
          </c:cat>
          <c:val>
            <c:numRef>
              <c:f>Sheet1!$C$2:$C$3</c:f>
              <c:numCache>
                <c:formatCode>General</c:formatCode>
                <c:ptCount val="2"/>
                <c:pt idx="0">
                  <c:v>398.68</c:v>
                </c:pt>
                <c:pt idx="1">
                  <c:v>273.83</c:v>
                </c:pt>
              </c:numCache>
            </c:numRef>
          </c:val>
        </c:ser>
        <c:ser>
          <c:idx val="2"/>
          <c:order val="2"/>
          <c:tx>
            <c:strRef>
              <c:f>Sheet1!#REF!</c:f>
              <c:strCache>
                <c:ptCount val="1"/>
                <c:pt idx="0">
                  <c:v/>
                </c:pt>
              </c:strCache>
            </c:strRef>
          </c:tx>
          <c:spPr>
            <a:solidFill>
              <a:schemeClr val="accent3">
                <a:alpha val="85000"/>
              </a:schemeClr>
            </a:solidFill>
            <a:ln w="9525" cap="flat" cmpd="sng" algn="ctr">
              <a:solidFill>
                <a:schemeClr val="lt1">
                  <a:alpha val="50000"/>
                </a:schemeClr>
              </a:solidFill>
              <a:round/>
            </a:ln>
            <a:effectLst/>
          </c:spPr>
          <c:invertIfNegative val="0"/>
          <c:dLbls>
            <c:delete val="1"/>
          </c:dLbls>
          <c:cat>
            <c:strRef>
              <c:f>Sheet1!$A$2:$A$3</c:f>
              <c:strCache>
                <c:ptCount val="2"/>
                <c:pt idx="0">
                  <c:v>2024年</c:v>
                </c:pt>
                <c:pt idx="1">
                  <c:v>2025年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65"/>
        <c:axId val="256405504"/>
        <c:axId val="256407040"/>
      </c:barChart>
      <c:catAx>
        <c:axId val="256405504"/>
        <c:scaling>
          <c:orientation val="minMax"/>
        </c:scaling>
        <c:delete val="0"/>
        <c:axPos val="b"/>
        <c:majorTickMark val="none"/>
        <c:minorTickMark val="none"/>
        <c:tickLblPos val="nextTo"/>
        <c:spPr>
          <a:noFill/>
          <a:ln w="19050" cap="flat" cmpd="sng" algn="ctr">
            <a:solidFill>
              <a:schemeClr val="dk1">
                <a:lumMod val="75000"/>
                <a:lumOff val="25000"/>
              </a:schemeClr>
            </a:solidFill>
            <a:prstDash val="solid"/>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256407040"/>
        <c:crosses val="autoZero"/>
        <c:auto val="1"/>
        <c:lblAlgn val="ctr"/>
        <c:lblOffset val="100"/>
        <c:noMultiLvlLbl val="0"/>
      </c:catAx>
      <c:valAx>
        <c:axId val="2564070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prstDash val="solid"/>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56405504"/>
        <c:crosses val="autoZero"/>
        <c:crossBetween val="between"/>
      </c:valAx>
      <c:spPr>
        <a:noFill/>
        <a:ln>
          <a:noFill/>
        </a:ln>
        <a:effectLst/>
      </c:spPr>
    </c:plotArea>
    <c:legend>
      <c:legendPos val="b"/>
      <c:legendEntry>
        <c:idx val="2"/>
        <c:delete val="1"/>
      </c:legendEntry>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6f763f09-1d7e-473d-838c-9fde4d40ab55}"/>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spc="0" baseline="0">
                <a:solidFill>
                  <a:schemeClr val="tx1">
                    <a:lumMod val="65000"/>
                    <a:lumOff val="35000"/>
                  </a:schemeClr>
                </a:solidFill>
                <a:latin typeface="+mn-lt"/>
                <a:ea typeface="+mn-ea"/>
                <a:cs typeface="+mn-cs"/>
              </a:defRPr>
            </a:pPr>
            <a:r>
              <a:rPr lang="en-US" altLang="zh-CN" sz="1200"/>
              <a:t>2024</a:t>
            </a:r>
            <a:r>
              <a:rPr lang="zh-CN" altLang="en-US" sz="1200"/>
              <a:t>年、</a:t>
            </a:r>
            <a:r>
              <a:rPr lang="en-US" altLang="zh-CN" sz="1200"/>
              <a:t>2025</a:t>
            </a:r>
            <a:r>
              <a:rPr lang="zh-CN" altLang="en-US" sz="1200"/>
              <a:t>年一般公共预算财政拨款支出数（万元）</a:t>
            </a:r>
            <a:endParaRPr lang="zh-CN" altLang="en-US" sz="1200"/>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2024年</c:v>
                </c:pt>
                <c:pt idx="1">
                  <c:v>2025年</c:v>
                </c:pt>
              </c:strCache>
            </c:strRef>
          </c:cat>
          <c:val>
            <c:numRef>
              <c:f>Sheet1!$B$2:$B$3</c:f>
              <c:numCache>
                <c:formatCode>General</c:formatCode>
                <c:ptCount val="2"/>
                <c:pt idx="0">
                  <c:v>398.68</c:v>
                </c:pt>
                <c:pt idx="1">
                  <c:v>273.83</c:v>
                </c:pt>
              </c:numCache>
            </c:numRef>
          </c:val>
        </c:ser>
        <c:dLbls>
          <c:showLegendKey val="0"/>
          <c:showVal val="1"/>
          <c:showCatName val="0"/>
          <c:showSerName val="0"/>
          <c:showPercent val="0"/>
          <c:showBubbleSize val="0"/>
        </c:dLbls>
        <c:gapWidth val="219"/>
        <c:overlap val="-27"/>
        <c:axId val="256422656"/>
        <c:axId val="256425344"/>
      </c:barChart>
      <c:catAx>
        <c:axId val="25642265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6425344"/>
        <c:crosses val="autoZero"/>
        <c:auto val="1"/>
        <c:lblAlgn val="ctr"/>
        <c:lblOffset val="100"/>
        <c:noMultiLvlLbl val="0"/>
      </c:catAx>
      <c:valAx>
        <c:axId val="2564253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642265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42177b9-495b-426e-b186-6c5751f9eb03}"/>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600" b="1" i="0" u="none" strike="noStrike" kern="1200" baseline="0">
              <a:solidFill>
                <a:sysClr val="windowText" lastClr="000000"/>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一般公共预算财政拨款支出（万元）</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Lbls>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ysClr val="windowText" lastClr="000000"/>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节能环保支出</c:v>
                </c:pt>
                <c:pt idx="1">
                  <c:v>社会保障和就业支出</c:v>
                </c:pt>
                <c:pt idx="2">
                  <c:v>卫生健康支出</c:v>
                </c:pt>
                <c:pt idx="3">
                  <c:v>住房保障支出</c:v>
                </c:pt>
              </c:strCache>
            </c:strRef>
          </c:cat>
          <c:val>
            <c:numRef>
              <c:f>Sheet1!$B$2:$B$5</c:f>
              <c:numCache>
                <c:formatCode>General</c:formatCode>
                <c:ptCount val="4"/>
                <c:pt idx="0">
                  <c:v>209.84</c:v>
                </c:pt>
                <c:pt idx="1">
                  <c:v>26.27</c:v>
                </c:pt>
                <c:pt idx="2">
                  <c:v>16.03</c:v>
                </c:pt>
                <c:pt idx="3">
                  <c:v>21.7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txPr>
        <a:bodyPr rot="0" spcFirstLastPara="0" vertOverflow="ellipsis" vert="horz" wrap="square" anchor="ctr" anchorCtr="1"/>
        <a:lstStyle/>
        <a:p>
          <a:pPr>
            <a:defRPr lang="zh-CN" sz="1000" b="0" i="0" u="none" strike="noStrike" kern="1200" baseline="0">
              <a:solidFill>
                <a:sysClr val="windowText" lastClr="000000"/>
              </a:solidFill>
              <a:latin typeface="+mn-lt"/>
              <a:ea typeface="+mn-ea"/>
              <a:cs typeface="+mn-cs"/>
            </a:defRPr>
          </a:pPr>
        </a:p>
      </c:txPr>
    </c:legend>
    <c:plotVisOnly val="1"/>
    <c:dispBlanksAs val="gap"/>
    <c:showDLblsOverMax val="0"/>
    <c:extLst>
      <c:ext uri="{0b15fc19-7d7d-44ad-8c2d-2c3a37ce22c3}">
        <chartProps xmlns="https://web.wps.cn/et/2018/main" chartId="{4fcd886d-b91d-421c-9eab-b6524844830c}"/>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solidFill>
            <a:sysClr val="windowText" lastClr="000000"/>
          </a:solidFill>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5"/>
    </mc:Choice>
    <mc:Fallback>
      <c:style val="5"/>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“三公”经费财政拨款支出决算数</c:v>
                </c:pt>
              </c:strCache>
            </c:strRef>
          </c:tx>
          <c:explosion val="0"/>
          <c:dPt>
            <c:idx val="0"/>
            <c:bubble3D val="0"/>
          </c:dPt>
          <c:dPt>
            <c:idx val="1"/>
            <c:bubble3D val="0"/>
          </c:dPt>
          <c:dPt>
            <c:idx val="2"/>
            <c:bubble3D val="0"/>
          </c:dPt>
          <c:dLbls>
            <c:dLbl>
              <c:idx val="2"/>
              <c:layout>
                <c:manualLayout>
                  <c:x val="-0.0552449693788276"/>
                  <c:y val="0.00411472748467749"/>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2.69</c:v>
                </c:pt>
                <c:pt idx="2">
                  <c:v>0.11</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2d6404ab-1939-415d-bb72-0c471c1f7bcd}"/>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21</Pages>
  <Words>976</Words>
  <Characters>5564</Characters>
  <Lines>46</Lines>
  <Paragraphs>13</Paragraphs>
  <TotalTime>2</TotalTime>
  <ScaleCrop>false</ScaleCrop>
  <LinksUpToDate>false</LinksUpToDate>
  <CharactersWithSpaces>6527</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2020-08-12T01:49:00Z</dcterms:created>
  <dc:creator>曹颖</dc:creator>
  <cp:lastModifiedBy>user</cp:lastModifiedBy>
  <cp:lastPrinted>2026-09-02T02:21:00Z</cp:lastPrinted>
  <dcterms:modified xsi:type="dcterms:W3CDTF">2026-09-11T09:41:41Z</dcterms:modified>
  <dc:title>四川省***</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04787F2533EB45DC91BCDE4AB213247F</vt:lpwstr>
  </property>
</Properties>
</file>