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5159A">
      <w:pPr>
        <w:pStyle w:val="6"/>
        <w:spacing w:before="93"/>
        <w:rPr>
          <w:rFonts w:hint="eastAsia" w:ascii="Times New Roman" w:eastAsia="方正小标宋简体"/>
          <w:kern w:val="2"/>
          <w:sz w:val="72"/>
          <w:szCs w:val="72"/>
        </w:rPr>
      </w:pPr>
      <w:bookmarkStart w:id="0" w:name="_Toc15378441"/>
      <w:bookmarkStart w:id="1" w:name="_Toc15377193"/>
      <w:bookmarkStart w:id="2" w:name="_Toc15377425"/>
      <w:bookmarkStart w:id="3" w:name="_Toc15396597"/>
      <w:bookmarkStart w:id="4" w:name="_Toc15306267"/>
      <w:bookmarkStart w:id="5" w:name="_Toc15396475"/>
    </w:p>
    <w:p w14:paraId="1FD835C1">
      <w:pPr>
        <w:pStyle w:val="6"/>
        <w:spacing w:before="93"/>
        <w:rPr>
          <w:rFonts w:ascii="Times New Roman" w:eastAsia="方正小标宋简体"/>
          <w:kern w:val="2"/>
          <w:sz w:val="72"/>
          <w:szCs w:val="72"/>
        </w:rPr>
      </w:pPr>
    </w:p>
    <w:p w14:paraId="72EA0FCC">
      <w:pPr>
        <w:pStyle w:val="6"/>
        <w:spacing w:before="93"/>
        <w:jc w:val="center"/>
        <w:rPr>
          <w:rFonts w:hint="eastAsia" w:ascii="方正小标宋_GBK" w:hAnsi="方正小标宋_GBK" w:eastAsia="方正小标宋_GBK" w:cs="方正小标宋_GBK"/>
          <w:kern w:val="2"/>
          <w:sz w:val="44"/>
          <w:szCs w:val="44"/>
        </w:rPr>
      </w:pPr>
    </w:p>
    <w:p w14:paraId="71DDC37D">
      <w:pPr>
        <w:pStyle w:val="6"/>
        <w:spacing w:before="93"/>
        <w:jc w:val="center"/>
        <w:rPr>
          <w:rFonts w:hint="eastAsia" w:ascii="方正小标宋_GBK" w:hAnsi="方正小标宋_GBK" w:eastAsia="方正小标宋_GBK" w:cs="方正小标宋_GBK"/>
          <w:kern w:val="2"/>
          <w:sz w:val="44"/>
          <w:szCs w:val="44"/>
        </w:rPr>
      </w:pPr>
    </w:p>
    <w:p w14:paraId="43494313">
      <w:pPr>
        <w:pStyle w:val="6"/>
        <w:spacing w:before="93"/>
        <w:jc w:val="center"/>
        <w:rPr>
          <w:rFonts w:hint="eastAsia" w:ascii="方正小标宋_GBK" w:hAnsi="方正小标宋_GBK" w:eastAsia="方正小标宋_GBK" w:cs="方正小标宋_GBK"/>
          <w:kern w:val="2"/>
          <w:sz w:val="44"/>
          <w:szCs w:val="44"/>
        </w:rPr>
      </w:pPr>
    </w:p>
    <w:p w14:paraId="436E3992">
      <w:pPr>
        <w:pStyle w:val="6"/>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2025年度攀枝花市</w:t>
      </w:r>
      <w:r>
        <w:rPr>
          <w:rFonts w:hint="eastAsia" w:ascii="Times New Roman" w:eastAsia="方正小标宋简体"/>
          <w:kern w:val="2"/>
          <w:sz w:val="44"/>
          <w:szCs w:val="44"/>
          <w:lang w:eastAsia="zh-CN"/>
        </w:rPr>
        <w:t>盐边</w:t>
      </w:r>
      <w:r>
        <w:rPr>
          <w:rFonts w:hint="eastAsia" w:ascii="Times New Roman" w:eastAsia="方正小标宋简体"/>
          <w:kern w:val="2"/>
          <w:sz w:val="44"/>
          <w:szCs w:val="44"/>
        </w:rPr>
        <w:t>生态环境局</w:t>
      </w:r>
    </w:p>
    <w:p w14:paraId="4C287DE0">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21373E96">
      <w:pPr>
        <w:pStyle w:val="6"/>
        <w:spacing w:before="93"/>
        <w:jc w:val="center"/>
        <w:rPr>
          <w:rFonts w:hint="eastAsia" w:ascii="方正小标宋_GBK" w:hAnsi="方正小标宋_GBK" w:eastAsia="方正小标宋_GBK" w:cs="方正小标宋_GBK"/>
          <w:kern w:val="2"/>
          <w:sz w:val="44"/>
          <w:szCs w:val="44"/>
        </w:rPr>
      </w:pPr>
    </w:p>
    <w:p w14:paraId="6FF626AE">
      <w:pPr>
        <w:pStyle w:val="6"/>
        <w:spacing w:before="93"/>
        <w:jc w:val="center"/>
        <w:rPr>
          <w:rFonts w:hint="eastAsia" w:ascii="方正小标宋_GBK" w:hAnsi="方正小标宋_GBK" w:eastAsia="方正小标宋_GBK" w:cs="方正小标宋_GBK"/>
          <w:kern w:val="2"/>
          <w:sz w:val="44"/>
          <w:szCs w:val="44"/>
        </w:rPr>
      </w:pPr>
    </w:p>
    <w:p w14:paraId="4334594A">
      <w:pPr>
        <w:pStyle w:val="6"/>
        <w:spacing w:before="93"/>
        <w:jc w:val="center"/>
        <w:rPr>
          <w:rFonts w:hint="eastAsia" w:ascii="方正小标宋_GBK" w:hAnsi="方正小标宋_GBK" w:eastAsia="方正小标宋_GBK" w:cs="方正小标宋_GBK"/>
          <w:kern w:val="2"/>
          <w:sz w:val="44"/>
          <w:szCs w:val="44"/>
        </w:rPr>
      </w:pPr>
    </w:p>
    <w:p w14:paraId="39FB9A87">
      <w:pPr>
        <w:pStyle w:val="6"/>
        <w:spacing w:before="93"/>
        <w:jc w:val="center"/>
        <w:rPr>
          <w:rFonts w:hint="eastAsia" w:ascii="方正小标宋_GBK" w:hAnsi="方正小标宋_GBK" w:eastAsia="方正小标宋_GBK" w:cs="方正小标宋_GBK"/>
          <w:kern w:val="2"/>
          <w:sz w:val="44"/>
          <w:szCs w:val="44"/>
        </w:rPr>
      </w:pPr>
    </w:p>
    <w:p w14:paraId="67BE7C4C">
      <w:pPr>
        <w:pStyle w:val="6"/>
        <w:spacing w:before="93"/>
        <w:jc w:val="center"/>
        <w:rPr>
          <w:rFonts w:hint="eastAsia" w:ascii="方正小标宋_GBK" w:hAnsi="方正小标宋_GBK" w:eastAsia="方正小标宋_GBK" w:cs="方正小标宋_GBK"/>
          <w:kern w:val="2"/>
          <w:sz w:val="44"/>
          <w:szCs w:val="44"/>
        </w:rPr>
      </w:pPr>
    </w:p>
    <w:p w14:paraId="2B56957B">
      <w:pPr>
        <w:pStyle w:val="6"/>
        <w:spacing w:before="93"/>
        <w:jc w:val="center"/>
        <w:rPr>
          <w:rFonts w:hint="eastAsia" w:ascii="方正小标宋_GBK" w:hAnsi="方正小标宋_GBK" w:eastAsia="方正小标宋_GBK" w:cs="方正小标宋_GBK"/>
          <w:kern w:val="2"/>
          <w:sz w:val="44"/>
          <w:szCs w:val="44"/>
        </w:rPr>
      </w:pPr>
      <w:bookmarkStart w:id="61" w:name="_GoBack"/>
      <w:bookmarkEnd w:id="61"/>
    </w:p>
    <w:p w14:paraId="38DDB243">
      <w:pPr>
        <w:pStyle w:val="6"/>
        <w:spacing w:before="93"/>
        <w:jc w:val="center"/>
        <w:rPr>
          <w:rFonts w:hint="eastAsia" w:ascii="方正小标宋_GBK" w:hAnsi="方正小标宋_GBK" w:eastAsia="方正小标宋_GBK" w:cs="方正小标宋_GBK"/>
          <w:kern w:val="2"/>
          <w:sz w:val="44"/>
          <w:szCs w:val="44"/>
        </w:rPr>
      </w:pPr>
    </w:p>
    <w:p w14:paraId="0D48048D">
      <w:pPr>
        <w:pStyle w:val="6"/>
        <w:spacing w:before="93"/>
        <w:jc w:val="center"/>
        <w:rPr>
          <w:rFonts w:hint="eastAsia" w:ascii="方正小标宋_GBK" w:hAnsi="方正小标宋_GBK" w:eastAsia="方正小标宋_GBK" w:cs="方正小标宋_GBK"/>
          <w:kern w:val="2"/>
          <w:sz w:val="44"/>
          <w:szCs w:val="44"/>
        </w:rPr>
      </w:pPr>
    </w:p>
    <w:p w14:paraId="2D12545C">
      <w:pPr>
        <w:pStyle w:val="6"/>
        <w:spacing w:before="93"/>
        <w:jc w:val="center"/>
        <w:rPr>
          <w:rFonts w:hint="eastAsia" w:ascii="方正小标宋_GBK" w:hAnsi="方正小标宋_GBK" w:eastAsia="方正小标宋_GBK" w:cs="方正小标宋_GBK"/>
          <w:kern w:val="2"/>
          <w:sz w:val="44"/>
          <w:szCs w:val="44"/>
        </w:rPr>
      </w:pPr>
    </w:p>
    <w:p w14:paraId="19E6DF1E">
      <w:pPr>
        <w:pStyle w:val="6"/>
        <w:spacing w:before="93"/>
        <w:jc w:val="center"/>
        <w:rPr>
          <w:rFonts w:hint="eastAsia" w:ascii="方正小标宋_GBK" w:hAnsi="方正小标宋_GBK" w:eastAsia="方正小标宋_GBK" w:cs="方正小标宋_GBK"/>
          <w:kern w:val="2"/>
          <w:sz w:val="44"/>
          <w:szCs w:val="44"/>
        </w:rPr>
      </w:pPr>
    </w:p>
    <w:p w14:paraId="4F01EE14">
      <w:pPr>
        <w:pStyle w:val="6"/>
        <w:spacing w:before="93"/>
        <w:jc w:val="both"/>
        <w:rPr>
          <w:rFonts w:hint="eastAsia" w:ascii="方正小标宋_GBK" w:hAnsi="方正小标宋_GBK" w:eastAsia="方正小标宋_GBK" w:cs="方正小标宋_GBK"/>
          <w:kern w:val="2"/>
          <w:sz w:val="44"/>
          <w:szCs w:val="44"/>
        </w:rPr>
      </w:pPr>
    </w:p>
    <w:p w14:paraId="3C18EA70">
      <w:pPr>
        <w:pStyle w:val="6"/>
        <w:spacing w:before="93"/>
        <w:jc w:val="center"/>
        <w:rPr>
          <w:rFonts w:hint="eastAsia" w:ascii="Times New Roman" w:hAnsi="Times New Roman" w:eastAsia="方正小标宋简体" w:cs="Times New Roman"/>
          <w:kern w:val="2"/>
          <w:sz w:val="44"/>
          <w:szCs w:val="44"/>
        </w:rPr>
      </w:pPr>
      <w:r>
        <w:rPr>
          <w:rFonts w:hint="eastAsia" w:ascii="Times New Roman" w:hAnsi="Times New Roman" w:eastAsia="方正小标宋简体" w:cs="Times New Roman"/>
          <w:kern w:val="2"/>
          <w:sz w:val="44"/>
          <w:szCs w:val="44"/>
        </w:rPr>
        <w:t>2025年度攀枝花市盐边生态环境局</w:t>
      </w:r>
    </w:p>
    <w:p w14:paraId="459AC5FF">
      <w:pPr>
        <w:pStyle w:val="6"/>
        <w:spacing w:before="93"/>
        <w:jc w:val="center"/>
        <w:rPr>
          <w:rFonts w:hint="eastAsia" w:ascii="Times New Roman" w:hAnsi="Times New Roman" w:eastAsia="方正小标宋简体" w:cs="Times New Roman"/>
          <w:kern w:val="2"/>
          <w:sz w:val="44"/>
          <w:szCs w:val="44"/>
        </w:rPr>
      </w:pPr>
      <w:r>
        <w:rPr>
          <w:rFonts w:hint="eastAsia" w:ascii="Times New Roman" w:hAnsi="Times New Roman" w:eastAsia="方正小标宋简体" w:cs="Times New Roman"/>
          <w:kern w:val="2"/>
          <w:sz w:val="44"/>
          <w:szCs w:val="44"/>
        </w:rPr>
        <w:t>单位决算</w:t>
      </w:r>
    </w:p>
    <w:p w14:paraId="36993B65">
      <w:pPr>
        <w:pStyle w:val="6"/>
        <w:spacing w:before="93"/>
        <w:jc w:val="center"/>
        <w:rPr>
          <w:rFonts w:hint="eastAsia" w:ascii="Times New Roman" w:hAnsi="Times New Roman" w:eastAsia="方正小标宋简体" w:cs="Times New Roman"/>
          <w:kern w:val="2"/>
          <w:sz w:val="44"/>
          <w:szCs w:val="44"/>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78189A52">
      <w:pPr>
        <w:pageBreakBefore w:val="0"/>
        <w:widowControl/>
        <w:kinsoku/>
        <w:wordWrap/>
        <w:overflowPunct/>
        <w:topLinePunct w:val="0"/>
        <w:bidi w:val="0"/>
        <w:spacing w:line="600" w:lineRule="exact"/>
        <w:jc w:val="center"/>
        <w:textAlignment w:val="auto"/>
        <w:rPr>
          <w:rFonts w:eastAsia="黑体"/>
          <w:sz w:val="48"/>
          <w:szCs w:val="48"/>
        </w:rPr>
      </w:pPr>
      <w:r>
        <w:rPr>
          <w:rFonts w:eastAsia="黑体"/>
          <w:sz w:val="48"/>
          <w:szCs w:val="48"/>
        </w:rPr>
        <w:t>目录</w:t>
      </w:r>
    </w:p>
    <w:p w14:paraId="262B8817">
      <w:pPr>
        <w:pageBreakBefore w:val="0"/>
        <w:widowControl/>
        <w:kinsoku/>
        <w:wordWrap/>
        <w:overflowPunct/>
        <w:topLinePunct w:val="0"/>
        <w:bidi w:val="0"/>
        <w:spacing w:line="600" w:lineRule="exact"/>
        <w:jc w:val="center"/>
        <w:textAlignment w:val="auto"/>
        <w:rPr>
          <w:rFonts w:eastAsia="黑体"/>
          <w:sz w:val="28"/>
          <w:szCs w:val="28"/>
        </w:rPr>
      </w:pPr>
    </w:p>
    <w:p w14:paraId="3F9006CA">
      <w:pPr>
        <w:pStyle w:val="13"/>
        <w:pageBreakBefore w:val="0"/>
        <w:kinsoku/>
        <w:wordWrap/>
        <w:overflowPunct/>
        <w:topLinePunct w:val="0"/>
        <w:bidi w:val="0"/>
        <w:spacing w:line="600" w:lineRule="exact"/>
        <w:textAlignment w:val="auto"/>
        <w:rPr>
          <w:rFonts w:ascii="Times New Roman" w:hAnsi="Times New Roman" w:eastAsia="仿宋_GB2312"/>
          <w:sz w:val="32"/>
          <w:szCs w:val="32"/>
        </w:rPr>
      </w:pPr>
      <w:r>
        <w:rPr>
          <w:rFonts w:ascii="Times New Roman" w:hAnsi="Times New Roman" w:eastAsia="仿宋_GB2312"/>
          <w:sz w:val="32"/>
          <w:szCs w:val="32"/>
        </w:rPr>
        <w:t>公开时间：202</w:t>
      </w:r>
      <w:r>
        <w:rPr>
          <w:rFonts w:hint="eastAsia" w:ascii="Times New Roman" w:hAnsi="Times New Roman" w:eastAsia="仿宋_GB2312"/>
          <w:sz w:val="32"/>
          <w:szCs w:val="32"/>
        </w:rPr>
        <w:t>6</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 xml:space="preserve">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14:paraId="23E3DAB0">
      <w:pPr>
        <w:pageBreakBefore w:val="0"/>
        <w:kinsoku/>
        <w:wordWrap/>
        <w:overflowPunct/>
        <w:topLinePunct w:val="0"/>
        <w:bidi w:val="0"/>
        <w:spacing w:line="600" w:lineRule="exact"/>
        <w:textAlignment w:val="auto"/>
      </w:pPr>
    </w:p>
    <w:p w14:paraId="6ADE79E5">
      <w:pPr>
        <w:pStyle w:val="13"/>
        <w:pageBreakBefore w:val="0"/>
        <w:kinsoku/>
        <w:wordWrap/>
        <w:overflowPunct/>
        <w:topLinePunct w:val="0"/>
        <w:bidi w:val="0"/>
        <w:adjustRightInd w:val="0"/>
        <w:snapToGrid w:val="0"/>
        <w:spacing w:before="0" w:line="600" w:lineRule="exact"/>
        <w:jc w:val="left"/>
        <w:textAlignment w:val="auto"/>
        <w:rPr>
          <w:rFonts w:ascii="Times New Roman" w:hAnsi="Times New Roman" w:eastAsia="仿宋_GB2312"/>
          <w:sz w:val="32"/>
          <w:szCs w:val="32"/>
        </w:rPr>
      </w:pPr>
      <w:r>
        <w:rPr>
          <w:rFonts w:ascii="Times New Roman" w:hAnsi="Times New Roman" w:eastAsia="黑体"/>
          <w:sz w:val="32"/>
          <w:szCs w:val="32"/>
        </w:rPr>
        <w:t>第一部分 单位概况</w:t>
      </w:r>
      <w:r>
        <w:rPr>
          <w:rFonts w:ascii="Times New Roman" w:hAnsi="Times New Roman" w:eastAsia="仿宋_GB2312"/>
        </w:rPr>
        <w:tab/>
      </w:r>
      <w:r>
        <w:rPr>
          <w:rFonts w:ascii="Times New Roman" w:hAnsi="Times New Roman" w:eastAsia="仿宋_GB2312"/>
        </w:rPr>
        <w:t>1</w:t>
      </w:r>
    </w:p>
    <w:p w14:paraId="3118EED2">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一、单位职责</w:t>
      </w:r>
      <w:r>
        <w:rPr>
          <w:rFonts w:eastAsia="仿宋_GB2312"/>
          <w:sz w:val="28"/>
          <w:szCs w:val="28"/>
        </w:rPr>
        <w:tab/>
      </w:r>
      <w:r>
        <w:rPr>
          <w:rFonts w:eastAsia="仿宋_GB2312"/>
          <w:sz w:val="28"/>
          <w:szCs w:val="28"/>
        </w:rPr>
        <w:t>1</w:t>
      </w:r>
    </w:p>
    <w:p w14:paraId="66C3A8BA">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二、机构设置</w:t>
      </w:r>
      <w:r>
        <w:rPr>
          <w:rFonts w:eastAsia="仿宋_GB2312"/>
          <w:sz w:val="28"/>
          <w:szCs w:val="28"/>
        </w:rPr>
        <w:tab/>
      </w:r>
      <w:r>
        <w:rPr>
          <w:rFonts w:eastAsia="仿宋_GB2312"/>
          <w:sz w:val="28"/>
          <w:szCs w:val="28"/>
        </w:rPr>
        <w:t>3</w:t>
      </w:r>
    </w:p>
    <w:p w14:paraId="2893CABB">
      <w:pPr>
        <w:pStyle w:val="13"/>
        <w:pageBreakBefore w:val="0"/>
        <w:kinsoku/>
        <w:wordWrap/>
        <w:overflowPunct/>
        <w:topLinePunct w:val="0"/>
        <w:bidi w:val="0"/>
        <w:adjustRightInd w:val="0"/>
        <w:snapToGrid w:val="0"/>
        <w:spacing w:before="0" w:line="600" w:lineRule="exact"/>
        <w:jc w:val="left"/>
        <w:textAlignment w:val="auto"/>
        <w:rPr>
          <w:rFonts w:ascii="Times New Roman" w:hAnsi="Times New Roman" w:eastAsia="仿宋_GB2312"/>
          <w:sz w:val="32"/>
          <w:szCs w:val="32"/>
        </w:rPr>
      </w:pPr>
      <w:r>
        <w:rPr>
          <w:rFonts w:ascii="Times New Roman" w:hAnsi="Times New Roman" w:eastAsia="黑体"/>
          <w:sz w:val="32"/>
          <w:szCs w:val="32"/>
        </w:rPr>
        <w:t>第二部分 202</w:t>
      </w:r>
      <w:r>
        <w:rPr>
          <w:rFonts w:hint="eastAsia" w:ascii="Times New Roman" w:hAnsi="Times New Roman" w:eastAsia="黑体"/>
          <w:sz w:val="32"/>
          <w:szCs w:val="32"/>
        </w:rPr>
        <w:t>5</w:t>
      </w:r>
      <w:r>
        <w:rPr>
          <w:rFonts w:ascii="Times New Roman" w:hAnsi="Times New Roman" w:eastAsia="黑体"/>
          <w:sz w:val="32"/>
          <w:szCs w:val="32"/>
        </w:rPr>
        <w:t>年度单位决算情况说明</w:t>
      </w:r>
      <w:r>
        <w:rPr>
          <w:rFonts w:ascii="Times New Roman" w:hAnsi="Times New Roman" w:eastAsia="仿宋_GB2312"/>
        </w:rPr>
        <w:tab/>
      </w:r>
      <w:r>
        <w:rPr>
          <w:rFonts w:ascii="Times New Roman" w:hAnsi="Times New Roman" w:eastAsia="仿宋_GB2312"/>
        </w:rPr>
        <w:t>7</w:t>
      </w:r>
    </w:p>
    <w:p w14:paraId="419B27C8">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一、收入支出决算总体情况说明</w:t>
      </w:r>
      <w:r>
        <w:rPr>
          <w:rFonts w:eastAsia="仿宋_GB2312"/>
          <w:sz w:val="28"/>
          <w:szCs w:val="28"/>
        </w:rPr>
        <w:tab/>
      </w:r>
      <w:r>
        <w:rPr>
          <w:rFonts w:eastAsia="仿宋_GB2312"/>
          <w:sz w:val="28"/>
          <w:szCs w:val="28"/>
        </w:rPr>
        <w:t>7</w:t>
      </w:r>
    </w:p>
    <w:p w14:paraId="61D0F473">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二、收入决算情况说明</w:t>
      </w:r>
      <w:r>
        <w:rPr>
          <w:rFonts w:eastAsia="仿宋_GB2312"/>
          <w:sz w:val="28"/>
          <w:szCs w:val="28"/>
        </w:rPr>
        <w:tab/>
      </w:r>
      <w:r>
        <w:rPr>
          <w:rFonts w:eastAsia="仿宋_GB2312"/>
          <w:sz w:val="28"/>
          <w:szCs w:val="28"/>
        </w:rPr>
        <w:t>7</w:t>
      </w:r>
    </w:p>
    <w:p w14:paraId="7BF68B60">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三、支出决算情况说明</w:t>
      </w:r>
      <w:r>
        <w:rPr>
          <w:rFonts w:eastAsia="仿宋_GB2312"/>
          <w:sz w:val="28"/>
          <w:szCs w:val="28"/>
        </w:rPr>
        <w:tab/>
      </w:r>
      <w:r>
        <w:rPr>
          <w:rFonts w:eastAsia="仿宋_GB2312"/>
          <w:sz w:val="28"/>
          <w:szCs w:val="28"/>
        </w:rPr>
        <w:t>8</w:t>
      </w:r>
    </w:p>
    <w:p w14:paraId="7A4FEC07">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四、财政拨款收入支出决算总体情况说明</w:t>
      </w:r>
      <w:r>
        <w:rPr>
          <w:rFonts w:eastAsia="仿宋_GB2312"/>
          <w:sz w:val="28"/>
          <w:szCs w:val="28"/>
        </w:rPr>
        <w:tab/>
      </w:r>
      <w:r>
        <w:rPr>
          <w:rFonts w:eastAsia="仿宋_GB2312"/>
          <w:sz w:val="28"/>
          <w:szCs w:val="28"/>
        </w:rPr>
        <w:t>9</w:t>
      </w:r>
    </w:p>
    <w:p w14:paraId="0EA2867B">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五、一般公共预算财政拨款支出决算情况说明</w:t>
      </w:r>
      <w:r>
        <w:rPr>
          <w:rFonts w:eastAsia="仿宋_GB2312"/>
          <w:sz w:val="28"/>
          <w:szCs w:val="28"/>
        </w:rPr>
        <w:tab/>
      </w:r>
      <w:r>
        <w:rPr>
          <w:rFonts w:eastAsia="仿宋_GB2312"/>
          <w:sz w:val="28"/>
          <w:szCs w:val="28"/>
        </w:rPr>
        <w:t>9</w:t>
      </w:r>
    </w:p>
    <w:p w14:paraId="345506C7">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六、一般公共预算财政拨款基本支出决算情况说明</w:t>
      </w:r>
      <w:r>
        <w:rPr>
          <w:rFonts w:eastAsia="仿宋_GB2312"/>
          <w:sz w:val="28"/>
          <w:szCs w:val="28"/>
        </w:rPr>
        <w:tab/>
      </w:r>
      <w:r>
        <w:rPr>
          <w:rFonts w:eastAsia="仿宋_GB2312"/>
          <w:sz w:val="28"/>
          <w:szCs w:val="28"/>
        </w:rPr>
        <w:t>12</w:t>
      </w:r>
    </w:p>
    <w:p w14:paraId="54DA3B9A">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七、财政拨款“三公”经费支出决算情况说明</w:t>
      </w:r>
      <w:r>
        <w:rPr>
          <w:rFonts w:eastAsia="仿宋_GB2312"/>
          <w:sz w:val="28"/>
          <w:szCs w:val="28"/>
        </w:rPr>
        <w:tab/>
      </w:r>
      <w:r>
        <w:rPr>
          <w:rFonts w:eastAsia="仿宋_GB2312"/>
          <w:sz w:val="28"/>
          <w:szCs w:val="28"/>
        </w:rPr>
        <w:t>12</w:t>
      </w:r>
    </w:p>
    <w:p w14:paraId="4E529DDB">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八、政府性基金预算支出决算情况说明</w:t>
      </w:r>
      <w:r>
        <w:rPr>
          <w:rFonts w:eastAsia="仿宋_GB2312"/>
          <w:sz w:val="28"/>
          <w:szCs w:val="28"/>
        </w:rPr>
        <w:tab/>
      </w:r>
      <w:r>
        <w:rPr>
          <w:rFonts w:eastAsia="仿宋_GB2312"/>
          <w:sz w:val="28"/>
          <w:szCs w:val="28"/>
        </w:rPr>
        <w:t>14</w:t>
      </w:r>
    </w:p>
    <w:p w14:paraId="135DDFB9">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九、国有资本经营预算支出决算情况说明</w:t>
      </w:r>
      <w:r>
        <w:rPr>
          <w:rFonts w:eastAsia="仿宋_GB2312"/>
          <w:sz w:val="28"/>
          <w:szCs w:val="28"/>
        </w:rPr>
        <w:tab/>
      </w:r>
      <w:r>
        <w:rPr>
          <w:rFonts w:eastAsia="仿宋_GB2312"/>
          <w:sz w:val="28"/>
          <w:szCs w:val="28"/>
        </w:rPr>
        <w:t>1</w:t>
      </w:r>
      <w:r>
        <w:rPr>
          <w:rFonts w:hint="eastAsia" w:eastAsia="仿宋_GB2312"/>
          <w:sz w:val="28"/>
          <w:szCs w:val="28"/>
        </w:rPr>
        <w:t>4</w:t>
      </w:r>
    </w:p>
    <w:p w14:paraId="08110CC9">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十、其他重要事项的情况说明</w:t>
      </w:r>
      <w:r>
        <w:rPr>
          <w:rFonts w:eastAsia="仿宋_GB2312"/>
          <w:sz w:val="28"/>
          <w:szCs w:val="28"/>
        </w:rPr>
        <w:tab/>
      </w:r>
      <w:r>
        <w:rPr>
          <w:rFonts w:eastAsia="仿宋_GB2312"/>
          <w:sz w:val="28"/>
          <w:szCs w:val="28"/>
        </w:rPr>
        <w:t>15</w:t>
      </w:r>
    </w:p>
    <w:p w14:paraId="5A3F0081">
      <w:pPr>
        <w:pStyle w:val="13"/>
        <w:pageBreakBefore w:val="0"/>
        <w:kinsoku/>
        <w:wordWrap/>
        <w:overflowPunct/>
        <w:topLinePunct w:val="0"/>
        <w:bidi w:val="0"/>
        <w:adjustRightInd w:val="0"/>
        <w:snapToGrid w:val="0"/>
        <w:spacing w:before="0" w:line="600" w:lineRule="exact"/>
        <w:jc w:val="left"/>
        <w:textAlignment w:val="auto"/>
        <w:rPr>
          <w:rFonts w:ascii="Times New Roman" w:hAnsi="Times New Roman" w:eastAsia="仿宋_GB2312"/>
          <w:sz w:val="32"/>
          <w:szCs w:val="32"/>
        </w:rPr>
      </w:pPr>
      <w:r>
        <w:rPr>
          <w:rFonts w:ascii="Times New Roman" w:hAnsi="Times New Roman" w:eastAsia="黑体"/>
          <w:sz w:val="32"/>
          <w:szCs w:val="32"/>
        </w:rPr>
        <w:t>第三部分 名词解释</w:t>
      </w:r>
      <w:r>
        <w:rPr>
          <w:rFonts w:ascii="Times New Roman" w:hAnsi="Times New Roman" w:eastAsia="仿宋_GB2312"/>
        </w:rPr>
        <w:tab/>
      </w:r>
      <w:r>
        <w:rPr>
          <w:rFonts w:ascii="Times New Roman" w:hAnsi="Times New Roman" w:eastAsia="仿宋_GB2312"/>
        </w:rPr>
        <w:t>1</w:t>
      </w:r>
      <w:r>
        <w:rPr>
          <w:rFonts w:hint="eastAsia" w:ascii="Times New Roman" w:hAnsi="Times New Roman" w:eastAsia="仿宋_GB2312"/>
        </w:rPr>
        <w:t>6</w:t>
      </w:r>
    </w:p>
    <w:p w14:paraId="3FBC4D1F">
      <w:pPr>
        <w:pStyle w:val="13"/>
        <w:pageBreakBefore w:val="0"/>
        <w:kinsoku/>
        <w:wordWrap/>
        <w:overflowPunct/>
        <w:topLinePunct w:val="0"/>
        <w:bidi w:val="0"/>
        <w:adjustRightInd w:val="0"/>
        <w:snapToGrid w:val="0"/>
        <w:spacing w:before="0" w:line="600" w:lineRule="exact"/>
        <w:jc w:val="left"/>
        <w:textAlignment w:val="auto"/>
        <w:rPr>
          <w:rFonts w:ascii="Times New Roman" w:hAnsi="Times New Roman" w:eastAsia="仿宋_GB2312"/>
          <w:sz w:val="32"/>
          <w:szCs w:val="32"/>
        </w:rPr>
      </w:pPr>
      <w:r>
        <w:rPr>
          <w:rFonts w:ascii="Times New Roman" w:hAnsi="Times New Roman" w:eastAsia="黑体"/>
          <w:sz w:val="32"/>
          <w:szCs w:val="32"/>
        </w:rPr>
        <w:t>第四部分 附件</w:t>
      </w:r>
      <w:r>
        <w:rPr>
          <w:rFonts w:ascii="Times New Roman" w:hAnsi="Times New Roman" w:eastAsia="仿宋_GB2312"/>
        </w:rPr>
        <w:tab/>
      </w:r>
      <w:r>
        <w:rPr>
          <w:rFonts w:hint="eastAsia" w:ascii="Times New Roman" w:hAnsi="Times New Roman" w:eastAsia="仿宋_GB2312"/>
        </w:rPr>
        <w:t>19</w:t>
      </w:r>
    </w:p>
    <w:p w14:paraId="0492F351">
      <w:pPr>
        <w:pStyle w:val="13"/>
        <w:pageBreakBefore w:val="0"/>
        <w:kinsoku/>
        <w:wordWrap/>
        <w:overflowPunct/>
        <w:topLinePunct w:val="0"/>
        <w:bidi w:val="0"/>
        <w:adjustRightInd w:val="0"/>
        <w:snapToGrid w:val="0"/>
        <w:spacing w:before="0" w:line="600" w:lineRule="exact"/>
        <w:jc w:val="left"/>
        <w:textAlignment w:val="auto"/>
        <w:rPr>
          <w:rFonts w:ascii="Times New Roman" w:hAnsi="Times New Roman" w:eastAsia="仿宋_GB2312"/>
          <w:sz w:val="32"/>
          <w:szCs w:val="32"/>
        </w:rPr>
      </w:pPr>
      <w:r>
        <w:rPr>
          <w:rFonts w:ascii="Times New Roman" w:hAnsi="Times New Roman" w:eastAsia="黑体"/>
          <w:sz w:val="32"/>
          <w:szCs w:val="32"/>
        </w:rPr>
        <w:t>第五部分 附表</w:t>
      </w:r>
      <w:r>
        <w:rPr>
          <w:rFonts w:ascii="Times New Roman" w:hAnsi="Times New Roman" w:eastAsia="仿宋_GB2312"/>
        </w:rPr>
        <w:tab/>
      </w:r>
      <w:r>
        <w:rPr>
          <w:rFonts w:ascii="Times New Roman" w:hAnsi="Times New Roman" w:eastAsia="仿宋_GB2312"/>
        </w:rPr>
        <w:t>2</w:t>
      </w:r>
      <w:r>
        <w:rPr>
          <w:rFonts w:hint="eastAsia" w:ascii="Times New Roman" w:hAnsi="Times New Roman" w:eastAsia="仿宋_GB2312"/>
        </w:rPr>
        <w:t>0</w:t>
      </w:r>
    </w:p>
    <w:p w14:paraId="5D22F41F">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一、收入支出决算总表</w:t>
      </w:r>
      <w:r>
        <w:rPr>
          <w:rFonts w:eastAsia="仿宋_GB2312"/>
          <w:sz w:val="28"/>
          <w:szCs w:val="28"/>
        </w:rPr>
        <w:tab/>
      </w:r>
      <w:r>
        <w:rPr>
          <w:rFonts w:eastAsia="仿宋_GB2312"/>
          <w:sz w:val="28"/>
          <w:szCs w:val="28"/>
        </w:rPr>
        <w:t>2</w:t>
      </w:r>
      <w:r>
        <w:rPr>
          <w:rFonts w:hint="eastAsia" w:eastAsia="仿宋_GB2312"/>
          <w:sz w:val="28"/>
          <w:szCs w:val="28"/>
        </w:rPr>
        <w:t>0</w:t>
      </w:r>
    </w:p>
    <w:p w14:paraId="2E39A797">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二、收入决算表</w:t>
      </w:r>
      <w:r>
        <w:rPr>
          <w:rFonts w:eastAsia="仿宋_GB2312"/>
          <w:sz w:val="28"/>
          <w:szCs w:val="28"/>
        </w:rPr>
        <w:tab/>
      </w:r>
      <w:r>
        <w:rPr>
          <w:rFonts w:eastAsia="仿宋_GB2312"/>
          <w:sz w:val="28"/>
          <w:szCs w:val="28"/>
        </w:rPr>
        <w:t>2</w:t>
      </w:r>
      <w:r>
        <w:rPr>
          <w:rFonts w:hint="eastAsia" w:eastAsia="仿宋_GB2312"/>
          <w:sz w:val="28"/>
          <w:szCs w:val="28"/>
        </w:rPr>
        <w:t>0</w:t>
      </w:r>
    </w:p>
    <w:p w14:paraId="2343ABA1">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14:paraId="4607B1A4">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三、支出决算表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53FC7F0D">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四、财政拨款收入支出决算总表</w:t>
      </w:r>
      <w:r>
        <w:rPr>
          <w:rFonts w:eastAsia="仿宋_GB2312"/>
          <w:sz w:val="28"/>
          <w:szCs w:val="28"/>
        </w:rPr>
        <w:tab/>
      </w:r>
      <w:r>
        <w:rPr>
          <w:rFonts w:eastAsia="仿宋_GB2312"/>
          <w:sz w:val="28"/>
          <w:szCs w:val="28"/>
        </w:rPr>
        <w:t>2</w:t>
      </w:r>
      <w:r>
        <w:rPr>
          <w:rFonts w:hint="eastAsia" w:eastAsia="仿宋_GB2312"/>
          <w:sz w:val="28"/>
          <w:szCs w:val="28"/>
        </w:rPr>
        <w:t>0</w:t>
      </w:r>
    </w:p>
    <w:p w14:paraId="308EBC41">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五、财政拨款支出决算明细表</w:t>
      </w:r>
      <w:r>
        <w:rPr>
          <w:rFonts w:eastAsia="仿宋_GB2312"/>
          <w:sz w:val="28"/>
          <w:szCs w:val="28"/>
        </w:rPr>
        <w:tab/>
      </w:r>
      <w:r>
        <w:rPr>
          <w:rFonts w:eastAsia="仿宋_GB2312"/>
          <w:sz w:val="28"/>
          <w:szCs w:val="28"/>
        </w:rPr>
        <w:t>2</w:t>
      </w:r>
      <w:r>
        <w:rPr>
          <w:rFonts w:hint="eastAsia" w:eastAsia="仿宋_GB2312"/>
          <w:sz w:val="28"/>
          <w:szCs w:val="28"/>
        </w:rPr>
        <w:t>0</w:t>
      </w:r>
    </w:p>
    <w:p w14:paraId="30A0EC0E">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六、一般公共预算财政拨款支出决算表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491242CF">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七、一般公共预算财政拨款支出决算明细表</w:t>
      </w:r>
      <w:r>
        <w:rPr>
          <w:rFonts w:eastAsia="仿宋_GB2312"/>
          <w:sz w:val="28"/>
          <w:szCs w:val="28"/>
        </w:rPr>
        <w:tab/>
      </w:r>
      <w:r>
        <w:rPr>
          <w:rFonts w:eastAsia="仿宋_GB2312"/>
          <w:sz w:val="28"/>
          <w:szCs w:val="28"/>
        </w:rPr>
        <w:t>2</w:t>
      </w:r>
      <w:r>
        <w:rPr>
          <w:rFonts w:hint="eastAsia" w:eastAsia="仿宋_GB2312"/>
          <w:sz w:val="28"/>
          <w:szCs w:val="28"/>
        </w:rPr>
        <w:t>0</w:t>
      </w:r>
    </w:p>
    <w:p w14:paraId="75EF89A6">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八、一般公共预算财政拨款基本支出决算明细表</w:t>
      </w:r>
      <w:r>
        <w:rPr>
          <w:rFonts w:eastAsia="仿宋_GB2312"/>
          <w:sz w:val="28"/>
          <w:szCs w:val="28"/>
        </w:rPr>
        <w:tab/>
      </w:r>
      <w:r>
        <w:rPr>
          <w:rFonts w:eastAsia="仿宋_GB2312"/>
          <w:sz w:val="28"/>
          <w:szCs w:val="28"/>
        </w:rPr>
        <w:t>2</w:t>
      </w:r>
      <w:r>
        <w:rPr>
          <w:rFonts w:hint="eastAsia" w:eastAsia="仿宋_GB2312"/>
          <w:sz w:val="28"/>
          <w:szCs w:val="28"/>
        </w:rPr>
        <w:t>0</w:t>
      </w:r>
    </w:p>
    <w:p w14:paraId="4188F6EF">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九、一般公共预算财政拨款项目支出决算表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15105860">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十、政府性基金预算财政拨款收入支出决算表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204AEC39">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十一、国有资本经营预算财政拨款收入支出决算表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7F3E4281">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十二、国有资本经营预算财政拨款支出决算表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779059A2">
      <w:pPr>
        <w:pStyle w:val="15"/>
        <w:pageBreakBefore w:val="0"/>
        <w:kinsoku/>
        <w:wordWrap/>
        <w:overflowPunct/>
        <w:topLinePunct w:val="0"/>
        <w:bidi w:val="0"/>
        <w:adjustRightInd w:val="0"/>
        <w:snapToGrid w:val="0"/>
        <w:spacing w:line="600" w:lineRule="exact"/>
        <w:ind w:left="0" w:leftChars="0" w:firstLine="640" w:firstLineChars="200"/>
        <w:jc w:val="left"/>
        <w:textAlignment w:val="auto"/>
        <w:rPr>
          <w:rFonts w:eastAsia="仿宋_GB2312"/>
          <w:sz w:val="32"/>
          <w:szCs w:val="32"/>
        </w:rPr>
      </w:pPr>
      <w:r>
        <w:rPr>
          <w:rFonts w:eastAsia="仿宋_GB2312"/>
          <w:sz w:val="32"/>
          <w:szCs w:val="32"/>
        </w:rPr>
        <w:t>十三、财政拨款“三公”经费支出决算表</w:t>
      </w:r>
      <w:r>
        <w:rPr>
          <w:rFonts w:eastAsia="仿宋_GB2312"/>
          <w:sz w:val="28"/>
          <w:szCs w:val="28"/>
        </w:rPr>
        <w:tab/>
      </w:r>
      <w:r>
        <w:rPr>
          <w:rFonts w:eastAsia="仿宋_GB2312"/>
          <w:sz w:val="28"/>
          <w:szCs w:val="28"/>
        </w:rPr>
        <w:t>2</w:t>
      </w:r>
      <w:r>
        <w:rPr>
          <w:rFonts w:hint="eastAsia" w:eastAsia="仿宋_GB2312"/>
          <w:sz w:val="28"/>
          <w:szCs w:val="28"/>
        </w:rPr>
        <w:t>0</w:t>
      </w:r>
    </w:p>
    <w:p w14:paraId="7B09976E">
      <w:pPr>
        <w:pStyle w:val="2"/>
        <w:pageBreakBefore w:val="0"/>
        <w:kinsoku/>
        <w:wordWrap/>
        <w:overflowPunct/>
        <w:topLinePunct w:val="0"/>
        <w:bidi w:val="0"/>
        <w:spacing w:line="600" w:lineRule="exact"/>
        <w:jc w:val="center"/>
        <w:textAlignment w:val="auto"/>
        <w:rPr>
          <w:rFonts w:eastAsia="方正小标宋简体"/>
          <w:b w:val="0"/>
        </w:rPr>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pPr>
      <w:bookmarkStart w:id="6" w:name="_Toc15377196"/>
      <w:bookmarkStart w:id="7" w:name="_Toc15396599"/>
    </w:p>
    <w:p w14:paraId="625024CE">
      <w:pPr>
        <w:pStyle w:val="2"/>
        <w:pageBreakBefore w:val="0"/>
        <w:kinsoku/>
        <w:wordWrap/>
        <w:overflowPunct/>
        <w:topLinePunct w:val="0"/>
        <w:bidi w:val="0"/>
        <w:spacing w:line="600" w:lineRule="exact"/>
        <w:jc w:val="center"/>
        <w:textAlignment w:val="auto"/>
        <w:rPr>
          <w:rFonts w:eastAsia="黑体"/>
          <w:sz w:val="32"/>
          <w:szCs w:val="32"/>
        </w:rPr>
      </w:pPr>
      <w:r>
        <w:rPr>
          <w:rFonts w:eastAsia="方正小标宋简体"/>
          <w:b w:val="0"/>
        </w:rPr>
        <w:t xml:space="preserve">第一部分  </w:t>
      </w:r>
      <w:r>
        <w:rPr>
          <w:rStyle w:val="29"/>
          <w:rFonts w:eastAsia="方正小标宋简体"/>
          <w:b w:val="0"/>
          <w:bCs w:val="0"/>
        </w:rPr>
        <w:t>单位概况</w:t>
      </w:r>
      <w:bookmarkEnd w:id="6"/>
      <w:bookmarkEnd w:id="7"/>
    </w:p>
    <w:p w14:paraId="46C57151">
      <w:pPr>
        <w:pStyle w:val="3"/>
        <w:pageBreakBefore w:val="0"/>
        <w:numPr>
          <w:ilvl w:val="0"/>
          <w:numId w:val="1"/>
        </w:numPr>
        <w:kinsoku/>
        <w:wordWrap/>
        <w:overflowPunct/>
        <w:topLinePunct w:val="0"/>
        <w:bidi w:val="0"/>
        <w:spacing w:before="0" w:after="0" w:line="600" w:lineRule="exact"/>
        <w:ind w:firstLine="640" w:firstLineChars="200"/>
        <w:textAlignment w:val="auto"/>
        <w:rPr>
          <w:rFonts w:ascii="Times New Roman" w:hAnsi="Times New Roman" w:eastAsia="黑体" w:cs="Times New Roman"/>
          <w:b w:val="0"/>
        </w:rPr>
      </w:pPr>
      <w:r>
        <w:rPr>
          <w:rFonts w:ascii="Times New Roman" w:hAnsi="Times New Roman" w:eastAsia="黑体" w:cs="Times New Roman"/>
          <w:b w:val="0"/>
        </w:rPr>
        <w:t>单位职责</w:t>
      </w:r>
    </w:p>
    <w:p w14:paraId="027CACE4">
      <w:pPr>
        <w:pStyle w:val="3"/>
        <w:pageBreakBefore w:val="0"/>
        <w:kinsoku/>
        <w:wordWrap/>
        <w:overflowPunct/>
        <w:topLinePunct w:val="0"/>
        <w:bidi w:val="0"/>
        <w:spacing w:before="0" w:after="0" w:line="600" w:lineRule="exact"/>
        <w:ind w:firstLine="640" w:firstLineChars="200"/>
        <w:textAlignment w:val="auto"/>
        <w:rPr>
          <w:rFonts w:ascii="Times New Roman" w:hAnsi="Times New Roman" w:eastAsia="仿宋_GB2312" w:cs="Times New Roman"/>
          <w:b w:val="0"/>
          <w:bCs w:val="0"/>
        </w:rPr>
      </w:pPr>
      <w:r>
        <w:rPr>
          <w:rFonts w:ascii="Times New Roman" w:hAnsi="Times New Roman" w:eastAsia="仿宋_GB2312" w:cs="Times New Roman"/>
          <w:b w:val="0"/>
          <w:bCs w:val="0"/>
        </w:rPr>
        <w:t>（一）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w:t>
      </w:r>
    </w:p>
    <w:p w14:paraId="7F474841">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（二）负责区域内较大及以下生态环境问题的统筹协调和监督管理。牵头协调区域内较大及以下突发生态环境事件和生态破坏事件的调查处理，指导协调区域内生态环境事件的应急、预警工作</w:t>
      </w:r>
      <w:r>
        <w:rPr>
          <w:rFonts w:hint="eastAsia" w:eastAsia="仿宋_GB2312"/>
          <w:sz w:val="32"/>
          <w:szCs w:val="32"/>
          <w:lang w:eastAsia="zh-CN"/>
        </w:rPr>
        <w:t>。</w:t>
      </w:r>
      <w:r>
        <w:rPr>
          <w:rFonts w:eastAsia="仿宋_GB2312"/>
          <w:sz w:val="32"/>
          <w:szCs w:val="32"/>
        </w:rPr>
        <w:t>参与实施生态环境损害赔偿制度，协调解决有关跨区域环境污染纠纷。统筹协调区域内生态环境保护工作。</w:t>
      </w:r>
    </w:p>
    <w:p w14:paraId="5D5B3345">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三）负责监督管理区域内减排目标的落实。组织实施区域内各类污染物排放总量控制和排污许可证制度，提出实施总量控制的污染物控制指标，督查、督办、核查污染物减排任务完成情况。实施生态环境目标责任制。</w:t>
      </w:r>
    </w:p>
    <w:p w14:paraId="669DA996">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（四）负责提出区域内生态环境领域财政专项资金安排的建议。参与指导推动区域内循环经济和生态环保产业发展。</w:t>
      </w:r>
    </w:p>
    <w:p w14:paraId="68ED1B20">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五）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牵头生物物种（含遗传资源）工作，组织协调生物多样性保护工作，参与生态保护补偿工作。</w:t>
      </w:r>
    </w:p>
    <w:p w14:paraId="42E908DC">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（六）负责应对气候变化工作。组织实施国家、省应对气候变化及温室气体减排重大战略、规划和政策，组织实施区域内应对气候变化的规划和政策措施。</w:t>
      </w:r>
    </w:p>
    <w:p w14:paraId="36BF602B">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（七）组织开展中央、省环保督察反馈问题的整改。贯彻执行中央、省生态环境保护督察制度。督促协调产业园区、乡镇（街道）和区域内有关部门整改突出环境问题。</w:t>
      </w:r>
    </w:p>
    <w:p w14:paraId="250FD458">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（八）负责区域内生态环境监督执法。组织开展区域内生态环境保护执法检查，根据授权查处生态环境违法问题。监督实施建设项目生态环境保护设施“三同时”制度。</w:t>
      </w:r>
    </w:p>
    <w:p w14:paraId="5F2B8EEF">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九）组织指导和协调区域内生态环境宣传教育工作。制定并组织实施区域内生态环境保护宣传教育有关规划和计划。推动社会组织和公众参与生态环境保护。会同有关部门依法对区域内保护和改善生态环境有显著成绩的单位和个人给予表扬和奖励。</w:t>
      </w:r>
    </w:p>
    <w:p w14:paraId="39B27A77">
      <w:pPr>
        <w:pageBreakBefore w:val="0"/>
        <w:kinsoku/>
        <w:wordWrap/>
        <w:overflowPunct/>
        <w:topLinePunct w:val="0"/>
        <w:bidi w:val="0"/>
        <w:snapToGrid w:val="0"/>
        <w:spacing w:line="600" w:lineRule="exact"/>
        <w:ind w:firstLine="640" w:firstLineChars="200"/>
        <w:textAlignment w:val="auto"/>
        <w:rPr>
          <w:rFonts w:eastAsia="仿宋_GB2312"/>
          <w:sz w:val="32"/>
          <w:szCs w:val="32"/>
        </w:rPr>
      </w:pPr>
      <w:r>
        <w:rPr>
          <w:rFonts w:eastAsia="仿宋_GB2312"/>
          <w:sz w:val="32"/>
          <w:szCs w:val="32"/>
        </w:rPr>
        <w:t>（十）开展生态环境科技工作。管理区域内生态环境保护科技成果并推广应用。组织开展生态环境重大科学研究和技术工程示范，推动生态环境技术管理体系建设。</w:t>
      </w:r>
    </w:p>
    <w:p w14:paraId="00D9E997">
      <w:pPr>
        <w:pageBreakBefore w:val="0"/>
        <w:kinsoku/>
        <w:wordWrap/>
        <w:overflowPunct/>
        <w:topLinePunct w:val="0"/>
        <w:bidi w:val="0"/>
        <w:snapToGrid w:val="0"/>
        <w:spacing w:line="600" w:lineRule="exact"/>
        <w:ind w:firstLine="640" w:firstLineChars="200"/>
        <w:textAlignment w:val="auto"/>
        <w:rPr>
          <w:rFonts w:eastAsia="仿宋_GB2312"/>
          <w:sz w:val="32"/>
          <w:szCs w:val="32"/>
        </w:rPr>
      </w:pPr>
      <w:r>
        <w:rPr>
          <w:rFonts w:eastAsia="仿宋_GB2312"/>
          <w:sz w:val="32"/>
          <w:szCs w:val="32"/>
        </w:rPr>
        <w:t>（十一）负责职责范围内安全生产和职业健康等工作。</w:t>
      </w:r>
    </w:p>
    <w:p w14:paraId="4EF220CA">
      <w:pPr>
        <w:pageBreakBefore w:val="0"/>
        <w:kinsoku/>
        <w:wordWrap/>
        <w:overflowPunct/>
        <w:topLinePunct w:val="0"/>
        <w:bidi w:val="0"/>
        <w:snapToGrid w:val="0"/>
        <w:spacing w:line="600" w:lineRule="exact"/>
        <w:ind w:firstLine="640" w:firstLineChars="200"/>
        <w:textAlignment w:val="auto"/>
      </w:pPr>
      <w:r>
        <w:rPr>
          <w:rFonts w:eastAsia="仿宋_GB2312"/>
          <w:sz w:val="32"/>
          <w:szCs w:val="32"/>
        </w:rPr>
        <w:t>（十二）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7104D8DE">
      <w:pPr>
        <w:pStyle w:val="3"/>
        <w:pageBreakBefore w:val="0"/>
        <w:kinsoku/>
        <w:wordWrap/>
        <w:overflowPunct/>
        <w:topLinePunct w:val="0"/>
        <w:bidi w:val="0"/>
        <w:spacing w:before="0" w:after="0" w:line="600" w:lineRule="exact"/>
        <w:ind w:firstLine="640" w:firstLineChars="200"/>
        <w:textAlignment w:val="auto"/>
        <w:rPr>
          <w:rStyle w:val="30"/>
          <w:rFonts w:ascii="Times New Roman" w:hAnsi="Times New Roman" w:cs="Times New Roman"/>
          <w:b w:val="0"/>
          <w:bCs w:val="0"/>
        </w:rPr>
      </w:pPr>
      <w:bookmarkStart w:id="8" w:name="_Toc15377200"/>
      <w:bookmarkStart w:id="9" w:name="_Toc15396601"/>
      <w:r>
        <w:rPr>
          <w:rFonts w:ascii="Times New Roman" w:hAnsi="Times New Roman" w:eastAsia="黑体" w:cs="Times New Roman"/>
          <w:b w:val="0"/>
        </w:rPr>
        <w:t>二、机</w:t>
      </w:r>
      <w:r>
        <w:rPr>
          <w:rStyle w:val="30"/>
          <w:rFonts w:ascii="Times New Roman" w:hAnsi="Times New Roman" w:eastAsia="黑体" w:cs="Times New Roman"/>
          <w:b w:val="0"/>
          <w:bCs w:val="0"/>
        </w:rPr>
        <w:t>构设置</w:t>
      </w:r>
      <w:bookmarkEnd w:id="8"/>
      <w:bookmarkEnd w:id="9"/>
    </w:p>
    <w:p w14:paraId="1480FCB6">
      <w:pPr>
        <w:pageBreakBefore w:val="0"/>
        <w:kinsoku/>
        <w:wordWrap/>
        <w:overflowPunct/>
        <w:topLinePunct w:val="0"/>
        <w:bidi w:val="0"/>
        <w:snapToGrid w:val="0"/>
        <w:spacing w:line="600" w:lineRule="exact"/>
        <w:ind w:firstLine="640" w:firstLineChars="200"/>
        <w:textAlignment w:val="auto"/>
        <w:rPr>
          <w:rFonts w:eastAsia="仿宋_GB2312"/>
          <w:sz w:val="32"/>
          <w:szCs w:val="32"/>
        </w:rPr>
      </w:pPr>
      <w:r>
        <w:rPr>
          <w:rFonts w:eastAsia="仿宋_GB2312"/>
          <w:sz w:val="32"/>
          <w:szCs w:val="32"/>
        </w:rPr>
        <w:t>攀枝花市盐边生态环境局属二级预算单位，内设机构为办公室、综合业务股、污染防治股、盐边生态环境保护综合行政执法大队。</w:t>
      </w:r>
    </w:p>
    <w:p w14:paraId="07F9093D">
      <w:pPr>
        <w:pageBreakBefore w:val="0"/>
        <w:kinsoku/>
        <w:wordWrap/>
        <w:overflowPunct/>
        <w:topLinePunct w:val="0"/>
        <w:bidi w:val="0"/>
        <w:snapToGrid w:val="0"/>
        <w:spacing w:line="600" w:lineRule="exact"/>
        <w:ind w:firstLine="640" w:firstLineChars="200"/>
        <w:textAlignment w:val="auto"/>
        <w:rPr>
          <w:rFonts w:eastAsia="仿宋_GB2312"/>
          <w:sz w:val="32"/>
          <w:szCs w:val="32"/>
        </w:rPr>
      </w:pPr>
      <w:r>
        <w:rPr>
          <w:rFonts w:eastAsia="仿宋_GB2312"/>
          <w:sz w:val="32"/>
          <w:szCs w:val="32"/>
        </w:rPr>
        <w:t>生态环境局办公室：负责文电、档案、机要、保密、目标管理、会议会务、爱国卫生、安全保卫、年鉴、史志编纂等工作。负责机关基本建设和行政后勤等日常运转工作。负责机关内部交办事项的督办工作。组织办理人大代表、政协委员的议案、提案等工作。组织开展重大专题调研。负责生态环境信息宣传工作。负责局机关政务综合协调和监督检查、协调局领导公务活动，承担综合性会议的组织协调，组织公务接待、机关值班等工作，承办局党组会、局务会，牵头办理绩效考核相关工作。审核重要文件、文稿、公报、文献，负责相关文件编号存档工作，负责固定资产管理（实物形态）工作、组织政务信息专报、政务督察等工作。负责所属离退休人员管理。承担机关和所属事业单位的干部人事、机构编制等工作。协助管理生态环境保护行政奖励，协助开展专业技术资格与职务评聘等、领导班子成员和其他同级领导干部的选拔任用、考核和监督管理、人才队伍建设、干部教育培训工作，负责涉公职人员评价、双拥工作、老干部工作、专家服务基层</w:t>
      </w:r>
      <w:r>
        <w:rPr>
          <w:rFonts w:hint="eastAsia" w:eastAsia="仿宋_GB2312"/>
          <w:sz w:val="32"/>
          <w:szCs w:val="32"/>
          <w:lang w:eastAsia="zh-CN"/>
        </w:rPr>
        <w:t>等</w:t>
      </w:r>
      <w:r>
        <w:rPr>
          <w:rFonts w:eastAsia="仿宋_GB2312"/>
          <w:sz w:val="32"/>
          <w:szCs w:val="32"/>
        </w:rPr>
        <w:t>相关工作。承担系统</w:t>
      </w:r>
      <w:r>
        <w:rPr>
          <w:rFonts w:hint="eastAsia" w:eastAsia="仿宋_GB2312"/>
          <w:sz w:val="32"/>
          <w:szCs w:val="32"/>
          <w:lang w:eastAsia="zh-CN"/>
        </w:rPr>
        <w:t>内</w:t>
      </w:r>
      <w:r>
        <w:rPr>
          <w:rFonts w:eastAsia="仿宋_GB2312"/>
          <w:sz w:val="32"/>
          <w:szCs w:val="32"/>
        </w:rPr>
        <w:t>计算机和网站维护和管理工作，承担机关的财务和国有资产管理等工作。</w:t>
      </w:r>
    </w:p>
    <w:p w14:paraId="448F84CD">
      <w:pPr>
        <w:pageBreakBefore w:val="0"/>
        <w:kinsoku/>
        <w:wordWrap/>
        <w:overflowPunct/>
        <w:topLinePunct w:val="0"/>
        <w:bidi w:val="0"/>
        <w:snapToGrid w:val="0"/>
        <w:spacing w:line="600" w:lineRule="exact"/>
        <w:ind w:firstLine="640" w:firstLineChars="200"/>
        <w:textAlignment w:val="auto"/>
        <w:rPr>
          <w:rFonts w:eastAsia="仿宋_GB2312"/>
          <w:sz w:val="32"/>
          <w:szCs w:val="32"/>
        </w:rPr>
      </w:pPr>
      <w:r>
        <w:rPr>
          <w:rFonts w:eastAsia="仿宋_GB2312"/>
          <w:sz w:val="32"/>
          <w:szCs w:val="32"/>
        </w:rPr>
        <w:t>综合业务股：负责生态环境规划工作，参与拟订区域内国民经济与社会发展规划。组织起草县生态环境规划，协调和审核生态环境专项规划，参与拟订全县主体功能区划。组织开展全县生态环境统计、污染源普查工作。承担全县污染物排放总量控制指标、排污权交易综合协调和管理工作。参与推进长江经济带发展有关工作。牵头负责主要污染物总量控制与减排工作。承担生态文明体制改革工作。负责建立环境责任体系，监督区域内生态环境保护“党政同责、一岗双责”落实情况。负责对各有关部门落实中央、省、市生态环境保护决策部署情况进行监督和监察，组织开展迎接中央、省生态环境保护督察及问题整改工作。负责区域内生态环境问题的统筹协调和监督管理。组织、指导生态示范县创建工作。负责辐射环境事故应急处理工作。监督管理放射源与射线装置安全，负责核与辐射建设项目“三同时”管理工作。负责协调区域内较大及以下突发生态环境事件和生态破坏事件的应对及后续有关工作。负责机关信访、维稳、综治等工作，完成局党组交办的其他工作任务。</w:t>
      </w:r>
    </w:p>
    <w:p w14:paraId="2C9A0CFC">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污染防治股：污染防治一组：负责区域内地表水（含地下水）监管工作。监督实施水体污染防治政策、规划、法规和重点流域生态环境规划。组织实施水功能区划。组织实施水体断面考核制度。拟订水污染防治行动计划实施方案并组织实施。承担涉水排污口设置管理工作。承担主要水污染物减排工作。牵头组织“碧水”战役，参与城镇黑臭水体治理工作，参与河（湖）长制相关工作；组织指导区域内农村生态环境保护，监督指导农业面源污染治理工作。组织指导区域内农村生态环境综合整治，牵头推进农村生活污水相关工作。监督防止地下水污染，监督实施饮用水水源地生态环境规划，牵头组织开展饮用水水源地问题整治。参与实施乡村振兴战略。承担生态扶贫相关工作。组织、指导绿色生态示范创建工作。监督实施各类自然保护地生态环境监管制度。监督野生动植物保护、湿地生态环境保护、荒漠化防治等有关工作。监督生物技术环境安全，牵头生物物种（含遗传资源）工作，组织协调生物多样性保护工作。负责对工业园区生态环境工作实施监督管理。</w:t>
      </w:r>
    </w:p>
    <w:p w14:paraId="7F33A5A2">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污染防治二组：负责区域内大气、土壤生态环境监管工作。负责区域内土壤污染防治和生态保护的监督管理。按职责分工，组织开展强制性清洁生产审核。负责固体废物、化学品、重金属等污染防治的监督管理，组织实施危险废物经营许可环境管理制度。指导有机食品发展。负责区域内大气、噪声、光、化石能源等污染防治的监督管理。拟订并组织实施大气环境质量改善目标落实情况考核制度。组织实施大气污染防治工作。承担涉气排污口设置管理工作。承担大气主要污染物总量减排工作。承担气候变化对全县经济社会发展影响的综合分析工作。完成局党组交办的其他工作任务。</w:t>
      </w:r>
    </w:p>
    <w:p w14:paraId="685F101C">
      <w:pPr>
        <w:pageBreakBefore w:val="0"/>
        <w:widowControl/>
        <w:kinsoku/>
        <w:wordWrap/>
        <w:overflowPunct/>
        <w:topLinePunct w:val="0"/>
        <w:bidi w:val="0"/>
        <w:spacing w:line="600" w:lineRule="exact"/>
        <w:ind w:firstLine="640" w:firstLineChars="200"/>
        <w:jc w:val="left"/>
        <w:textAlignment w:val="auto"/>
        <w:rPr>
          <w:rFonts w:eastAsia="仿宋"/>
          <w:kern w:val="0"/>
          <w:sz w:val="32"/>
          <w:szCs w:val="32"/>
        </w:rPr>
      </w:pPr>
      <w:r>
        <w:rPr>
          <w:rFonts w:eastAsia="仿宋_GB2312"/>
          <w:sz w:val="32"/>
          <w:szCs w:val="32"/>
        </w:rPr>
        <w:t>盐边生态环境保护综合行政执法大队：承担依法取得的全县污染防治、生态保护、核与辐射安全的行政处罚权以及与行政处罚相关的行政检查、行政强制权等执法职责；参与对突发环境事件、生态破坏事件的调查工作。负责协调区域内较大及以下突发生态环境事件和生态破坏事件的应对及后续有关工作。负责机关信访、维稳、综治等工作。</w:t>
      </w:r>
    </w:p>
    <w:p w14:paraId="1BB4A510">
      <w:pPr>
        <w:pageBreakBefore w:val="0"/>
        <w:widowControl/>
        <w:kinsoku/>
        <w:wordWrap/>
        <w:overflowPunct/>
        <w:topLinePunct w:val="0"/>
        <w:bidi w:val="0"/>
        <w:spacing w:line="600" w:lineRule="exact"/>
        <w:jc w:val="left"/>
        <w:textAlignment w:val="auto"/>
        <w:rPr>
          <w:rFonts w:eastAsia="仿宋"/>
          <w:kern w:val="0"/>
          <w:sz w:val="32"/>
          <w:szCs w:val="32"/>
        </w:rPr>
      </w:pPr>
      <w:r>
        <w:rPr>
          <w:rFonts w:eastAsia="仿宋"/>
          <w:sz w:val="32"/>
          <w:szCs w:val="32"/>
        </w:rPr>
        <w:br w:type="page"/>
      </w:r>
    </w:p>
    <w:p w14:paraId="46D50824">
      <w:pPr>
        <w:pStyle w:val="2"/>
        <w:pageBreakBefore w:val="0"/>
        <w:kinsoku/>
        <w:wordWrap/>
        <w:overflowPunct/>
        <w:topLinePunct w:val="0"/>
        <w:bidi w:val="0"/>
        <w:spacing w:line="600" w:lineRule="exact"/>
        <w:jc w:val="center"/>
        <w:textAlignment w:val="auto"/>
        <w:rPr>
          <w:rFonts w:eastAsia="方正小标宋简体"/>
          <w:b w:val="0"/>
        </w:rPr>
      </w:pPr>
      <w:bookmarkStart w:id="10" w:name="_Toc15396602"/>
      <w:bookmarkStart w:id="11" w:name="_Toc15377204"/>
      <w:r>
        <w:rPr>
          <w:rFonts w:eastAsia="方正小标宋简体"/>
          <w:b w:val="0"/>
        </w:rPr>
        <w:t>第二部分  202</w:t>
      </w:r>
      <w:r>
        <w:rPr>
          <w:rFonts w:hint="eastAsia" w:eastAsia="方正小标宋简体"/>
          <w:b w:val="0"/>
        </w:rPr>
        <w:t>5</w:t>
      </w:r>
      <w:r>
        <w:rPr>
          <w:rFonts w:eastAsia="方正小标宋简体"/>
          <w:b w:val="0"/>
        </w:rPr>
        <w:t>年度单位决算情况说明</w:t>
      </w:r>
      <w:bookmarkEnd w:id="10"/>
      <w:bookmarkEnd w:id="11"/>
    </w:p>
    <w:p w14:paraId="47C41466">
      <w:pPr>
        <w:pageBreakBefore w:val="0"/>
        <w:kinsoku/>
        <w:wordWrap/>
        <w:overflowPunct/>
        <w:topLinePunct w:val="0"/>
        <w:bidi w:val="0"/>
        <w:spacing w:line="600" w:lineRule="exact"/>
        <w:textAlignment w:val="auto"/>
      </w:pPr>
    </w:p>
    <w:p w14:paraId="4DEEFCAE">
      <w:pPr>
        <w:pStyle w:val="28"/>
        <w:pageBreakBefore w:val="0"/>
        <w:kinsoku/>
        <w:wordWrap/>
        <w:overflowPunct/>
        <w:topLinePunct w:val="0"/>
        <w:bidi w:val="0"/>
        <w:spacing w:line="600" w:lineRule="exact"/>
        <w:ind w:firstLine="640"/>
        <w:textAlignment w:val="auto"/>
        <w:outlineLvl w:val="1"/>
        <w:rPr>
          <w:rStyle w:val="30"/>
          <w:rFonts w:ascii="Times New Roman" w:hAnsi="Times New Roman" w:eastAsia="黑体" w:cs="Times New Roman"/>
          <w:b w:val="0"/>
        </w:rPr>
      </w:pPr>
      <w:bookmarkStart w:id="12" w:name="_Toc15377205"/>
      <w:bookmarkStart w:id="13" w:name="_Toc15396603"/>
      <w:r>
        <w:rPr>
          <w:rFonts w:eastAsia="黑体"/>
          <w:sz w:val="32"/>
          <w:szCs w:val="32"/>
        </w:rPr>
        <w:t>一、收</w:t>
      </w:r>
      <w:r>
        <w:rPr>
          <w:rStyle w:val="30"/>
          <w:rFonts w:ascii="Times New Roman" w:hAnsi="Times New Roman" w:eastAsia="黑体" w:cs="Times New Roman"/>
          <w:b w:val="0"/>
        </w:rPr>
        <w:t>入支出决算总体情况说明</w:t>
      </w:r>
      <w:bookmarkEnd w:id="12"/>
      <w:bookmarkEnd w:id="13"/>
    </w:p>
    <w:p w14:paraId="1FCBA180">
      <w:pPr>
        <w:pageBreakBefore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2025年度收入、支出总计均为223.96万元。与2024年度相比，收入、支出总计减少9.95万元，下降4.3%。主要变动原因是有人员调出，人员经费略有下降。</w:t>
      </w:r>
    </w:p>
    <w:p w14:paraId="0B5AC9B0">
      <w:pPr>
        <w:pStyle w:val="5"/>
        <w:pageBreakBefore w:val="0"/>
        <w:kinsoku/>
        <w:wordWrap/>
        <w:overflowPunct/>
        <w:topLinePunct w:val="0"/>
        <w:bidi w:val="0"/>
        <w:spacing w:line="600" w:lineRule="exact"/>
        <w:textAlignment w:val="auto"/>
      </w:pPr>
    </w:p>
    <w:p w14:paraId="6544E47D">
      <w:pPr>
        <w:pageBreakBefore w:val="0"/>
        <w:kinsoku/>
        <w:wordWrap/>
        <w:overflowPunct/>
        <w:topLinePunct w:val="0"/>
        <w:bidi w:val="0"/>
        <w:spacing w:line="600" w:lineRule="exact"/>
        <w:ind w:firstLine="640" w:firstLineChars="200"/>
        <w:textAlignment w:val="auto"/>
        <w:rPr>
          <w:rFonts w:eastAsia="仿宋_GB2312"/>
          <w:sz w:val="32"/>
          <w:szCs w:val="32"/>
        </w:rPr>
      </w:pPr>
      <w:bookmarkStart w:id="14" w:name="_Toc15396604"/>
      <w:bookmarkStart w:id="15" w:name="_Toc15377206"/>
    </w:p>
    <w:p w14:paraId="5D9DF356">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3A5656CD">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11995B47">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75E27820">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5F07126E">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41C31864">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51650BCD">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261CE931">
      <w:pPr>
        <w:pageBreakBefore w:val="0"/>
        <w:kinsoku/>
        <w:wordWrap/>
        <w:overflowPunct/>
        <w:topLinePunct w:val="0"/>
        <w:bidi w:val="0"/>
        <w:spacing w:line="600" w:lineRule="exact"/>
        <w:ind w:firstLine="640" w:firstLineChars="200"/>
        <w:jc w:val="center"/>
        <w:textAlignment w:val="auto"/>
        <w:rPr>
          <w:rFonts w:eastAsia="仿宋_GB2312"/>
          <w:sz w:val="32"/>
          <w:szCs w:val="32"/>
        </w:rPr>
      </w:pPr>
      <w:r>
        <w:rPr>
          <w:rFonts w:eastAsia="仿宋_GB2312"/>
          <w:sz w:val="32"/>
          <w:szCs w:val="32"/>
        </w:rPr>
        <w:drawing>
          <wp:anchor distT="0" distB="0" distL="114300" distR="114300" simplePos="0" relativeHeight="251659264" behindDoc="0" locked="0" layoutInCell="1" allowOverlap="1">
            <wp:simplePos x="0" y="0"/>
            <wp:positionH relativeFrom="column">
              <wp:posOffset>463550</wp:posOffset>
            </wp:positionH>
            <wp:positionV relativeFrom="paragraph">
              <wp:posOffset>-3100705</wp:posOffset>
            </wp:positionV>
            <wp:extent cx="4745355" cy="3399155"/>
            <wp:effectExtent l="4445" t="4445" r="12700" b="635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2DA0B3A">
      <w:pPr>
        <w:pageBreakBefore w:val="0"/>
        <w:kinsoku/>
        <w:wordWrap/>
        <w:overflowPunct/>
        <w:topLinePunct w:val="0"/>
        <w:bidi w:val="0"/>
        <w:spacing w:line="60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图1：收入、支出决算总计变动情况图 单位：万元</w:t>
      </w:r>
    </w:p>
    <w:p w14:paraId="60B76141">
      <w:pPr>
        <w:pStyle w:val="28"/>
        <w:pageBreakBefore w:val="0"/>
        <w:kinsoku/>
        <w:wordWrap/>
        <w:overflowPunct/>
        <w:topLinePunct w:val="0"/>
        <w:bidi w:val="0"/>
        <w:spacing w:line="600" w:lineRule="exact"/>
        <w:ind w:firstLine="640"/>
        <w:textAlignment w:val="auto"/>
        <w:outlineLvl w:val="1"/>
        <w:rPr>
          <w:rFonts w:eastAsia="黑体"/>
          <w:sz w:val="32"/>
          <w:szCs w:val="32"/>
        </w:rPr>
      </w:pPr>
      <w:r>
        <w:rPr>
          <w:rFonts w:eastAsia="黑体"/>
          <w:sz w:val="32"/>
          <w:szCs w:val="32"/>
        </w:rPr>
        <w:t>二、收入决算情况说明</w:t>
      </w:r>
      <w:bookmarkEnd w:id="14"/>
      <w:bookmarkEnd w:id="15"/>
    </w:p>
    <w:p w14:paraId="3622AE68">
      <w:pPr>
        <w:pStyle w:val="28"/>
        <w:pageBreakBefore w:val="0"/>
        <w:kinsoku/>
        <w:wordWrap/>
        <w:overflowPunct/>
        <w:topLinePunct w:val="0"/>
        <w:bidi w:val="0"/>
        <w:spacing w:line="600" w:lineRule="exact"/>
        <w:ind w:firstLine="64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2025年度本年收入合计223.96万元，其中：一般公共预算财政拨款收入223.96万元，占100%。</w:t>
      </w:r>
    </w:p>
    <w:p w14:paraId="35629F3F">
      <w:pPr>
        <w:pStyle w:val="28"/>
        <w:pageBreakBefore w:val="0"/>
        <w:kinsoku/>
        <w:wordWrap/>
        <w:overflowPunct/>
        <w:topLinePunct w:val="0"/>
        <w:bidi w:val="0"/>
        <w:spacing w:line="600" w:lineRule="exact"/>
        <w:ind w:firstLine="640"/>
        <w:jc w:val="left"/>
        <w:textAlignment w:val="auto"/>
        <w:outlineLvl w:val="1"/>
        <w:rPr>
          <w:rFonts w:eastAsia="仿宋_GB2312"/>
          <w:sz w:val="32"/>
          <w:szCs w:val="32"/>
        </w:rPr>
      </w:pPr>
    </w:p>
    <w:p w14:paraId="4323AFBA">
      <w:pPr>
        <w:pStyle w:val="28"/>
        <w:pageBreakBefore w:val="0"/>
        <w:kinsoku/>
        <w:wordWrap/>
        <w:overflowPunct/>
        <w:topLinePunct w:val="0"/>
        <w:bidi w:val="0"/>
        <w:spacing w:line="600" w:lineRule="exact"/>
        <w:ind w:firstLine="640"/>
        <w:jc w:val="left"/>
        <w:textAlignment w:val="auto"/>
        <w:outlineLvl w:val="1"/>
        <w:rPr>
          <w:rFonts w:eastAsia="仿宋_GB2312"/>
          <w:sz w:val="32"/>
          <w:szCs w:val="32"/>
        </w:rPr>
      </w:pPr>
    </w:p>
    <w:p w14:paraId="4EAE947A">
      <w:pPr>
        <w:pageBreakBefore w:val="0"/>
        <w:kinsoku/>
        <w:wordWrap/>
        <w:overflowPunct/>
        <w:topLinePunct w:val="0"/>
        <w:bidi w:val="0"/>
        <w:spacing w:line="600" w:lineRule="exact"/>
        <w:textAlignment w:val="auto"/>
        <w:rPr>
          <w:rFonts w:eastAsia="仿宋_GB2312"/>
          <w:sz w:val="32"/>
          <w:szCs w:val="32"/>
        </w:rPr>
      </w:pPr>
    </w:p>
    <w:p w14:paraId="400EE8DB">
      <w:pPr>
        <w:pageBreakBefore w:val="0"/>
        <w:kinsoku/>
        <w:wordWrap/>
        <w:overflowPunct/>
        <w:topLinePunct w:val="0"/>
        <w:bidi w:val="0"/>
        <w:spacing w:line="600" w:lineRule="exact"/>
        <w:ind w:firstLine="800" w:firstLineChars="250"/>
        <w:textAlignment w:val="auto"/>
        <w:rPr>
          <w:rFonts w:eastAsia="仿宋_GB2312"/>
          <w:sz w:val="32"/>
          <w:szCs w:val="32"/>
        </w:rPr>
      </w:pPr>
    </w:p>
    <w:p w14:paraId="43452BB0">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4D939BF7">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02F75720">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5BFBB3F1">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0AF01362">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675C0D18">
      <w:pPr>
        <w:pageBreakBefore w:val="0"/>
        <w:kinsoku/>
        <w:wordWrap/>
        <w:overflowPunct/>
        <w:topLinePunct w:val="0"/>
        <w:bidi w:val="0"/>
        <w:spacing w:line="600" w:lineRule="exact"/>
        <w:ind w:firstLine="800" w:firstLineChars="250"/>
        <w:jc w:val="center"/>
        <w:textAlignment w:val="auto"/>
        <w:rPr>
          <w:rFonts w:eastAsia="仿宋_GB2312"/>
          <w:sz w:val="32"/>
          <w:szCs w:val="32"/>
        </w:rPr>
      </w:pPr>
      <w:r>
        <w:rPr>
          <w:rFonts w:eastAsia="仿宋_GB2312"/>
          <w:sz w:val="32"/>
          <w:szCs w:val="32"/>
        </w:rPr>
        <w:drawing>
          <wp:anchor distT="0" distB="0" distL="114300" distR="114300" simplePos="0" relativeHeight="251660288" behindDoc="0" locked="0" layoutInCell="1" allowOverlap="1">
            <wp:simplePos x="0" y="0"/>
            <wp:positionH relativeFrom="column">
              <wp:posOffset>647700</wp:posOffset>
            </wp:positionH>
            <wp:positionV relativeFrom="paragraph">
              <wp:posOffset>-2548255</wp:posOffset>
            </wp:positionV>
            <wp:extent cx="4478020" cy="3086100"/>
            <wp:effectExtent l="4445" t="4445" r="1333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CB815C0">
      <w:pPr>
        <w:pageBreakBefore w:val="0"/>
        <w:kinsoku/>
        <w:wordWrap/>
        <w:overflowPunct/>
        <w:topLinePunct w:val="0"/>
        <w:bidi w:val="0"/>
        <w:spacing w:line="600" w:lineRule="exact"/>
        <w:ind w:firstLine="2560" w:firstLineChars="800"/>
        <w:jc w:val="both"/>
        <w:textAlignment w:val="auto"/>
        <w:rPr>
          <w:rFonts w:eastAsia="仿宋_GB2312"/>
          <w:sz w:val="32"/>
          <w:szCs w:val="32"/>
        </w:rPr>
      </w:pPr>
    </w:p>
    <w:p w14:paraId="0539FDC6">
      <w:pPr>
        <w:pageBreakBefore w:val="0"/>
        <w:kinsoku/>
        <w:wordWrap/>
        <w:overflowPunct/>
        <w:topLinePunct w:val="0"/>
        <w:bidi w:val="0"/>
        <w:spacing w:line="600" w:lineRule="exact"/>
        <w:ind w:firstLine="2560" w:firstLineChars="800"/>
        <w:jc w:val="both"/>
        <w:textAlignment w:val="auto"/>
        <w:rPr>
          <w:rFonts w:eastAsia="仿宋_GB2312"/>
          <w:sz w:val="32"/>
          <w:szCs w:val="32"/>
        </w:rPr>
      </w:pPr>
      <w:r>
        <w:rPr>
          <w:rFonts w:eastAsia="仿宋_GB2312"/>
          <w:sz w:val="32"/>
          <w:szCs w:val="32"/>
        </w:rPr>
        <w:t>图2：收入决算结构图</w:t>
      </w:r>
    </w:p>
    <w:p w14:paraId="50058785">
      <w:pPr>
        <w:pStyle w:val="28"/>
        <w:pageBreakBefore w:val="0"/>
        <w:kinsoku/>
        <w:wordWrap/>
        <w:overflowPunct/>
        <w:topLinePunct w:val="0"/>
        <w:bidi w:val="0"/>
        <w:spacing w:line="600" w:lineRule="exact"/>
        <w:ind w:firstLine="640"/>
        <w:textAlignment w:val="auto"/>
        <w:outlineLvl w:val="1"/>
        <w:rPr>
          <w:rStyle w:val="30"/>
          <w:rFonts w:ascii="Times New Roman" w:hAnsi="Times New Roman" w:eastAsia="黑体" w:cs="Times New Roman"/>
          <w:b w:val="0"/>
        </w:rPr>
      </w:pPr>
      <w:bookmarkStart w:id="16" w:name="_Toc15396605"/>
      <w:bookmarkStart w:id="17" w:name="_Toc15377207"/>
      <w:r>
        <w:rPr>
          <w:rFonts w:eastAsia="黑体"/>
          <w:sz w:val="32"/>
          <w:szCs w:val="32"/>
        </w:rPr>
        <w:t>三、支</w:t>
      </w:r>
      <w:r>
        <w:rPr>
          <w:rStyle w:val="30"/>
          <w:rFonts w:ascii="Times New Roman" w:hAnsi="Times New Roman" w:eastAsia="黑体" w:cs="Times New Roman"/>
          <w:b w:val="0"/>
        </w:rPr>
        <w:t>出决算情况说明</w:t>
      </w:r>
      <w:bookmarkEnd w:id="16"/>
      <w:bookmarkEnd w:id="17"/>
    </w:p>
    <w:p w14:paraId="38FDB167">
      <w:pPr>
        <w:pStyle w:val="28"/>
        <w:pageBreakBefore w:val="0"/>
        <w:kinsoku/>
        <w:wordWrap/>
        <w:overflowPunct/>
        <w:topLinePunct w:val="0"/>
        <w:bidi w:val="0"/>
        <w:spacing w:line="600" w:lineRule="exact"/>
        <w:ind w:firstLine="64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2025年度本年支出合计223.96万元，其中：基本支出223.96万元，占100%；项目支出0万元。</w:t>
      </w:r>
    </w:p>
    <w:p w14:paraId="56B18BFF">
      <w:pPr>
        <w:pageBreakBefore w:val="0"/>
        <w:kinsoku/>
        <w:wordWrap/>
        <w:overflowPunct/>
        <w:topLinePunct w:val="0"/>
        <w:bidi w:val="0"/>
        <w:spacing w:line="600" w:lineRule="exact"/>
        <w:ind w:firstLine="800" w:firstLineChars="250"/>
        <w:textAlignment w:val="auto"/>
        <w:rPr>
          <w:rFonts w:eastAsia="仿宋_GB2312"/>
          <w:sz w:val="32"/>
          <w:szCs w:val="32"/>
        </w:rPr>
      </w:pPr>
    </w:p>
    <w:p w14:paraId="1BC73508">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61D0DB9F">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75B43472">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718F41B9">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38C7E45C">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451EE2FA">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2DB07C5E">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4AF051AD">
      <w:pPr>
        <w:pageBreakBefore w:val="0"/>
        <w:kinsoku/>
        <w:wordWrap/>
        <w:overflowPunct/>
        <w:topLinePunct w:val="0"/>
        <w:bidi w:val="0"/>
        <w:spacing w:line="600" w:lineRule="exact"/>
        <w:ind w:firstLine="800" w:firstLineChars="250"/>
        <w:jc w:val="center"/>
        <w:textAlignment w:val="auto"/>
        <w:rPr>
          <w:rFonts w:eastAsia="仿宋_GB2312"/>
          <w:sz w:val="32"/>
          <w:szCs w:val="32"/>
        </w:rPr>
      </w:pPr>
      <w:r>
        <w:rPr>
          <w:rFonts w:eastAsia="仿宋_GB2312"/>
          <w:sz w:val="32"/>
          <w:szCs w:val="32"/>
        </w:rPr>
        <w:drawing>
          <wp:anchor distT="0" distB="0" distL="114300" distR="114300" simplePos="0" relativeHeight="251661312" behindDoc="0" locked="0" layoutInCell="1" allowOverlap="1">
            <wp:simplePos x="0" y="0"/>
            <wp:positionH relativeFrom="column">
              <wp:posOffset>581025</wp:posOffset>
            </wp:positionH>
            <wp:positionV relativeFrom="paragraph">
              <wp:posOffset>-2872105</wp:posOffset>
            </wp:positionV>
            <wp:extent cx="4606925" cy="3162300"/>
            <wp:effectExtent l="4445" t="4445" r="17780"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B56372E">
      <w:pPr>
        <w:pageBreakBefore w:val="0"/>
        <w:kinsoku/>
        <w:wordWrap/>
        <w:overflowPunct/>
        <w:topLinePunct w:val="0"/>
        <w:bidi w:val="0"/>
        <w:spacing w:line="600" w:lineRule="exact"/>
        <w:ind w:firstLine="800" w:firstLineChars="250"/>
        <w:jc w:val="center"/>
        <w:textAlignment w:val="auto"/>
        <w:rPr>
          <w:rFonts w:eastAsia="仿宋_GB2312"/>
          <w:sz w:val="32"/>
          <w:szCs w:val="32"/>
        </w:rPr>
      </w:pPr>
      <w:r>
        <w:rPr>
          <w:rFonts w:eastAsia="仿宋_GB2312"/>
          <w:sz w:val="32"/>
          <w:szCs w:val="32"/>
        </w:rPr>
        <w:t>图3：支出决算结构图</w:t>
      </w:r>
      <w:r>
        <w:rPr>
          <w:rFonts w:hint="eastAsia" w:eastAsia="仿宋_GB2312"/>
          <w:sz w:val="32"/>
          <w:szCs w:val="32"/>
        </w:rPr>
        <w:t xml:space="preserve">  单位：万元</w:t>
      </w:r>
    </w:p>
    <w:p w14:paraId="6128CAD8">
      <w:pPr>
        <w:pageBreakBefore w:val="0"/>
        <w:kinsoku/>
        <w:wordWrap/>
        <w:overflowPunct/>
        <w:topLinePunct w:val="0"/>
        <w:bidi w:val="0"/>
        <w:spacing w:line="600" w:lineRule="exact"/>
        <w:ind w:firstLine="640" w:firstLineChars="200"/>
        <w:textAlignment w:val="auto"/>
        <w:outlineLvl w:val="1"/>
        <w:rPr>
          <w:rStyle w:val="30"/>
          <w:rFonts w:ascii="Times New Roman" w:hAnsi="Times New Roman" w:eastAsia="黑体" w:cs="Times New Roman"/>
          <w:b w:val="0"/>
        </w:rPr>
      </w:pPr>
      <w:bookmarkStart w:id="18" w:name="_Toc15377208"/>
      <w:bookmarkStart w:id="19" w:name="_Toc15396606"/>
      <w:r>
        <w:rPr>
          <w:rFonts w:eastAsia="黑体"/>
          <w:sz w:val="32"/>
          <w:szCs w:val="32"/>
        </w:rPr>
        <w:t>四、财</w:t>
      </w:r>
      <w:r>
        <w:rPr>
          <w:rStyle w:val="30"/>
          <w:rFonts w:ascii="Times New Roman" w:hAnsi="Times New Roman" w:eastAsia="黑体" w:cs="Times New Roman"/>
          <w:b w:val="0"/>
        </w:rPr>
        <w:t>政拨款收入支出决算总体情况说明</w:t>
      </w:r>
      <w:bookmarkEnd w:id="18"/>
      <w:bookmarkEnd w:id="19"/>
    </w:p>
    <w:p w14:paraId="3ABA402E">
      <w:pPr>
        <w:pageBreakBefore w:val="0"/>
        <w:kinsoku/>
        <w:wordWrap/>
        <w:overflowPunct/>
        <w:topLinePunct w:val="0"/>
        <w:bidi w:val="0"/>
        <w:spacing w:line="600" w:lineRule="exact"/>
        <w:ind w:firstLine="640"/>
        <w:textAlignment w:val="auto"/>
        <w:rPr>
          <w:rFonts w:eastAsia="仿宋_GB2312"/>
          <w:sz w:val="32"/>
          <w:szCs w:val="32"/>
        </w:rPr>
      </w:pPr>
      <w:r>
        <w:rPr>
          <w:rFonts w:eastAsia="仿宋_GB2312"/>
          <w:sz w:val="32"/>
          <w:szCs w:val="32"/>
        </w:rPr>
        <w:t>202</w:t>
      </w:r>
      <w:r>
        <w:rPr>
          <w:rFonts w:hint="eastAsia" w:eastAsia="仿宋_GB2312"/>
          <w:sz w:val="32"/>
          <w:szCs w:val="32"/>
        </w:rPr>
        <w:t>5</w:t>
      </w:r>
      <w:r>
        <w:rPr>
          <w:rFonts w:eastAsia="仿宋_GB2312"/>
          <w:sz w:val="32"/>
          <w:szCs w:val="32"/>
        </w:rPr>
        <w:t>年度财政拨款收入、支出总计均为2</w:t>
      </w:r>
      <w:r>
        <w:rPr>
          <w:rFonts w:hint="eastAsia" w:eastAsia="仿宋_GB2312"/>
          <w:sz w:val="32"/>
          <w:szCs w:val="32"/>
        </w:rPr>
        <w:t>2</w:t>
      </w:r>
      <w:r>
        <w:rPr>
          <w:rFonts w:eastAsia="仿宋_GB2312"/>
          <w:sz w:val="32"/>
          <w:szCs w:val="32"/>
        </w:rPr>
        <w:t>3.9</w:t>
      </w:r>
      <w:r>
        <w:rPr>
          <w:rFonts w:hint="eastAsia" w:eastAsia="仿宋_GB2312"/>
          <w:sz w:val="32"/>
          <w:szCs w:val="32"/>
        </w:rPr>
        <w:t>6</w:t>
      </w:r>
      <w:r>
        <w:rPr>
          <w:rFonts w:eastAsia="仿宋_GB2312"/>
          <w:sz w:val="32"/>
          <w:szCs w:val="32"/>
        </w:rPr>
        <w:t>万元。与202</w:t>
      </w:r>
      <w:r>
        <w:rPr>
          <w:rFonts w:hint="eastAsia" w:eastAsia="仿宋_GB2312"/>
          <w:sz w:val="32"/>
          <w:szCs w:val="32"/>
        </w:rPr>
        <w:t>4</w:t>
      </w:r>
      <w:r>
        <w:rPr>
          <w:rFonts w:eastAsia="仿宋_GB2312"/>
          <w:sz w:val="32"/>
          <w:szCs w:val="32"/>
        </w:rPr>
        <w:t>年度相比，财政拨款收入总计、支出总计各</w:t>
      </w:r>
      <w:r>
        <w:rPr>
          <w:rFonts w:hint="eastAsia" w:eastAsia="仿宋_GB2312"/>
          <w:sz w:val="32"/>
          <w:szCs w:val="32"/>
        </w:rPr>
        <w:t>减少9.95</w:t>
      </w:r>
      <w:r>
        <w:rPr>
          <w:rFonts w:eastAsia="仿宋_GB2312"/>
          <w:sz w:val="32"/>
          <w:szCs w:val="32"/>
        </w:rPr>
        <w:t>万元，</w:t>
      </w:r>
      <w:r>
        <w:rPr>
          <w:rFonts w:hint="eastAsia" w:eastAsia="仿宋_GB2312"/>
          <w:sz w:val="32"/>
          <w:szCs w:val="32"/>
        </w:rPr>
        <w:t>下降4.3</w:t>
      </w:r>
      <w:r>
        <w:rPr>
          <w:rFonts w:eastAsia="仿宋_GB2312"/>
          <w:sz w:val="32"/>
          <w:szCs w:val="32"/>
        </w:rPr>
        <w:t>%。变动原因是</w:t>
      </w:r>
      <w:r>
        <w:rPr>
          <w:rFonts w:hint="eastAsia" w:eastAsia="仿宋_GB2312"/>
          <w:sz w:val="32"/>
          <w:szCs w:val="32"/>
        </w:rPr>
        <w:t>有</w:t>
      </w:r>
      <w:r>
        <w:rPr>
          <w:rFonts w:hint="eastAsia" w:eastAsia="仿宋"/>
          <w:sz w:val="32"/>
          <w:szCs w:val="32"/>
        </w:rPr>
        <w:t>人员调出，人员经费略有下降</w:t>
      </w:r>
      <w:r>
        <w:rPr>
          <w:rFonts w:eastAsia="仿宋"/>
          <w:sz w:val="32"/>
          <w:szCs w:val="32"/>
        </w:rPr>
        <w:t>。</w:t>
      </w:r>
    </w:p>
    <w:p w14:paraId="465D09E2">
      <w:pPr>
        <w:pageBreakBefore w:val="0"/>
        <w:kinsoku/>
        <w:wordWrap/>
        <w:overflowPunct/>
        <w:topLinePunct w:val="0"/>
        <w:bidi w:val="0"/>
        <w:spacing w:line="600" w:lineRule="exact"/>
        <w:jc w:val="center"/>
        <w:textAlignment w:val="auto"/>
      </w:pPr>
    </w:p>
    <w:p w14:paraId="23A09301">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25CF1A3D">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51D0EE86">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10C31C00">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542F9A2F">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20C0A1C4">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192D2485">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02D17C42">
      <w:pPr>
        <w:pageBreakBefore w:val="0"/>
        <w:kinsoku/>
        <w:wordWrap/>
        <w:overflowPunct/>
        <w:topLinePunct w:val="0"/>
        <w:bidi w:val="0"/>
        <w:spacing w:line="600" w:lineRule="exact"/>
        <w:ind w:firstLine="640" w:firstLineChars="200"/>
        <w:jc w:val="center"/>
        <w:textAlignment w:val="auto"/>
        <w:rPr>
          <w:rFonts w:eastAsia="仿宋_GB2312"/>
          <w:sz w:val="32"/>
          <w:szCs w:val="32"/>
        </w:rPr>
      </w:pPr>
      <w:r>
        <w:rPr>
          <w:rFonts w:eastAsia="仿宋_GB2312"/>
          <w:sz w:val="32"/>
          <w:szCs w:val="32"/>
        </w:rPr>
        <w:drawing>
          <wp:anchor distT="0" distB="0" distL="114300" distR="114300" simplePos="0" relativeHeight="251662336" behindDoc="0" locked="0" layoutInCell="1" allowOverlap="1">
            <wp:simplePos x="0" y="0"/>
            <wp:positionH relativeFrom="column">
              <wp:posOffset>434975</wp:posOffset>
            </wp:positionH>
            <wp:positionV relativeFrom="paragraph">
              <wp:posOffset>-2985770</wp:posOffset>
            </wp:positionV>
            <wp:extent cx="4798060" cy="3284855"/>
            <wp:effectExtent l="4445" t="5080" r="17145" b="571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A005C5A">
      <w:pPr>
        <w:pageBreakBefore w:val="0"/>
        <w:kinsoku/>
        <w:wordWrap/>
        <w:overflowPunct/>
        <w:topLinePunct w:val="0"/>
        <w:bidi w:val="0"/>
        <w:spacing w:line="600" w:lineRule="exact"/>
        <w:ind w:firstLine="640" w:firstLineChars="200"/>
        <w:jc w:val="both"/>
        <w:textAlignment w:val="auto"/>
        <w:rPr>
          <w:rFonts w:eastAsia="仿宋_GB2312"/>
          <w:sz w:val="32"/>
          <w:szCs w:val="32"/>
        </w:rPr>
      </w:pPr>
      <w:r>
        <w:rPr>
          <w:rFonts w:eastAsia="仿宋_GB2312"/>
          <w:sz w:val="32"/>
          <w:szCs w:val="32"/>
        </w:rPr>
        <w:t>图4：财政拨款收、支决算总计变动情况</w:t>
      </w:r>
      <w:r>
        <w:rPr>
          <w:rFonts w:hint="eastAsia" w:eastAsia="仿宋_GB2312"/>
          <w:sz w:val="32"/>
          <w:szCs w:val="32"/>
        </w:rPr>
        <w:t xml:space="preserve">  单位：万元</w:t>
      </w:r>
    </w:p>
    <w:p w14:paraId="425C8936">
      <w:pPr>
        <w:pageBreakBefore w:val="0"/>
        <w:kinsoku/>
        <w:wordWrap/>
        <w:overflowPunct/>
        <w:topLinePunct w:val="0"/>
        <w:bidi w:val="0"/>
        <w:spacing w:line="600" w:lineRule="exact"/>
        <w:ind w:firstLine="640" w:firstLineChars="200"/>
        <w:textAlignment w:val="auto"/>
        <w:outlineLvl w:val="1"/>
        <w:rPr>
          <w:rStyle w:val="30"/>
          <w:rFonts w:ascii="Times New Roman" w:hAnsi="Times New Roman" w:eastAsia="黑体" w:cs="Times New Roman"/>
          <w:b w:val="0"/>
        </w:rPr>
      </w:pPr>
      <w:bookmarkStart w:id="20" w:name="_Toc15377209"/>
      <w:bookmarkStart w:id="21" w:name="_Toc15396607"/>
      <w:r>
        <w:rPr>
          <w:rFonts w:eastAsia="黑体"/>
          <w:sz w:val="32"/>
          <w:szCs w:val="32"/>
        </w:rPr>
        <w:t>五、</w:t>
      </w:r>
      <w:r>
        <w:rPr>
          <w:rFonts w:eastAsia="黑体"/>
          <w:b/>
          <w:sz w:val="32"/>
          <w:szCs w:val="32"/>
        </w:rPr>
        <w:t>一</w:t>
      </w:r>
      <w:r>
        <w:rPr>
          <w:rStyle w:val="30"/>
          <w:rFonts w:ascii="Times New Roman" w:hAnsi="Times New Roman" w:eastAsia="黑体" w:cs="Times New Roman"/>
          <w:b w:val="0"/>
        </w:rPr>
        <w:t>般公共预算财政拨款支出决算情况说明</w:t>
      </w:r>
      <w:bookmarkEnd w:id="20"/>
      <w:bookmarkEnd w:id="21"/>
    </w:p>
    <w:p w14:paraId="00A90592">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2" w:name="_Toc15377210"/>
      <w:r>
        <w:rPr>
          <w:rFonts w:eastAsia="楷体_GB2312"/>
          <w:b/>
          <w:sz w:val="32"/>
          <w:szCs w:val="32"/>
        </w:rPr>
        <w:t>（一）一般公共预算财政拨款支出决算总体情况</w:t>
      </w:r>
      <w:bookmarkEnd w:id="22"/>
    </w:p>
    <w:p w14:paraId="6E2BE2E4">
      <w:pPr>
        <w:pageBreakBefore w:val="0"/>
        <w:kinsoku/>
        <w:wordWrap/>
        <w:overflowPunct/>
        <w:topLinePunct w:val="0"/>
        <w:bidi w:val="0"/>
        <w:spacing w:line="600" w:lineRule="exact"/>
        <w:ind w:firstLine="640"/>
        <w:textAlignment w:val="auto"/>
        <w:rPr>
          <w:rFonts w:eastAsia="仿宋_GB2312"/>
          <w:sz w:val="32"/>
          <w:szCs w:val="32"/>
        </w:rPr>
      </w:pPr>
      <w:r>
        <w:rPr>
          <w:rFonts w:hint="eastAsia" w:ascii="仿宋_GB2312" w:hAnsi="仿宋_GB2312" w:eastAsia="仿宋_GB2312" w:cs="仿宋_GB2312"/>
          <w:sz w:val="32"/>
          <w:szCs w:val="32"/>
        </w:rPr>
        <w:t>2025年度一般公共预算财政拨款支出223.96万元，占本年支出合计的100%。与2024年度相比，一般公共预算财政拨款支出减少9.95万元，下降4.3%。主要变动原因是有人员调出，人员经费略有下降。</w:t>
      </w:r>
    </w:p>
    <w:p w14:paraId="082FE64B">
      <w:pPr>
        <w:pStyle w:val="5"/>
        <w:pageBreakBefore w:val="0"/>
        <w:kinsoku/>
        <w:wordWrap/>
        <w:overflowPunct/>
        <w:topLinePunct w:val="0"/>
        <w:bidi w:val="0"/>
        <w:spacing w:line="600" w:lineRule="exact"/>
        <w:jc w:val="center"/>
        <w:textAlignment w:val="auto"/>
      </w:pPr>
    </w:p>
    <w:p w14:paraId="028E67AF">
      <w:pPr>
        <w:pageBreakBefore w:val="0"/>
        <w:kinsoku/>
        <w:wordWrap/>
        <w:overflowPunct/>
        <w:topLinePunct w:val="0"/>
        <w:bidi w:val="0"/>
        <w:spacing w:line="600" w:lineRule="exact"/>
        <w:ind w:firstLine="640"/>
        <w:textAlignment w:val="auto"/>
        <w:rPr>
          <w:rFonts w:eastAsia="仿宋_GB2312"/>
          <w:sz w:val="32"/>
          <w:szCs w:val="32"/>
        </w:rPr>
      </w:pPr>
    </w:p>
    <w:p w14:paraId="626A8911">
      <w:pPr>
        <w:pageBreakBefore w:val="0"/>
        <w:kinsoku/>
        <w:wordWrap/>
        <w:overflowPunct/>
        <w:topLinePunct w:val="0"/>
        <w:bidi w:val="0"/>
        <w:spacing w:line="600" w:lineRule="exact"/>
        <w:textAlignment w:val="auto"/>
        <w:rPr>
          <w:rFonts w:eastAsia="仿宋_GB2312"/>
          <w:sz w:val="32"/>
          <w:szCs w:val="32"/>
        </w:rPr>
      </w:pPr>
    </w:p>
    <w:p w14:paraId="4A022263">
      <w:pPr>
        <w:pageBreakBefore w:val="0"/>
        <w:kinsoku/>
        <w:wordWrap/>
        <w:overflowPunct/>
        <w:topLinePunct w:val="0"/>
        <w:bidi w:val="0"/>
        <w:spacing w:line="600" w:lineRule="exact"/>
        <w:ind w:firstLine="640"/>
        <w:textAlignment w:val="auto"/>
        <w:rPr>
          <w:rFonts w:eastAsia="仿宋_GB2312"/>
          <w:sz w:val="32"/>
          <w:szCs w:val="32"/>
        </w:rPr>
      </w:pPr>
    </w:p>
    <w:p w14:paraId="7448B39D">
      <w:pPr>
        <w:pageBreakBefore w:val="0"/>
        <w:kinsoku/>
        <w:wordWrap/>
        <w:overflowPunct/>
        <w:topLinePunct w:val="0"/>
        <w:bidi w:val="0"/>
        <w:spacing w:line="600" w:lineRule="exact"/>
        <w:ind w:firstLine="640"/>
        <w:textAlignment w:val="auto"/>
        <w:rPr>
          <w:rFonts w:eastAsia="仿宋_GB2312"/>
          <w:sz w:val="32"/>
          <w:szCs w:val="32"/>
        </w:rPr>
      </w:pPr>
    </w:p>
    <w:p w14:paraId="0DA27CD6">
      <w:pPr>
        <w:pageBreakBefore w:val="0"/>
        <w:kinsoku/>
        <w:wordWrap/>
        <w:overflowPunct/>
        <w:topLinePunct w:val="0"/>
        <w:bidi w:val="0"/>
        <w:spacing w:line="600" w:lineRule="exact"/>
        <w:ind w:firstLine="640"/>
        <w:textAlignment w:val="auto"/>
        <w:rPr>
          <w:rFonts w:eastAsia="仿宋_GB2312"/>
          <w:sz w:val="32"/>
          <w:szCs w:val="32"/>
        </w:rPr>
      </w:pPr>
    </w:p>
    <w:p w14:paraId="7761C2BE">
      <w:pPr>
        <w:pageBreakBefore w:val="0"/>
        <w:kinsoku/>
        <w:wordWrap/>
        <w:overflowPunct/>
        <w:topLinePunct w:val="0"/>
        <w:bidi w:val="0"/>
        <w:spacing w:line="600" w:lineRule="exact"/>
        <w:ind w:firstLine="640"/>
        <w:textAlignment w:val="auto"/>
        <w:rPr>
          <w:rFonts w:eastAsia="仿宋_GB2312"/>
          <w:sz w:val="32"/>
          <w:szCs w:val="32"/>
        </w:rPr>
      </w:pPr>
    </w:p>
    <w:p w14:paraId="178B6AA9">
      <w:pPr>
        <w:pageBreakBefore w:val="0"/>
        <w:kinsoku/>
        <w:wordWrap/>
        <w:overflowPunct/>
        <w:topLinePunct w:val="0"/>
        <w:bidi w:val="0"/>
        <w:spacing w:line="600" w:lineRule="exact"/>
        <w:ind w:firstLine="640"/>
        <w:textAlignment w:val="auto"/>
        <w:rPr>
          <w:rFonts w:eastAsia="仿宋_GB2312"/>
          <w:sz w:val="32"/>
          <w:szCs w:val="32"/>
        </w:rPr>
      </w:pPr>
      <w:r>
        <w:rPr>
          <w:rFonts w:eastAsia="仿宋_GB2312"/>
          <w:sz w:val="32"/>
          <w:szCs w:val="32"/>
        </w:rPr>
        <w:drawing>
          <wp:anchor distT="0" distB="0" distL="114300" distR="114300" simplePos="0" relativeHeight="251663360" behindDoc="0" locked="0" layoutInCell="1" allowOverlap="1">
            <wp:simplePos x="0" y="0"/>
            <wp:positionH relativeFrom="column">
              <wp:posOffset>410845</wp:posOffset>
            </wp:positionH>
            <wp:positionV relativeFrom="paragraph">
              <wp:posOffset>-1748155</wp:posOffset>
            </wp:positionV>
            <wp:extent cx="4813935" cy="2046605"/>
            <wp:effectExtent l="4445" t="4445" r="20320" b="635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2385995B">
      <w:pPr>
        <w:pageBreakBefore w:val="0"/>
        <w:kinsoku/>
        <w:wordWrap/>
        <w:overflowPunct/>
        <w:topLinePunct w:val="0"/>
        <w:bidi w:val="0"/>
        <w:spacing w:line="600" w:lineRule="exact"/>
        <w:ind w:firstLine="960" w:firstLineChars="300"/>
        <w:textAlignment w:val="auto"/>
        <w:rPr>
          <w:rFonts w:eastAsia="仿宋_GB2312"/>
          <w:sz w:val="32"/>
          <w:szCs w:val="32"/>
        </w:rPr>
      </w:pPr>
      <w:r>
        <w:rPr>
          <w:rFonts w:eastAsia="仿宋_GB2312"/>
          <w:sz w:val="32"/>
          <w:szCs w:val="32"/>
        </w:rPr>
        <w:t>图5：一般公共预算财政拨款支出决算变动情况</w:t>
      </w:r>
    </w:p>
    <w:p w14:paraId="4C05F4C8">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3" w:name="_Toc15377211"/>
      <w:r>
        <w:rPr>
          <w:rFonts w:eastAsia="楷体_GB2312"/>
          <w:b/>
          <w:sz w:val="32"/>
          <w:szCs w:val="32"/>
        </w:rPr>
        <w:t>（二）一般公共预算财政拨款支出决算结构情况</w:t>
      </w:r>
      <w:bookmarkEnd w:id="23"/>
    </w:p>
    <w:p w14:paraId="143EFB41">
      <w:pPr>
        <w:pageBreakBefore w:val="0"/>
        <w:kinsoku/>
        <w:wordWrap/>
        <w:overflowPunct/>
        <w:topLinePunct w:val="0"/>
        <w:bidi w:val="0"/>
        <w:spacing w:line="600" w:lineRule="exact"/>
        <w:ind w:firstLine="640"/>
        <w:textAlignment w:val="auto"/>
        <w:rPr>
          <w:rFonts w:eastAsia="仿宋_GB2312"/>
          <w:sz w:val="32"/>
          <w:szCs w:val="32"/>
        </w:rPr>
      </w:pPr>
      <w:r>
        <w:rPr>
          <w:rFonts w:hint="eastAsia" w:ascii="仿宋_GB2312" w:hAnsi="仿宋_GB2312" w:eastAsia="仿宋_GB2312" w:cs="仿宋_GB2312"/>
          <w:sz w:val="32"/>
          <w:szCs w:val="32"/>
        </w:rPr>
        <w:t>2025年度一般公共预算财政拨款支出223.96万元，主要用于以下方面：一般公共服务支出0.48万元，占0.2%；社会保障和就业支出25.87万元，占11.6%；卫生健康支出14.9万元，占6.7%；节能环保支出162.20万元，占72.4%；住房保障支出20.51万元，占9.2%。</w:t>
      </w:r>
    </w:p>
    <w:p w14:paraId="0AE6837B">
      <w:pPr>
        <w:pStyle w:val="5"/>
        <w:pageBreakBefore w:val="0"/>
        <w:kinsoku/>
        <w:wordWrap/>
        <w:overflowPunct/>
        <w:topLinePunct w:val="0"/>
        <w:bidi w:val="0"/>
        <w:spacing w:line="600" w:lineRule="exact"/>
        <w:textAlignment w:val="auto"/>
        <w:rPr>
          <w:color w:val="FF0000"/>
        </w:rPr>
      </w:pPr>
    </w:p>
    <w:p w14:paraId="4C127F4B">
      <w:pPr>
        <w:pStyle w:val="5"/>
        <w:pageBreakBefore w:val="0"/>
        <w:kinsoku/>
        <w:wordWrap/>
        <w:overflowPunct/>
        <w:topLinePunct w:val="0"/>
        <w:bidi w:val="0"/>
        <w:spacing w:line="600" w:lineRule="exact"/>
        <w:jc w:val="center"/>
        <w:textAlignment w:val="auto"/>
      </w:pPr>
    </w:p>
    <w:p w14:paraId="57EE7B1F">
      <w:pPr>
        <w:pageBreakBefore w:val="0"/>
        <w:kinsoku/>
        <w:wordWrap/>
        <w:overflowPunct/>
        <w:topLinePunct w:val="0"/>
        <w:bidi w:val="0"/>
        <w:spacing w:line="600" w:lineRule="exact"/>
        <w:ind w:firstLine="640"/>
        <w:jc w:val="center"/>
        <w:textAlignment w:val="auto"/>
        <w:rPr>
          <w:rFonts w:eastAsia="仿宋_GB2312"/>
          <w:sz w:val="32"/>
          <w:szCs w:val="32"/>
        </w:rPr>
      </w:pPr>
    </w:p>
    <w:p w14:paraId="64AD8664">
      <w:pPr>
        <w:pageBreakBefore w:val="0"/>
        <w:kinsoku/>
        <w:wordWrap/>
        <w:overflowPunct/>
        <w:topLinePunct w:val="0"/>
        <w:bidi w:val="0"/>
        <w:spacing w:line="600" w:lineRule="exact"/>
        <w:ind w:firstLine="640"/>
        <w:jc w:val="center"/>
        <w:textAlignment w:val="auto"/>
        <w:rPr>
          <w:rFonts w:eastAsia="仿宋_GB2312"/>
          <w:sz w:val="32"/>
          <w:szCs w:val="32"/>
        </w:rPr>
      </w:pPr>
    </w:p>
    <w:p w14:paraId="6EB43648">
      <w:pPr>
        <w:pageBreakBefore w:val="0"/>
        <w:kinsoku/>
        <w:wordWrap/>
        <w:overflowPunct/>
        <w:topLinePunct w:val="0"/>
        <w:bidi w:val="0"/>
        <w:spacing w:line="600" w:lineRule="exact"/>
        <w:ind w:firstLine="640"/>
        <w:jc w:val="center"/>
        <w:textAlignment w:val="auto"/>
        <w:rPr>
          <w:rFonts w:eastAsia="仿宋_GB2312"/>
          <w:sz w:val="32"/>
          <w:szCs w:val="32"/>
        </w:rPr>
      </w:pPr>
    </w:p>
    <w:p w14:paraId="3E8439FF">
      <w:pPr>
        <w:pageBreakBefore w:val="0"/>
        <w:kinsoku/>
        <w:wordWrap/>
        <w:overflowPunct/>
        <w:topLinePunct w:val="0"/>
        <w:bidi w:val="0"/>
        <w:spacing w:line="600" w:lineRule="exact"/>
        <w:ind w:firstLine="640"/>
        <w:jc w:val="center"/>
        <w:textAlignment w:val="auto"/>
        <w:rPr>
          <w:rFonts w:eastAsia="仿宋_GB2312"/>
          <w:sz w:val="32"/>
          <w:szCs w:val="32"/>
        </w:rPr>
      </w:pPr>
    </w:p>
    <w:p w14:paraId="4EDFBD08">
      <w:pPr>
        <w:pageBreakBefore w:val="0"/>
        <w:kinsoku/>
        <w:wordWrap/>
        <w:overflowPunct/>
        <w:topLinePunct w:val="0"/>
        <w:bidi w:val="0"/>
        <w:spacing w:line="600" w:lineRule="exact"/>
        <w:ind w:firstLine="640"/>
        <w:jc w:val="center"/>
        <w:textAlignment w:val="auto"/>
        <w:rPr>
          <w:rFonts w:eastAsia="仿宋_GB2312"/>
          <w:sz w:val="32"/>
          <w:szCs w:val="32"/>
        </w:rPr>
      </w:pPr>
    </w:p>
    <w:p w14:paraId="45620369">
      <w:pPr>
        <w:pageBreakBefore w:val="0"/>
        <w:kinsoku/>
        <w:wordWrap/>
        <w:overflowPunct/>
        <w:topLinePunct w:val="0"/>
        <w:bidi w:val="0"/>
        <w:spacing w:line="600" w:lineRule="exact"/>
        <w:ind w:firstLine="640"/>
        <w:jc w:val="center"/>
        <w:textAlignment w:val="auto"/>
        <w:rPr>
          <w:rFonts w:eastAsia="仿宋_GB2312"/>
          <w:sz w:val="32"/>
          <w:szCs w:val="32"/>
        </w:rPr>
      </w:pPr>
    </w:p>
    <w:p w14:paraId="32480AA7">
      <w:pPr>
        <w:pageBreakBefore w:val="0"/>
        <w:kinsoku/>
        <w:wordWrap/>
        <w:overflowPunct/>
        <w:topLinePunct w:val="0"/>
        <w:bidi w:val="0"/>
        <w:spacing w:line="600" w:lineRule="exact"/>
        <w:ind w:firstLine="640"/>
        <w:jc w:val="center"/>
        <w:textAlignment w:val="auto"/>
        <w:rPr>
          <w:rFonts w:eastAsia="仿宋_GB2312"/>
          <w:sz w:val="32"/>
          <w:szCs w:val="32"/>
        </w:rPr>
      </w:pPr>
      <w:r>
        <w:rPr>
          <w:rFonts w:hint="eastAsia" w:eastAsia="仿宋_GB2312" w:cs="仿宋_GB2312"/>
          <w:color w:val="FF0000"/>
          <w:sz w:val="32"/>
          <w:szCs w:val="32"/>
        </w:rPr>
        <w:drawing>
          <wp:anchor distT="0" distB="0" distL="114300" distR="114300" simplePos="0" relativeHeight="251664384" behindDoc="0" locked="0" layoutInCell="1" allowOverlap="1">
            <wp:simplePos x="0" y="0"/>
            <wp:positionH relativeFrom="column">
              <wp:posOffset>463550</wp:posOffset>
            </wp:positionH>
            <wp:positionV relativeFrom="paragraph">
              <wp:posOffset>-2967355</wp:posOffset>
            </wp:positionV>
            <wp:extent cx="4745355" cy="3255010"/>
            <wp:effectExtent l="4445" t="4445" r="12700" b="1714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CBA0F2A">
      <w:pPr>
        <w:pageBreakBefore w:val="0"/>
        <w:kinsoku/>
        <w:wordWrap/>
        <w:overflowPunct/>
        <w:topLinePunct w:val="0"/>
        <w:bidi w:val="0"/>
        <w:spacing w:line="600" w:lineRule="exact"/>
        <w:ind w:firstLine="960" w:firstLineChars="300"/>
        <w:jc w:val="both"/>
        <w:textAlignment w:val="auto"/>
        <w:rPr>
          <w:rFonts w:eastAsia="仿宋_GB2312"/>
          <w:sz w:val="32"/>
          <w:szCs w:val="32"/>
        </w:rPr>
      </w:pPr>
      <w:r>
        <w:rPr>
          <w:rFonts w:eastAsia="仿宋_GB2312"/>
          <w:sz w:val="32"/>
          <w:szCs w:val="32"/>
        </w:rPr>
        <w:t>图6：一般公共预算财政拨款支出决算结构</w:t>
      </w:r>
    </w:p>
    <w:p w14:paraId="1D9C1BDE">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4" w:name="_Toc15377212"/>
      <w:r>
        <w:rPr>
          <w:rFonts w:eastAsia="楷体_GB2312"/>
          <w:b/>
          <w:sz w:val="32"/>
          <w:szCs w:val="32"/>
        </w:rPr>
        <w:t>（三）一般公共预算财政拨款支出决算具体情况</w:t>
      </w:r>
      <w:bookmarkEnd w:id="24"/>
    </w:p>
    <w:p w14:paraId="4C315C18">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bookmarkStart w:id="25" w:name="_Toc15377444"/>
      <w:bookmarkStart w:id="26" w:name="_Toc15377213"/>
      <w:bookmarkStart w:id="27" w:name="_Toc15378460"/>
      <w:r>
        <w:rPr>
          <w:rFonts w:hint="eastAsia" w:ascii="仿宋_GB2312" w:hAnsi="仿宋_GB2312" w:eastAsia="仿宋_GB2312" w:cs="仿宋_GB2312"/>
          <w:sz w:val="32"/>
          <w:szCs w:val="32"/>
        </w:rPr>
        <w:t>2025年度一般公共预算财政拨款支出决算数为223.96万元，完成预算100%。其中：</w:t>
      </w:r>
      <w:bookmarkEnd w:id="25"/>
      <w:bookmarkEnd w:id="26"/>
      <w:bookmarkEnd w:id="27"/>
    </w:p>
    <w:p w14:paraId="7A49A6E4">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1.一般公共服务（201类）组织事务（32款）其他组织事务支出（99项）:支出决算为0.48万元，完成预算100%，决算数等于全年预算数。</w:t>
      </w:r>
    </w:p>
    <w:p w14:paraId="28DC5776">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2.社会保障和就业支出（208类）行政事业单位养老支出（05款）行政单位离退休（01项）:支出决算为0.02万元，完成预算100%，决算数等于全年预算数。</w:t>
      </w:r>
    </w:p>
    <w:p w14:paraId="4A71999C">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3.社会保障和就业支出（208类）行政事业单位养老支出（05款）机关事业单位基本养老保险缴费支出（05项）：支出决算为25.85万元，完成预算100%，决算数等于全年预算数。</w:t>
      </w:r>
    </w:p>
    <w:p w14:paraId="38F255C6">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4.卫生健康支出（210类）行政事业单位医疗（11款）行政单位医疗（01项）：支出决算为13.52万元，完成预算100%，决算数等于全年预算数。</w:t>
      </w:r>
    </w:p>
    <w:p w14:paraId="5C392032">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5.卫生健康支出（210类）行政事业单位医疗（11款）公务员医疗补助（03项）：支出决算为1.38万元，完成预算100%，决算数等于全年预算数。</w:t>
      </w:r>
    </w:p>
    <w:p w14:paraId="5A31CA3C">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6.节能环保支出（211类）环境保护管理事务（01款）行政运行（01项）：支出决算为162.2万元，完成预算100%，决算数等于全年预算数。</w:t>
      </w:r>
    </w:p>
    <w:p w14:paraId="79BB4D2A">
      <w:pPr>
        <w:pageBreakBefore w:val="0"/>
        <w:kinsoku/>
        <w:wordWrap/>
        <w:overflowPunct/>
        <w:topLinePunct w:val="0"/>
        <w:bidi w:val="0"/>
        <w:spacing w:line="600" w:lineRule="exact"/>
        <w:ind w:firstLine="640"/>
        <w:textAlignment w:val="auto"/>
        <w:rPr>
          <w:rFonts w:eastAsia="仿宋_GB2312"/>
          <w:sz w:val="32"/>
          <w:szCs w:val="32"/>
        </w:rPr>
      </w:pPr>
    </w:p>
    <w:p w14:paraId="55BC0DA8">
      <w:pPr>
        <w:pageBreakBefore w:val="0"/>
        <w:numPr>
          <w:ilvl w:val="0"/>
          <w:numId w:val="2"/>
        </w:numPr>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住房保障支出（221类）住房改革支出（02款）住房公积金（01项）：支出决算为20.51万元，完成预算100%，决算数等于全年预算数。</w:t>
      </w:r>
      <w:bookmarkStart w:id="28" w:name="_Toc15396608"/>
      <w:bookmarkStart w:id="29" w:name="_Toc15377214"/>
    </w:p>
    <w:p w14:paraId="586EF94F">
      <w:pPr>
        <w:pageBreakBefore w:val="0"/>
        <w:numPr>
          <w:ilvl w:val="0"/>
          <w:numId w:val="0"/>
        </w:numPr>
        <w:kinsoku/>
        <w:wordWrap/>
        <w:overflowPunct/>
        <w:topLinePunct w:val="0"/>
        <w:bidi w:val="0"/>
        <w:spacing w:line="600" w:lineRule="exact"/>
        <w:ind w:firstLine="640" w:firstLineChars="200"/>
        <w:textAlignment w:val="auto"/>
        <w:rPr>
          <w:rStyle w:val="30"/>
          <w:rFonts w:ascii="Times New Roman" w:hAnsi="Times New Roman" w:cs="Times New Roman"/>
        </w:rPr>
      </w:pPr>
      <w:r>
        <w:rPr>
          <w:rFonts w:eastAsia="黑体"/>
          <w:sz w:val="32"/>
          <w:szCs w:val="32"/>
        </w:rPr>
        <w:t>六</w:t>
      </w:r>
      <w:r>
        <w:rPr>
          <w:rFonts w:eastAsia="黑体"/>
          <w:b/>
          <w:sz w:val="32"/>
          <w:szCs w:val="32"/>
        </w:rPr>
        <w:t>、一</w:t>
      </w:r>
      <w:r>
        <w:rPr>
          <w:rStyle w:val="30"/>
          <w:rFonts w:ascii="Times New Roman" w:hAnsi="Times New Roman" w:eastAsia="黑体" w:cs="Times New Roman"/>
          <w:b w:val="0"/>
        </w:rPr>
        <w:t>般公共预算财政拨款基本支出决算情况说明</w:t>
      </w:r>
      <w:bookmarkEnd w:id="28"/>
      <w:bookmarkEnd w:id="29"/>
      <w:r>
        <w:rPr>
          <w:rStyle w:val="30"/>
          <w:rFonts w:ascii="Times New Roman" w:hAnsi="Times New Roman" w:eastAsia="黑体" w:cs="Times New Roman"/>
          <w:b w:val="0"/>
        </w:rPr>
        <w:tab/>
      </w:r>
    </w:p>
    <w:p w14:paraId="0CE03CD9">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2025年度一般公共预算财政拨款基本支出223.96万元，其中：</w:t>
      </w:r>
    </w:p>
    <w:p w14:paraId="6269859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人员经费199.84万元，主要包括：基本工资、津贴补贴、奖金、机关事业单位基本养老保险缴费、职工基本医疗保险缴费、公务员医疗补助缴费、其他社会保障缴费、住房公积金、退休人员医疗补助等。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公用经费24.12万元，主要包括：办公费、印刷费、水费、电费、邮电费、差旅费、委托业务费、公务接待费、劳务费、工会经费、福利费、其他交通费、其他商品和服务支出等。</w:t>
      </w:r>
    </w:p>
    <w:p w14:paraId="07DBA964">
      <w:pPr>
        <w:pageBreakBefore w:val="0"/>
        <w:tabs>
          <w:tab w:val="right" w:pos="8306"/>
        </w:tabs>
        <w:kinsoku/>
        <w:wordWrap/>
        <w:overflowPunct/>
        <w:topLinePunct w:val="0"/>
        <w:bidi w:val="0"/>
        <w:spacing w:before="260" w:after="260" w:line="600" w:lineRule="exact"/>
        <w:ind w:firstLine="641"/>
        <w:textAlignment w:val="auto"/>
        <w:outlineLvl w:val="1"/>
        <w:rPr>
          <w:rFonts w:eastAsia="黑体"/>
          <w:sz w:val="32"/>
          <w:szCs w:val="32"/>
        </w:rPr>
      </w:pPr>
      <w:bookmarkStart w:id="30" w:name="_Toc15377215"/>
      <w:bookmarkStart w:id="31" w:name="_Toc15396609"/>
      <w:r>
        <w:rPr>
          <w:rFonts w:eastAsia="黑体"/>
          <w:sz w:val="32"/>
          <w:szCs w:val="32"/>
        </w:rPr>
        <w:t>七、财政拨款“三公”经费支出决算情况说明</w:t>
      </w:r>
      <w:bookmarkEnd w:id="30"/>
      <w:bookmarkEnd w:id="31"/>
    </w:p>
    <w:p w14:paraId="125BF89C">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32" w:name="_Toc15377216"/>
      <w:r>
        <w:rPr>
          <w:rFonts w:eastAsia="楷体_GB2312"/>
          <w:b/>
          <w:sz w:val="32"/>
          <w:szCs w:val="32"/>
        </w:rPr>
        <w:t>（一）“三公”经费财政拨款支出决算总体情况说明</w:t>
      </w:r>
      <w:bookmarkEnd w:id="32"/>
    </w:p>
    <w:p w14:paraId="646B6A13">
      <w:pPr>
        <w:pageBreakBefore w:val="0"/>
        <w:kinsoku/>
        <w:wordWrap/>
        <w:overflowPunct/>
        <w:topLinePunct w:val="0"/>
        <w:bidi w:val="0"/>
        <w:spacing w:line="600" w:lineRule="exact"/>
        <w:ind w:firstLine="640"/>
        <w:textAlignment w:val="auto"/>
        <w:rPr>
          <w:rFonts w:eastAsia="仿宋"/>
          <w:sz w:val="32"/>
          <w:szCs w:val="32"/>
        </w:rPr>
      </w:pPr>
      <w:r>
        <w:rPr>
          <w:rFonts w:hint="eastAsia" w:ascii="仿宋_GB2312" w:hAnsi="仿宋_GB2312" w:eastAsia="仿宋_GB2312" w:cs="仿宋_GB2312"/>
          <w:sz w:val="32"/>
          <w:szCs w:val="32"/>
        </w:rPr>
        <w:t>2025年度“三公”经费财政拨款支出决算为0.72万元，完成预算100%，较上年度增加0.11万元，增长18%。决算数等于全年预算数。</w:t>
      </w:r>
    </w:p>
    <w:p w14:paraId="741045C9">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33" w:name="_Toc15377217"/>
      <w:r>
        <w:rPr>
          <w:rFonts w:eastAsia="楷体_GB2312"/>
          <w:b/>
          <w:sz w:val="32"/>
          <w:szCs w:val="32"/>
        </w:rPr>
        <w:t>（二）“三公”经费财政拨款支出决算具体情况说明</w:t>
      </w:r>
      <w:bookmarkEnd w:id="33"/>
    </w:p>
    <w:p w14:paraId="4B07B71E">
      <w:pPr>
        <w:pageBreakBefore w:val="0"/>
        <w:kinsoku/>
        <w:wordWrap/>
        <w:overflowPunct/>
        <w:topLinePunct w:val="0"/>
        <w:bidi w:val="0"/>
        <w:spacing w:line="600" w:lineRule="exact"/>
        <w:ind w:firstLine="640"/>
        <w:textAlignment w:val="auto"/>
      </w:pPr>
      <w:r>
        <w:rPr>
          <w:rFonts w:hint="eastAsia" w:ascii="仿宋_GB2312" w:hAnsi="仿宋_GB2312" w:eastAsia="仿宋_GB2312" w:cs="仿宋_GB2312"/>
          <w:sz w:val="32"/>
          <w:szCs w:val="32"/>
        </w:rPr>
        <w:t>2025年度“三公”经费财政拨款支出决算中，因公出国（境）费支出决算0万元，占0%；公务用车购置及运行维</w:t>
      </w:r>
      <w:r>
        <w:rPr>
          <w:rFonts w:eastAsia="仿宋_GB2312"/>
          <w:sz w:val="32"/>
          <w:szCs w:val="32"/>
        </w:rPr>
        <w:t>护</w:t>
      </w:r>
      <w:r>
        <w:rPr>
          <w:rFonts w:hint="eastAsia" w:ascii="仿宋_GB2312" w:hAnsi="仿宋_GB2312" w:eastAsia="仿宋_GB2312" w:cs="仿宋_GB2312"/>
          <w:sz w:val="32"/>
          <w:szCs w:val="32"/>
        </w:rPr>
        <w:t>费支出决算0万元，占0%；公务接待费支出决算0.72万元，占100%。具体情况如下：</w:t>
      </w:r>
    </w:p>
    <w:p w14:paraId="2E95F4CA">
      <w:pPr>
        <w:pageBreakBefore w:val="0"/>
        <w:kinsoku/>
        <w:wordWrap/>
        <w:overflowPunct/>
        <w:topLinePunct w:val="0"/>
        <w:bidi w:val="0"/>
        <w:spacing w:line="600" w:lineRule="exact"/>
        <w:jc w:val="both"/>
        <w:textAlignment w:val="auto"/>
        <w:rPr>
          <w:rFonts w:eastAsia="仿宋_GB2312"/>
          <w:sz w:val="32"/>
          <w:szCs w:val="32"/>
        </w:rPr>
      </w:pPr>
    </w:p>
    <w:p w14:paraId="18DCD834">
      <w:pPr>
        <w:pageBreakBefore w:val="0"/>
        <w:kinsoku/>
        <w:wordWrap/>
        <w:overflowPunct/>
        <w:topLinePunct w:val="0"/>
        <w:bidi w:val="0"/>
        <w:spacing w:line="600" w:lineRule="exact"/>
        <w:ind w:firstLine="640"/>
        <w:jc w:val="center"/>
        <w:textAlignment w:val="auto"/>
        <w:rPr>
          <w:rFonts w:eastAsia="仿宋_GB2312"/>
          <w:sz w:val="32"/>
          <w:szCs w:val="32"/>
        </w:rPr>
      </w:pPr>
    </w:p>
    <w:p w14:paraId="6875C1CB">
      <w:pPr>
        <w:pageBreakBefore w:val="0"/>
        <w:kinsoku/>
        <w:wordWrap/>
        <w:overflowPunct/>
        <w:topLinePunct w:val="0"/>
        <w:bidi w:val="0"/>
        <w:spacing w:line="600" w:lineRule="exact"/>
        <w:ind w:firstLine="640"/>
        <w:jc w:val="center"/>
        <w:textAlignment w:val="auto"/>
        <w:rPr>
          <w:rFonts w:eastAsia="仿宋_GB2312"/>
          <w:sz w:val="32"/>
          <w:szCs w:val="32"/>
        </w:rPr>
      </w:pPr>
    </w:p>
    <w:p w14:paraId="6A512D06">
      <w:pPr>
        <w:pageBreakBefore w:val="0"/>
        <w:kinsoku/>
        <w:wordWrap/>
        <w:overflowPunct/>
        <w:topLinePunct w:val="0"/>
        <w:bidi w:val="0"/>
        <w:spacing w:line="600" w:lineRule="exact"/>
        <w:ind w:firstLine="640"/>
        <w:jc w:val="center"/>
        <w:textAlignment w:val="auto"/>
        <w:rPr>
          <w:rFonts w:eastAsia="仿宋_GB2312"/>
          <w:sz w:val="32"/>
          <w:szCs w:val="32"/>
        </w:rPr>
      </w:pPr>
    </w:p>
    <w:p w14:paraId="764D2122">
      <w:pPr>
        <w:pageBreakBefore w:val="0"/>
        <w:kinsoku/>
        <w:wordWrap/>
        <w:overflowPunct/>
        <w:topLinePunct w:val="0"/>
        <w:bidi w:val="0"/>
        <w:spacing w:line="600" w:lineRule="exact"/>
        <w:ind w:firstLine="640"/>
        <w:jc w:val="center"/>
        <w:textAlignment w:val="auto"/>
        <w:rPr>
          <w:rFonts w:eastAsia="仿宋_GB2312"/>
          <w:sz w:val="32"/>
          <w:szCs w:val="32"/>
        </w:rPr>
      </w:pPr>
    </w:p>
    <w:p w14:paraId="446D0602">
      <w:pPr>
        <w:pageBreakBefore w:val="0"/>
        <w:kinsoku/>
        <w:wordWrap/>
        <w:overflowPunct/>
        <w:topLinePunct w:val="0"/>
        <w:bidi w:val="0"/>
        <w:spacing w:line="600" w:lineRule="exact"/>
        <w:ind w:firstLine="640"/>
        <w:jc w:val="center"/>
        <w:textAlignment w:val="auto"/>
        <w:rPr>
          <w:rFonts w:eastAsia="仿宋_GB2312"/>
          <w:sz w:val="32"/>
          <w:szCs w:val="32"/>
        </w:rPr>
      </w:pPr>
    </w:p>
    <w:p w14:paraId="4964F125">
      <w:pPr>
        <w:pageBreakBefore w:val="0"/>
        <w:kinsoku/>
        <w:wordWrap/>
        <w:overflowPunct/>
        <w:topLinePunct w:val="0"/>
        <w:bidi w:val="0"/>
        <w:spacing w:line="600" w:lineRule="exact"/>
        <w:ind w:firstLine="640"/>
        <w:jc w:val="center"/>
        <w:textAlignment w:val="auto"/>
        <w:rPr>
          <w:rFonts w:eastAsia="仿宋_GB2312"/>
          <w:sz w:val="32"/>
          <w:szCs w:val="32"/>
        </w:rPr>
      </w:pPr>
    </w:p>
    <w:p w14:paraId="73F8211E">
      <w:pPr>
        <w:pageBreakBefore w:val="0"/>
        <w:kinsoku/>
        <w:wordWrap/>
        <w:overflowPunct/>
        <w:topLinePunct w:val="0"/>
        <w:bidi w:val="0"/>
        <w:spacing w:line="600" w:lineRule="exact"/>
        <w:ind w:firstLine="640"/>
        <w:jc w:val="center"/>
        <w:textAlignment w:val="auto"/>
        <w:rPr>
          <w:rFonts w:eastAsia="仿宋_GB2312"/>
          <w:sz w:val="32"/>
          <w:szCs w:val="32"/>
        </w:rPr>
      </w:pPr>
      <w:r>
        <w:rPr>
          <w:rFonts w:eastAsia="仿宋_GB2312"/>
          <w:sz w:val="32"/>
          <w:szCs w:val="32"/>
        </w:rPr>
        <w:drawing>
          <wp:anchor distT="0" distB="0" distL="114300" distR="114300" simplePos="0" relativeHeight="251665408" behindDoc="0" locked="0" layoutInCell="1" allowOverlap="1">
            <wp:simplePos x="0" y="0"/>
            <wp:positionH relativeFrom="column">
              <wp:posOffset>720725</wp:posOffset>
            </wp:positionH>
            <wp:positionV relativeFrom="paragraph">
              <wp:posOffset>-2471420</wp:posOffset>
            </wp:positionV>
            <wp:extent cx="4238625" cy="2768600"/>
            <wp:effectExtent l="4445" t="5080" r="5080" b="762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799563A">
      <w:pPr>
        <w:pageBreakBefore w:val="0"/>
        <w:kinsoku/>
        <w:wordWrap/>
        <w:overflowPunct/>
        <w:topLinePunct w:val="0"/>
        <w:bidi w:val="0"/>
        <w:spacing w:line="600" w:lineRule="exact"/>
        <w:ind w:firstLine="640"/>
        <w:jc w:val="center"/>
        <w:textAlignment w:val="auto"/>
      </w:pPr>
      <w:r>
        <w:rPr>
          <w:rFonts w:eastAsia="仿宋_GB2312"/>
          <w:sz w:val="32"/>
          <w:szCs w:val="32"/>
        </w:rPr>
        <w:t>图7：“三公”经费财政拨款支出结构</w:t>
      </w:r>
    </w:p>
    <w:p w14:paraId="189A6F0B">
      <w:pPr>
        <w:pageBreakBefore w:val="0"/>
        <w:kinsoku/>
        <w:wordWrap/>
        <w:overflowPunct/>
        <w:topLinePunct w:val="0"/>
        <w:bidi w:val="0"/>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1.因公出国（境）经费支出0万元，完成预算100%。</w:t>
      </w:r>
      <w:r>
        <w:rPr>
          <w:rFonts w:hint="eastAsia" w:ascii="仿宋_GB2312" w:hAnsi="仿宋_GB2312" w:eastAsia="仿宋_GB2312" w:cs="仿宋_GB2312"/>
          <w:sz w:val="32"/>
          <w:szCs w:val="32"/>
        </w:rPr>
        <w:t>全年安排因公出国（境）团组0次，出国（境）0人。因公出国（境）支出决算与2024年持平。</w:t>
      </w:r>
    </w:p>
    <w:p w14:paraId="74BB9B38">
      <w:pPr>
        <w:pageBreakBefore w:val="0"/>
        <w:kinsoku/>
        <w:wordWrap/>
        <w:overflowPunct/>
        <w:topLinePunct w:val="0"/>
        <w:bidi w:val="0"/>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2.公务用车购置及运行维护费支出0万元，完成预算0%。</w:t>
      </w:r>
      <w:r>
        <w:rPr>
          <w:rFonts w:hint="eastAsia" w:ascii="仿宋_GB2312" w:hAnsi="仿宋_GB2312" w:eastAsia="仿宋_GB2312" w:cs="仿宋_GB2312"/>
          <w:sz w:val="32"/>
          <w:szCs w:val="32"/>
        </w:rPr>
        <w:t>公务用车购置及运行维护费支出决算与2023年持平。</w:t>
      </w:r>
    </w:p>
    <w:p w14:paraId="34EB638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公务用车购置支出0万元。全年按规定更新购置公务用车0辆，其中：轿车0辆、金额0万元，越野车0辆、金额0万元，载客汽车0辆、金额0万元。截至2024年12月31日，单位共有公务用车0辆，其中：轿车0辆、越野车0辆、载客汽车0辆。</w:t>
      </w:r>
    </w:p>
    <w:p w14:paraId="1F7CBFA4">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公务用车运行维护费支出0万元。</w:t>
      </w:r>
    </w:p>
    <w:p w14:paraId="29D58DAA">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3.公务接待费支出0.72万元，完成预算100%。</w:t>
      </w:r>
      <w:r>
        <w:rPr>
          <w:rFonts w:hint="eastAsia" w:ascii="仿宋_GB2312" w:hAnsi="仿宋_GB2312" w:eastAsia="仿宋_GB2312" w:cs="仿宋_GB2312"/>
          <w:sz w:val="32"/>
          <w:szCs w:val="32"/>
        </w:rPr>
        <w:t>公务接待费支出决算比2023年度增加0.11万元，增长18%。主要原因是2025年增加了公务接待。其中：</w:t>
      </w:r>
    </w:p>
    <w:p w14:paraId="0DA5B83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国内公务接待支出0.72元，主要用于开展业务活动</w:t>
      </w:r>
      <w:r>
        <w:rPr>
          <w:rFonts w:hint="eastAsia" w:ascii="仿宋_GB2312" w:hAnsi="仿宋_GB2312" w:eastAsia="仿宋_GB2312" w:cs="仿宋_GB2312"/>
          <w:sz w:val="32"/>
          <w:szCs w:val="32"/>
          <w:lang w:eastAsia="zh-CN"/>
        </w:rPr>
        <w:t>所需</w:t>
      </w:r>
      <w:r>
        <w:rPr>
          <w:rFonts w:hint="eastAsia" w:ascii="仿宋_GB2312" w:hAnsi="仿宋_GB2312" w:eastAsia="仿宋_GB2312" w:cs="仿宋_GB2312"/>
          <w:sz w:val="32"/>
          <w:szCs w:val="32"/>
        </w:rPr>
        <w:t>的用餐费。国内公务接待6批次，58人次（不包括陪同人员），共计支出0.72万元，具体内容包括：农业农村厅开展2024年农村环境整治常态化摸排1070元；2024年农村生活污水“千村示范”工程交叉检查1365元；省厅督导调研第三轮央督重点信访件整改1069.88元；省环科院到盐开展益民乡巴拉河砂厂地块污染土壤治理与修复效果评估1066元；省厅开展2025年生态文明建设示范区预审工作1500元；省督查组对环督反馈问题整改情况调研1120元。</w:t>
      </w:r>
    </w:p>
    <w:p w14:paraId="2E425B06">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外事接待支出0万元。外事接待0批次，0人次（不包括陪同人员），共计支出0万元。</w:t>
      </w:r>
    </w:p>
    <w:p w14:paraId="09C8EF02">
      <w:pPr>
        <w:pageBreakBefore w:val="0"/>
        <w:numPr>
          <w:ilvl w:val="0"/>
          <w:numId w:val="3"/>
        </w:numPr>
        <w:tabs>
          <w:tab w:val="right" w:pos="8306"/>
        </w:tabs>
        <w:kinsoku/>
        <w:wordWrap/>
        <w:overflowPunct/>
        <w:topLinePunct w:val="0"/>
        <w:bidi w:val="0"/>
        <w:spacing w:before="260" w:after="260" w:line="600" w:lineRule="exact"/>
        <w:ind w:firstLine="641"/>
        <w:textAlignment w:val="auto"/>
        <w:outlineLvl w:val="1"/>
        <w:rPr>
          <w:rFonts w:eastAsia="黑体"/>
          <w:sz w:val="32"/>
          <w:szCs w:val="32"/>
        </w:rPr>
      </w:pPr>
      <w:bookmarkStart w:id="34" w:name="_Toc15377218"/>
      <w:bookmarkStart w:id="35" w:name="_Toc15396610"/>
      <w:r>
        <w:rPr>
          <w:rFonts w:eastAsia="黑体"/>
          <w:sz w:val="32"/>
          <w:szCs w:val="32"/>
        </w:rPr>
        <w:t>政府性基金预算支出决算情况说明</w:t>
      </w:r>
      <w:bookmarkEnd w:id="34"/>
      <w:bookmarkEnd w:id="35"/>
    </w:p>
    <w:p w14:paraId="13029450">
      <w:pPr>
        <w:pageBreakBefore w:val="0"/>
        <w:numPr>
          <w:ilvl w:val="0"/>
          <w:numId w:val="0"/>
        </w:numPr>
        <w:tabs>
          <w:tab w:val="right" w:pos="8306"/>
        </w:tabs>
        <w:kinsoku/>
        <w:wordWrap/>
        <w:overflowPunct/>
        <w:topLinePunct w:val="0"/>
        <w:bidi w:val="0"/>
        <w:spacing w:before="260" w:after="260" w:line="600"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2025年度政府性基金预算财政拨款支出0万元，占本年支出合计的0%。与2024年度相比，政府性基金预算财政拨款支出持平。</w:t>
      </w:r>
    </w:p>
    <w:p w14:paraId="5422D3E6">
      <w:pPr>
        <w:pageBreakBefore w:val="0"/>
        <w:tabs>
          <w:tab w:val="right" w:pos="8306"/>
        </w:tabs>
        <w:kinsoku/>
        <w:wordWrap/>
        <w:overflowPunct/>
        <w:topLinePunct w:val="0"/>
        <w:bidi w:val="0"/>
        <w:spacing w:before="260" w:after="260" w:line="600" w:lineRule="exact"/>
        <w:ind w:firstLine="641"/>
        <w:textAlignment w:val="auto"/>
        <w:outlineLvl w:val="1"/>
        <w:rPr>
          <w:rFonts w:eastAsia="黑体"/>
          <w:sz w:val="32"/>
          <w:szCs w:val="32"/>
        </w:rPr>
      </w:pPr>
      <w:bookmarkStart w:id="36" w:name="_Toc15377219"/>
      <w:bookmarkStart w:id="37" w:name="_Toc15396611"/>
      <w:r>
        <w:rPr>
          <w:rFonts w:eastAsia="黑体"/>
          <w:sz w:val="32"/>
          <w:szCs w:val="32"/>
        </w:rPr>
        <w:t>九、国有资本经营预算支出决算情况说明</w:t>
      </w:r>
      <w:bookmarkEnd w:id="36"/>
      <w:bookmarkEnd w:id="37"/>
    </w:p>
    <w:p w14:paraId="6FC5ED4A">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2025年度国有资本经营预算财政拨款支出0万元，占本年支出合计的0%。与2024年度相比，国有资本经营预算财政拨款支出持平。</w:t>
      </w:r>
    </w:p>
    <w:p w14:paraId="54AE000C">
      <w:pPr>
        <w:pageBreakBefore w:val="0"/>
        <w:tabs>
          <w:tab w:val="right" w:pos="8306"/>
        </w:tabs>
        <w:kinsoku/>
        <w:wordWrap/>
        <w:overflowPunct/>
        <w:topLinePunct w:val="0"/>
        <w:bidi w:val="0"/>
        <w:spacing w:before="260" w:after="260" w:line="600" w:lineRule="exact"/>
        <w:ind w:firstLine="641"/>
        <w:textAlignment w:val="auto"/>
        <w:outlineLvl w:val="1"/>
        <w:rPr>
          <w:rFonts w:eastAsia="黑体"/>
          <w:sz w:val="32"/>
          <w:szCs w:val="32"/>
        </w:rPr>
      </w:pPr>
      <w:bookmarkStart w:id="38" w:name="_Toc15396612"/>
      <w:bookmarkStart w:id="39" w:name="_Toc15377221"/>
      <w:r>
        <w:rPr>
          <w:rFonts w:eastAsia="黑体"/>
          <w:sz w:val="32"/>
          <w:szCs w:val="32"/>
        </w:rPr>
        <w:t>十、其他重要事项的情况说明</w:t>
      </w:r>
      <w:bookmarkEnd w:id="38"/>
      <w:bookmarkEnd w:id="39"/>
    </w:p>
    <w:p w14:paraId="0BFA2B50">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0" w:name="_Toc15377222"/>
      <w:r>
        <w:rPr>
          <w:rFonts w:eastAsia="楷体_GB2312"/>
          <w:b/>
          <w:sz w:val="32"/>
          <w:szCs w:val="32"/>
        </w:rPr>
        <w:t>（一）机关运行经费支出情况</w:t>
      </w:r>
      <w:bookmarkEnd w:id="40"/>
    </w:p>
    <w:p w14:paraId="5143413C">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2025年度，攀枝花市盐边生态环境局机关运行经费支出24.12万元，比2024年度减少7.88万元，下降24.6%。主要原因是2025年人员减少，运行成本降低。</w:t>
      </w:r>
    </w:p>
    <w:p w14:paraId="0F5DCC8F">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1" w:name="_Toc15377223"/>
      <w:r>
        <w:rPr>
          <w:rFonts w:eastAsia="楷体_GB2312"/>
          <w:b/>
          <w:sz w:val="32"/>
          <w:szCs w:val="32"/>
        </w:rPr>
        <w:t>（二）政府采购支出情况</w:t>
      </w:r>
      <w:bookmarkEnd w:id="41"/>
    </w:p>
    <w:p w14:paraId="779DFA1E">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2025年度，攀枝花市盐边生态环境局政府采购支出总额0万元，其中：政府采购货物支出0万元、政府采购工程支出0万元、政府采购服务支出0万元。</w:t>
      </w:r>
    </w:p>
    <w:p w14:paraId="6B6E32A2">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2" w:name="_Toc15377224"/>
      <w:r>
        <w:rPr>
          <w:rFonts w:eastAsia="楷体_GB2312"/>
          <w:b/>
          <w:sz w:val="32"/>
          <w:szCs w:val="32"/>
        </w:rPr>
        <w:t>（三）国有资产占有使用情况</w:t>
      </w:r>
      <w:bookmarkEnd w:id="42"/>
    </w:p>
    <w:p w14:paraId="5BB86C59">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截至2025年12月31日，攀枝花市盐边生态环境局共有车辆0辆，其中：主要负责人用车0辆、机要通信用车0辆、应急保障用车0辆、其他用车0辆。单价100万元（含）以上设备（不含车辆）0台（套）。</w:t>
      </w:r>
    </w:p>
    <w:p w14:paraId="09FAE82D">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r>
        <w:rPr>
          <w:rFonts w:eastAsia="楷体_GB2312"/>
          <w:b/>
          <w:sz w:val="32"/>
          <w:szCs w:val="32"/>
        </w:rPr>
        <w:t>（四）预算绩效管理情况</w:t>
      </w:r>
    </w:p>
    <w:p w14:paraId="5D8EC09A">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攀枝花市盐边生态环境局在2025年度预算编制阶段，组织市级挂职干部补助项目开展了预算事前绩效评估，编制了绩效目标；预算执行过程中开展绩效监控；事后组织开展了绩效自评，绩效自评表详见第四部分附件。</w:t>
      </w:r>
      <w:bookmarkStart w:id="43" w:name="_Toc15377225"/>
      <w:bookmarkStart w:id="44" w:name="_Toc15396613"/>
    </w:p>
    <w:p w14:paraId="0135ADEE">
      <w:pPr>
        <w:pStyle w:val="5"/>
        <w:rPr>
          <w:rFonts w:hint="eastAsia" w:ascii="仿宋_GB2312" w:hAnsi="仿宋_GB2312" w:eastAsia="仿宋_GB2312" w:cs="仿宋_GB2312"/>
          <w:sz w:val="32"/>
          <w:szCs w:val="32"/>
        </w:rPr>
      </w:pPr>
    </w:p>
    <w:p w14:paraId="27B5C34E">
      <w:pPr>
        <w:rPr>
          <w:rFonts w:hint="eastAsia" w:ascii="仿宋_GB2312" w:hAnsi="仿宋_GB2312" w:eastAsia="仿宋_GB2312" w:cs="仿宋_GB2312"/>
          <w:sz w:val="32"/>
          <w:szCs w:val="32"/>
        </w:rPr>
      </w:pPr>
    </w:p>
    <w:p w14:paraId="4E12584E">
      <w:pPr>
        <w:pStyle w:val="5"/>
        <w:rPr>
          <w:rFonts w:hint="eastAsia"/>
        </w:rPr>
      </w:pPr>
    </w:p>
    <w:p w14:paraId="544F87FB">
      <w:pPr>
        <w:pageBreakBefore w:val="0"/>
        <w:kinsoku/>
        <w:wordWrap/>
        <w:overflowPunct/>
        <w:topLinePunct w:val="0"/>
        <w:bidi w:val="0"/>
        <w:spacing w:line="600" w:lineRule="exact"/>
        <w:jc w:val="center"/>
        <w:textAlignment w:val="auto"/>
        <w:outlineLvl w:val="0"/>
        <w:rPr>
          <w:rFonts w:eastAsia="黑体"/>
          <w:sz w:val="44"/>
          <w:szCs w:val="44"/>
        </w:rPr>
      </w:pPr>
      <w:r>
        <w:rPr>
          <w:rFonts w:eastAsia="黑体"/>
          <w:sz w:val="44"/>
          <w:szCs w:val="44"/>
        </w:rPr>
        <w:t>第三部分  名词解释</w:t>
      </w:r>
      <w:bookmarkEnd w:id="43"/>
      <w:bookmarkEnd w:id="44"/>
    </w:p>
    <w:p w14:paraId="6567EF39">
      <w:pPr>
        <w:pageBreakBefore w:val="0"/>
        <w:kinsoku/>
        <w:wordWrap/>
        <w:overflowPunct/>
        <w:topLinePunct w:val="0"/>
        <w:bidi w:val="0"/>
        <w:spacing w:line="600" w:lineRule="exact"/>
        <w:jc w:val="left"/>
        <w:textAlignment w:val="auto"/>
        <w:rPr>
          <w:b/>
          <w:sz w:val="44"/>
          <w:szCs w:val="44"/>
        </w:rPr>
      </w:pPr>
    </w:p>
    <w:p w14:paraId="7895D01C">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45" w:name="_Toc15377226"/>
      <w:r>
        <w:rPr>
          <w:rFonts w:hint="eastAsia" w:ascii="仿宋_GB2312" w:hAnsi="仿宋_GB2312" w:eastAsia="仿宋_GB2312" w:cs="仿宋_GB2312"/>
          <w:color w:val="auto"/>
          <w:sz w:val="32"/>
          <w:szCs w:val="32"/>
        </w:rPr>
        <w:t>1.财政拨款收入：指单位从同级财政部门取得的财政预算资金。</w:t>
      </w:r>
    </w:p>
    <w:p w14:paraId="5D043FE5">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2.其他收入：指单位取得的除上述收入以外的各项收入。主要是仁和区财政安排资金等。 </w:t>
      </w:r>
    </w:p>
    <w:p w14:paraId="2DE851FF">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3.使用非财政拨款结余：指事业单位使用以前年度积累的非财政拨款结余弥补当年收支差额的金额。 </w:t>
      </w:r>
    </w:p>
    <w:p w14:paraId="012B429A">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4.年初结转和结余：指以前年度尚未完成、结转到本年按有关规定继续使用的资金。 </w:t>
      </w:r>
    </w:p>
    <w:p w14:paraId="2F0EF94D">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5.年末结转和结余：指单位按有关规定结转到下年或以后年度继续使用的资金。</w:t>
      </w:r>
    </w:p>
    <w:p w14:paraId="2193A269">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6.社会保障和就业（类）行政事业单位养老（款）行政单位离退休（项）：指行政单位（包括实行公务员管理的事业单位）开支的离退休经费。</w:t>
      </w:r>
    </w:p>
    <w:p w14:paraId="08CC08F6">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7.社会保障和就业（类）行政事业单位养老（款）机关事业单位基本养老保险缴费（项）：指机关事业单位实施养老保险制度由单位缴纳的基本养老保险支出。</w:t>
      </w:r>
    </w:p>
    <w:p w14:paraId="566C11B3">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8.卫生健康（类）行政事业单位医疗（款）行政单位医疗（项）：指财政部门安排的行政单位用于缴纳单位基本医疗保险支出</w:t>
      </w:r>
      <w:r>
        <w:rPr>
          <w:rFonts w:hint="eastAsia" w:ascii="仿宋_GB2312" w:hAnsi="仿宋_GB2312" w:eastAsia="仿宋_GB2312" w:cs="仿宋_GB2312"/>
          <w:color w:val="auto"/>
          <w:sz w:val="32"/>
          <w:szCs w:val="32"/>
          <w:lang w:eastAsia="zh-CN"/>
        </w:rPr>
        <w:t>。</w:t>
      </w:r>
    </w:p>
    <w:p w14:paraId="0B281423">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9.卫生健康（类）行政事业单位医疗（款）公务员医疗补助（项）：指财政部门集中安排的公务员医疗补助经费。</w:t>
      </w:r>
    </w:p>
    <w:p w14:paraId="1D7BE8A0">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10.节能环保支出（类）环境保护管理事务（款）行政运行（项）：指行政单位（包括实行公务员管理的事业单位）的基本支出。</w:t>
      </w:r>
    </w:p>
    <w:p w14:paraId="77969E2E">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11.住房保障支出（类）住房改革支出（款）住房公积金（项）：指行政事业单位按人力资源社会保障部、财政部规定的基本工资和津贴补贴以及规定比例为职工缴纳的住房公积金。</w:t>
      </w:r>
    </w:p>
    <w:p w14:paraId="2C4995F0">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12.基本支出：指为保障机构正常运转、完成日常工作任务而发生的人员支出和公用支出。</w:t>
      </w:r>
    </w:p>
    <w:p w14:paraId="26100F91">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13.项目支出：指在基本支出之外为完成特定行政任务和事业发展目标所发生的支出。 </w:t>
      </w:r>
    </w:p>
    <w:p w14:paraId="50D464E9">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629716">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4490206">
      <w:pPr>
        <w:pStyle w:val="27"/>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16.一般公共服务支出（类）组织事务（款）其他组织事务支出（项）：反映其他用于中国共产党组织部门的事务支出。</w:t>
      </w:r>
    </w:p>
    <w:p w14:paraId="47BCAC83">
      <w:pPr>
        <w:pageBreakBefore w:val="0"/>
        <w:kinsoku/>
        <w:wordWrap/>
        <w:overflowPunct/>
        <w:topLinePunct w:val="0"/>
        <w:bidi w:val="0"/>
        <w:spacing w:line="600" w:lineRule="exact"/>
        <w:jc w:val="center"/>
        <w:textAlignment w:val="auto"/>
        <w:rPr>
          <w:rStyle w:val="29"/>
          <w:rFonts w:eastAsia="黑体"/>
          <w:b w:val="0"/>
        </w:rPr>
      </w:pPr>
      <w:r>
        <w:rPr>
          <w:rFonts w:eastAsia="仿宋_GB2312"/>
          <w:sz w:val="32"/>
          <w:szCs w:val="32"/>
        </w:rPr>
        <w:br w:type="page"/>
      </w:r>
      <w:bookmarkStart w:id="46" w:name="_Toc15396614"/>
      <w:r>
        <w:rPr>
          <w:rFonts w:eastAsia="黑体"/>
          <w:sz w:val="44"/>
          <w:szCs w:val="44"/>
        </w:rPr>
        <w:t>第四部分  附件</w:t>
      </w:r>
      <w:bookmarkEnd w:id="46"/>
    </w:p>
    <w:p w14:paraId="56C43EA3">
      <w:pPr>
        <w:pageBreakBefore w:val="0"/>
        <w:kinsoku/>
        <w:wordWrap/>
        <w:overflowPunct/>
        <w:topLinePunct w:val="0"/>
        <w:bidi w:val="0"/>
        <w:spacing w:line="600" w:lineRule="exact"/>
        <w:jc w:val="left"/>
        <w:textAlignment w:val="auto"/>
        <w:outlineLvl w:val="0"/>
        <w:rPr>
          <w:rFonts w:eastAsia="黑体"/>
          <w:color w:val="FF0000"/>
          <w:sz w:val="32"/>
          <w:szCs w:val="32"/>
        </w:rPr>
      </w:pPr>
    </w:p>
    <w:p w14:paraId="2D60D8AD">
      <w:pPr>
        <w:pStyle w:val="8"/>
        <w:pageBreakBefore w:val="0"/>
        <w:kinsoku/>
        <w:wordWrap/>
        <w:overflowPunct/>
        <w:topLinePunct w:val="0"/>
        <w:bidi w:val="0"/>
        <w:spacing w:line="600" w:lineRule="exact"/>
        <w:ind w:left="0" w:leftChars="0" w:firstLine="640"/>
        <w:textAlignment w:val="auto"/>
        <w:rPr>
          <w:rFonts w:hint="eastAsia" w:ascii="仿宋_GB2312" w:hAnsi="仿宋_GB2312" w:eastAsia="仿宋_GB2312" w:cs="仿宋_GB2312"/>
          <w:sz w:val="32"/>
          <w:lang w:val="zh-CN" w:eastAsia="zh-CN" w:bidi="ar"/>
        </w:rPr>
      </w:pPr>
      <w:r>
        <w:rPr>
          <w:rFonts w:hint="eastAsia" w:ascii="仿宋_GB2312" w:hAnsi="仿宋_GB2312" w:eastAsia="仿宋_GB2312" w:cs="仿宋_GB2312"/>
          <w:sz w:val="32"/>
        </w:rPr>
        <w:t xml:space="preserve"> </w:t>
      </w:r>
      <w:r>
        <w:rPr>
          <w:rFonts w:hint="eastAsia" w:ascii="仿宋_GB2312" w:hAnsi="仿宋_GB2312" w:eastAsia="仿宋_GB2312" w:cs="仿宋_GB2312"/>
          <w:sz w:val="32"/>
          <w:lang w:val="zh-CN" w:bidi="ar"/>
        </w:rPr>
        <w:t>部门</w:t>
      </w:r>
      <w:r>
        <w:rPr>
          <w:rFonts w:hint="eastAsia" w:ascii="仿宋_GB2312" w:hAnsi="仿宋_GB2312" w:eastAsia="仿宋_GB2312" w:cs="仿宋_GB2312"/>
          <w:sz w:val="32"/>
          <w:lang w:bidi="ar"/>
        </w:rPr>
        <w:t>预算项目支出绩效自评表（2025年度）见附件</w:t>
      </w:r>
      <w:r>
        <w:rPr>
          <w:rFonts w:hint="eastAsia" w:ascii="仿宋_GB2312" w:hAnsi="仿宋_GB2312" w:eastAsia="仿宋_GB2312" w:cs="仿宋_GB2312"/>
          <w:sz w:val="32"/>
          <w:lang w:eastAsia="zh-CN" w:bidi="ar"/>
        </w:rPr>
        <w:t>。</w:t>
      </w:r>
    </w:p>
    <w:p w14:paraId="568F64ED">
      <w:pPr>
        <w:pStyle w:val="8"/>
        <w:pageBreakBefore w:val="0"/>
        <w:kinsoku/>
        <w:wordWrap/>
        <w:overflowPunct/>
        <w:topLinePunct w:val="0"/>
        <w:bidi w:val="0"/>
        <w:spacing w:line="600" w:lineRule="exact"/>
        <w:ind w:left="0" w:leftChars="0" w:firstLine="640"/>
        <w:textAlignment w:val="auto"/>
        <w:rPr>
          <w:rFonts w:ascii="Times New Roman" w:eastAsia="仿宋_GB2312"/>
          <w:kern w:val="0"/>
          <w:sz w:val="32"/>
          <w:lang w:val="zh-CN"/>
        </w:rPr>
      </w:pPr>
    </w:p>
    <w:p w14:paraId="7608E656">
      <w:pPr>
        <w:pStyle w:val="8"/>
        <w:pageBreakBefore w:val="0"/>
        <w:kinsoku/>
        <w:wordWrap/>
        <w:overflowPunct/>
        <w:topLinePunct w:val="0"/>
        <w:bidi w:val="0"/>
        <w:spacing w:line="600" w:lineRule="exact"/>
        <w:ind w:left="0" w:leftChars="0" w:firstLine="0" w:firstLineChars="0"/>
        <w:textAlignment w:val="auto"/>
        <w:rPr>
          <w:rFonts w:ascii="Times New Roman"/>
          <w:sz w:val="32"/>
          <w:highlight w:val="yellow"/>
          <w:lang w:val="zh-CN"/>
        </w:rPr>
      </w:pPr>
    </w:p>
    <w:p w14:paraId="611C29FB">
      <w:pPr>
        <w:pStyle w:val="6"/>
        <w:pageBreakBefore w:val="0"/>
        <w:kinsoku/>
        <w:wordWrap/>
        <w:overflowPunct/>
        <w:topLinePunct w:val="0"/>
        <w:bidi w:val="0"/>
        <w:spacing w:before="93" w:line="600" w:lineRule="exact"/>
        <w:textAlignment w:val="auto"/>
        <w:rPr>
          <w:rFonts w:ascii="Times New Roman"/>
          <w:color w:val="FF0000"/>
          <w:sz w:val="32"/>
          <w:szCs w:val="32"/>
          <w:highlight w:val="yellow"/>
          <w:shd w:val="clear" w:color="auto" w:fill="FFFFFF"/>
          <w:lang w:val="zh-CN"/>
        </w:rPr>
      </w:pPr>
    </w:p>
    <w:p w14:paraId="4188B056">
      <w:pPr>
        <w:pageBreakBefore w:val="0"/>
        <w:kinsoku/>
        <w:wordWrap/>
        <w:overflowPunct/>
        <w:topLinePunct w:val="0"/>
        <w:bidi w:val="0"/>
        <w:spacing w:line="600" w:lineRule="exact"/>
        <w:textAlignment w:val="auto"/>
        <w:rPr>
          <w:rFonts w:eastAsia="仿宋_GB2312"/>
          <w:kern w:val="0"/>
          <w:sz w:val="32"/>
          <w:szCs w:val="32"/>
        </w:rPr>
      </w:pPr>
      <w:bookmarkStart w:id="47" w:name="_Toc15396618"/>
      <w:r>
        <w:rPr>
          <w:rFonts w:eastAsia="仿宋_GB2312"/>
          <w:kern w:val="0"/>
          <w:sz w:val="32"/>
          <w:szCs w:val="32"/>
        </w:rPr>
        <w:br w:type="page"/>
      </w:r>
    </w:p>
    <w:p w14:paraId="54E13131">
      <w:pPr>
        <w:pageBreakBefore w:val="0"/>
        <w:widowControl/>
        <w:kinsoku/>
        <w:wordWrap/>
        <w:overflowPunct/>
        <w:topLinePunct w:val="0"/>
        <w:bidi w:val="0"/>
        <w:spacing w:line="600" w:lineRule="exact"/>
        <w:jc w:val="center"/>
        <w:textAlignment w:val="auto"/>
        <w:rPr>
          <w:rFonts w:eastAsia="仿宋"/>
        </w:rPr>
      </w:pPr>
      <w:r>
        <w:rPr>
          <w:rFonts w:eastAsia="黑体"/>
          <w:sz w:val="44"/>
          <w:szCs w:val="44"/>
        </w:rPr>
        <w:t>第</w:t>
      </w:r>
      <w:r>
        <w:rPr>
          <w:rStyle w:val="29"/>
          <w:rFonts w:eastAsia="黑体"/>
          <w:b w:val="0"/>
        </w:rPr>
        <w:t>五部分 附表</w:t>
      </w:r>
      <w:bookmarkEnd w:id="45"/>
      <w:bookmarkEnd w:id="47"/>
      <w:bookmarkStart w:id="48" w:name="_Toc15396619"/>
    </w:p>
    <w:p w14:paraId="235170A0">
      <w:pPr>
        <w:pStyle w:val="15"/>
        <w:pageBreakBefore w:val="0"/>
        <w:kinsoku/>
        <w:wordWrap/>
        <w:overflowPunct/>
        <w:topLinePunct w:val="0"/>
        <w:bidi w:val="0"/>
        <w:adjustRightInd w:val="0"/>
        <w:snapToGrid w:val="0"/>
        <w:spacing w:line="600" w:lineRule="exact"/>
        <w:jc w:val="left"/>
        <w:textAlignment w:val="auto"/>
        <w:rPr>
          <w:rFonts w:eastAsia="仿宋_GB2312"/>
          <w:sz w:val="32"/>
          <w:szCs w:val="32"/>
        </w:rPr>
      </w:pPr>
    </w:p>
    <w:p w14:paraId="76E41146">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bookmarkEnd w:id="48"/>
    </w:p>
    <w:p w14:paraId="23732615">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49" w:name="_Toc15396620"/>
      <w:r>
        <w:rPr>
          <w:rFonts w:hint="eastAsia" w:ascii="仿宋_GB2312" w:hAnsi="仿宋_GB2312" w:eastAsia="仿宋_GB2312" w:cs="仿宋_GB2312"/>
          <w:sz w:val="32"/>
          <w:szCs w:val="32"/>
        </w:rPr>
        <w:t>二、收入决算表</w:t>
      </w:r>
      <w:bookmarkEnd w:id="49"/>
    </w:p>
    <w:p w14:paraId="489CE98B">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0" w:name="_Toc15396621"/>
      <w:r>
        <w:rPr>
          <w:rFonts w:hint="eastAsia" w:ascii="仿宋_GB2312" w:hAnsi="仿宋_GB2312" w:eastAsia="仿宋_GB2312" w:cs="仿宋_GB2312"/>
          <w:sz w:val="32"/>
          <w:szCs w:val="32"/>
        </w:rPr>
        <w:t>三、支出决算表</w:t>
      </w:r>
      <w:bookmarkEnd w:id="50"/>
    </w:p>
    <w:p w14:paraId="0E10613A">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1" w:name="_Toc15396622"/>
      <w:r>
        <w:rPr>
          <w:rFonts w:hint="eastAsia" w:ascii="仿宋_GB2312" w:hAnsi="仿宋_GB2312" w:eastAsia="仿宋_GB2312" w:cs="仿宋_GB2312"/>
          <w:sz w:val="32"/>
          <w:szCs w:val="32"/>
        </w:rPr>
        <w:t>四、财政拨款收入支出决算总表</w:t>
      </w:r>
      <w:bookmarkEnd w:id="51"/>
    </w:p>
    <w:p w14:paraId="2F4AF977">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2" w:name="_Toc15396623"/>
      <w:r>
        <w:rPr>
          <w:rFonts w:hint="eastAsia" w:ascii="仿宋_GB2312" w:hAnsi="仿宋_GB2312" w:eastAsia="仿宋_GB2312" w:cs="仿宋_GB2312"/>
          <w:sz w:val="32"/>
          <w:szCs w:val="32"/>
        </w:rPr>
        <w:t>五、财政拨款支出决算明细表</w:t>
      </w:r>
      <w:bookmarkEnd w:id="52"/>
      <w:bookmarkStart w:id="53" w:name="_Toc15396624"/>
    </w:p>
    <w:p w14:paraId="5E4C63FD">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bookmarkEnd w:id="53"/>
    </w:p>
    <w:p w14:paraId="00E197FF">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4" w:name="_Toc15396625"/>
      <w:r>
        <w:rPr>
          <w:rFonts w:hint="eastAsia" w:ascii="仿宋_GB2312" w:hAnsi="仿宋_GB2312" w:eastAsia="仿宋_GB2312" w:cs="仿宋_GB2312"/>
          <w:sz w:val="32"/>
          <w:szCs w:val="32"/>
        </w:rPr>
        <w:t>七、一般公共预算财政拨款支出决算明细表</w:t>
      </w:r>
      <w:bookmarkEnd w:id="54"/>
    </w:p>
    <w:p w14:paraId="5DE80AD7">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5" w:name="_Toc15396626"/>
      <w:r>
        <w:rPr>
          <w:rFonts w:hint="eastAsia" w:ascii="仿宋_GB2312" w:hAnsi="仿宋_GB2312" w:eastAsia="仿宋_GB2312" w:cs="仿宋_GB2312"/>
          <w:sz w:val="32"/>
          <w:szCs w:val="32"/>
        </w:rPr>
        <w:t>八、一般公共预算财政拨款基本支出决算表</w:t>
      </w:r>
      <w:bookmarkEnd w:id="55"/>
    </w:p>
    <w:p w14:paraId="0B8978CA">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6" w:name="_Toc15396627"/>
      <w:r>
        <w:rPr>
          <w:rFonts w:hint="eastAsia" w:ascii="仿宋_GB2312" w:hAnsi="仿宋_GB2312" w:eastAsia="仿宋_GB2312" w:cs="仿宋_GB2312"/>
          <w:sz w:val="32"/>
          <w:szCs w:val="32"/>
        </w:rPr>
        <w:t>九、一般公共预算财政拨款项目支出决算表</w:t>
      </w:r>
      <w:bookmarkEnd w:id="56"/>
    </w:p>
    <w:p w14:paraId="6DB881A3">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7" w:name="_Toc15396628"/>
      <w:r>
        <w:rPr>
          <w:rFonts w:hint="eastAsia" w:ascii="仿宋_GB2312" w:hAnsi="仿宋_GB2312" w:eastAsia="仿宋_GB2312" w:cs="仿宋_GB2312"/>
          <w:sz w:val="32"/>
          <w:szCs w:val="32"/>
        </w:rPr>
        <w:t>十、</w:t>
      </w:r>
      <w:bookmarkEnd w:id="57"/>
      <w:r>
        <w:rPr>
          <w:rFonts w:hint="eastAsia" w:ascii="仿宋_GB2312" w:hAnsi="仿宋_GB2312" w:eastAsia="仿宋_GB2312" w:cs="仿宋_GB2312"/>
          <w:sz w:val="32"/>
          <w:szCs w:val="32"/>
        </w:rPr>
        <w:t>政府性基金预算财政拨款收入支出决算表</w:t>
      </w:r>
    </w:p>
    <w:p w14:paraId="6AFAB67D">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8" w:name="_Toc15396629"/>
      <w:r>
        <w:rPr>
          <w:rFonts w:hint="eastAsia" w:ascii="仿宋_GB2312" w:hAnsi="仿宋_GB2312" w:eastAsia="仿宋_GB2312" w:cs="仿宋_GB2312"/>
          <w:sz w:val="32"/>
          <w:szCs w:val="32"/>
        </w:rPr>
        <w:t>十一、</w:t>
      </w:r>
      <w:bookmarkEnd w:id="58"/>
      <w:r>
        <w:rPr>
          <w:rFonts w:hint="eastAsia" w:ascii="仿宋_GB2312" w:hAnsi="仿宋_GB2312" w:eastAsia="仿宋_GB2312" w:cs="仿宋_GB2312"/>
          <w:sz w:val="32"/>
          <w:szCs w:val="32"/>
        </w:rPr>
        <w:t>国有资本经营预算财政拨款收入支出决算表</w:t>
      </w:r>
    </w:p>
    <w:p w14:paraId="010B1F2E">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9" w:name="_Toc15396630"/>
      <w:r>
        <w:rPr>
          <w:rFonts w:hint="eastAsia" w:ascii="仿宋_GB2312" w:hAnsi="仿宋_GB2312" w:eastAsia="仿宋_GB2312" w:cs="仿宋_GB2312"/>
          <w:sz w:val="32"/>
          <w:szCs w:val="32"/>
        </w:rPr>
        <w:t>十二、</w:t>
      </w:r>
      <w:bookmarkEnd w:id="59"/>
      <w:r>
        <w:rPr>
          <w:rFonts w:hint="eastAsia" w:ascii="仿宋_GB2312" w:hAnsi="仿宋_GB2312" w:eastAsia="仿宋_GB2312" w:cs="仿宋_GB2312"/>
          <w:sz w:val="32"/>
          <w:szCs w:val="32"/>
        </w:rPr>
        <w:t>国有资本经营预算财政拨款支出决算表</w:t>
      </w:r>
    </w:p>
    <w:p w14:paraId="20D14812">
      <w:pPr>
        <w:pStyle w:val="15"/>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60" w:name="_Toc15396631"/>
      <w:r>
        <w:rPr>
          <w:rFonts w:hint="eastAsia" w:ascii="仿宋_GB2312" w:hAnsi="仿宋_GB2312" w:eastAsia="仿宋_GB2312" w:cs="仿宋_GB2312"/>
          <w:sz w:val="32"/>
          <w:szCs w:val="32"/>
        </w:rPr>
        <w:t>十三、</w:t>
      </w:r>
      <w:bookmarkEnd w:id="60"/>
      <w:r>
        <w:rPr>
          <w:rFonts w:hint="eastAsia" w:ascii="仿宋_GB2312" w:hAnsi="仿宋_GB2312" w:eastAsia="仿宋_GB2312" w:cs="仿宋_GB2312"/>
          <w:sz w:val="32"/>
          <w:szCs w:val="32"/>
        </w:rPr>
        <w:t>财政拨款“三公”经费支出决算表</w:t>
      </w:r>
    </w:p>
    <w:p w14:paraId="5116AA07">
      <w:pPr>
        <w:pageBreakBefore w:val="0"/>
        <w:kinsoku/>
        <w:wordWrap/>
        <w:overflowPunct/>
        <w:topLinePunct w:val="0"/>
        <w:bidi w:val="0"/>
        <w:spacing w:line="600" w:lineRule="exact"/>
        <w:textAlignment w:val="auto"/>
      </w:pPr>
    </w:p>
    <w:sectPr>
      <w:footerReference r:id="rId10" w:type="first"/>
      <w:footerReference r:id="rId9"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9D09">
    <w:pPr>
      <w:pStyle w:val="11"/>
      <w:jc w:val="center"/>
    </w:pPr>
  </w:p>
  <w:p w14:paraId="1FE15A5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A0D5">
    <w:pPr>
      <w:pStyle w:val="11"/>
      <w:jc w:val="center"/>
    </w:pPr>
  </w:p>
  <w:p w14:paraId="74B5B84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4142">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F6AA0">
    <w:pPr>
      <w:pStyle w:val="11"/>
      <w:jc w:val="center"/>
    </w:pPr>
  </w:p>
  <w:p w14:paraId="24F90FB1">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1E253">
    <w:pPr>
      <w:pStyle w:val="11"/>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AD234">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4AAD234">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EA84B">
    <w:pPr>
      <w:pStyle w:val="11"/>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B3AC3">
                          <w:pPr>
                            <w:pStyle w:val="11"/>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B9B3AC3">
                    <w:pPr>
                      <w:pStyle w:val="11"/>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p w14:paraId="20C2579C">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F67F4">
    <w:pPr>
      <w:pStyle w:val="1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27EA4">
                          <w:pPr>
                            <w:pStyle w:val="11"/>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5527EA4">
                    <w:pPr>
                      <w:pStyle w:val="11"/>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7C7D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BFEBC9"/>
    <w:multiLevelType w:val="singleLevel"/>
    <w:tmpl w:val="FEBFEBC9"/>
    <w:lvl w:ilvl="0" w:tentative="0">
      <w:start w:val="8"/>
      <w:numFmt w:val="chineseCounting"/>
      <w:suff w:val="nothing"/>
      <w:lvlText w:val="%1、"/>
      <w:lvlJc w:val="left"/>
      <w:rPr>
        <w:rFonts w:hint="eastAsia"/>
      </w:rPr>
    </w:lvl>
  </w:abstractNum>
  <w:abstractNum w:abstractNumId="1">
    <w:nsid w:val="FFEBD169"/>
    <w:multiLevelType w:val="singleLevel"/>
    <w:tmpl w:val="FFEBD169"/>
    <w:lvl w:ilvl="0" w:tentative="0">
      <w:start w:val="7"/>
      <w:numFmt w:val="decimal"/>
      <w:lvlText w:val="%1."/>
      <w:lvlJc w:val="left"/>
      <w:pPr>
        <w:tabs>
          <w:tab w:val="left" w:pos="312"/>
        </w:tabs>
      </w:pPr>
    </w:lvl>
  </w:abstractNum>
  <w:abstractNum w:abstractNumId="2">
    <w:nsid w:val="0F58360C"/>
    <w:multiLevelType w:val="singleLevel"/>
    <w:tmpl w:val="0F58360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87C73"/>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00CE"/>
    <w:rsid w:val="001D7531"/>
    <w:rsid w:val="001E737D"/>
    <w:rsid w:val="001F0592"/>
    <w:rsid w:val="001F7506"/>
    <w:rsid w:val="002006CD"/>
    <w:rsid w:val="00202B36"/>
    <w:rsid w:val="00204B7A"/>
    <w:rsid w:val="00204CDE"/>
    <w:rsid w:val="0021101A"/>
    <w:rsid w:val="00214381"/>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37603"/>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490"/>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4018"/>
    <w:rsid w:val="00630AEF"/>
    <w:rsid w:val="006325F8"/>
    <w:rsid w:val="00633463"/>
    <w:rsid w:val="00634C9A"/>
    <w:rsid w:val="006440E4"/>
    <w:rsid w:val="0066343B"/>
    <w:rsid w:val="00664777"/>
    <w:rsid w:val="006672F4"/>
    <w:rsid w:val="006748A4"/>
    <w:rsid w:val="00681A31"/>
    <w:rsid w:val="0068370F"/>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A3AAB"/>
    <w:rsid w:val="007D1682"/>
    <w:rsid w:val="007D312A"/>
    <w:rsid w:val="007D3F19"/>
    <w:rsid w:val="007D7499"/>
    <w:rsid w:val="007E23B0"/>
    <w:rsid w:val="007E23E5"/>
    <w:rsid w:val="007F1991"/>
    <w:rsid w:val="007F2C2F"/>
    <w:rsid w:val="007F55FC"/>
    <w:rsid w:val="007F5665"/>
    <w:rsid w:val="007F7127"/>
    <w:rsid w:val="00800112"/>
    <w:rsid w:val="0080748D"/>
    <w:rsid w:val="00813348"/>
    <w:rsid w:val="008253BB"/>
    <w:rsid w:val="0083706E"/>
    <w:rsid w:val="008408F6"/>
    <w:rsid w:val="008423A5"/>
    <w:rsid w:val="00850625"/>
    <w:rsid w:val="00853718"/>
    <w:rsid w:val="00855221"/>
    <w:rsid w:val="00860645"/>
    <w:rsid w:val="00871F71"/>
    <w:rsid w:val="00872D30"/>
    <w:rsid w:val="00872FD8"/>
    <w:rsid w:val="00885AF4"/>
    <w:rsid w:val="00887C1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472FE"/>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D5259"/>
    <w:rsid w:val="009F1185"/>
    <w:rsid w:val="009F18CD"/>
    <w:rsid w:val="009F2A13"/>
    <w:rsid w:val="009F7527"/>
    <w:rsid w:val="00A04EB0"/>
    <w:rsid w:val="00A13CC1"/>
    <w:rsid w:val="00A16847"/>
    <w:rsid w:val="00A237D8"/>
    <w:rsid w:val="00A268C4"/>
    <w:rsid w:val="00A307CD"/>
    <w:rsid w:val="00A30E7F"/>
    <w:rsid w:val="00A331C8"/>
    <w:rsid w:val="00A40A00"/>
    <w:rsid w:val="00A4142F"/>
    <w:rsid w:val="00A422EB"/>
    <w:rsid w:val="00A45BB7"/>
    <w:rsid w:val="00A56DF2"/>
    <w:rsid w:val="00A56E6E"/>
    <w:rsid w:val="00A67AB5"/>
    <w:rsid w:val="00A733B2"/>
    <w:rsid w:val="00A741C2"/>
    <w:rsid w:val="00A77ECD"/>
    <w:rsid w:val="00A91760"/>
    <w:rsid w:val="00A93B00"/>
    <w:rsid w:val="00A93C21"/>
    <w:rsid w:val="00AB64C9"/>
    <w:rsid w:val="00AC3C6A"/>
    <w:rsid w:val="00AD5620"/>
    <w:rsid w:val="00AD656B"/>
    <w:rsid w:val="00AD7C1B"/>
    <w:rsid w:val="00AE16BA"/>
    <w:rsid w:val="00AE1EBE"/>
    <w:rsid w:val="00B007BA"/>
    <w:rsid w:val="00B03C9D"/>
    <w:rsid w:val="00B060AE"/>
    <w:rsid w:val="00B10517"/>
    <w:rsid w:val="00B14E76"/>
    <w:rsid w:val="00B161B8"/>
    <w:rsid w:val="00B2048C"/>
    <w:rsid w:val="00B23E05"/>
    <w:rsid w:val="00B310B9"/>
    <w:rsid w:val="00B35F3F"/>
    <w:rsid w:val="00B36CBB"/>
    <w:rsid w:val="00B425E0"/>
    <w:rsid w:val="00B440AA"/>
    <w:rsid w:val="00B44B70"/>
    <w:rsid w:val="00B4778D"/>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2C7E"/>
    <w:rsid w:val="00D254F7"/>
    <w:rsid w:val="00D26091"/>
    <w:rsid w:val="00D2685C"/>
    <w:rsid w:val="00D30F96"/>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5820"/>
    <w:rsid w:val="00E568DF"/>
    <w:rsid w:val="00E64269"/>
    <w:rsid w:val="00E82267"/>
    <w:rsid w:val="00E82EAF"/>
    <w:rsid w:val="00E853CE"/>
    <w:rsid w:val="00E867B6"/>
    <w:rsid w:val="00EA010F"/>
    <w:rsid w:val="00ED1B63"/>
    <w:rsid w:val="00ED3C1F"/>
    <w:rsid w:val="00ED4085"/>
    <w:rsid w:val="00ED420E"/>
    <w:rsid w:val="00ED6FBE"/>
    <w:rsid w:val="00EE2F57"/>
    <w:rsid w:val="00EE740F"/>
    <w:rsid w:val="00EF4C34"/>
    <w:rsid w:val="00EF77C6"/>
    <w:rsid w:val="00F05438"/>
    <w:rsid w:val="00F1053C"/>
    <w:rsid w:val="00F1361C"/>
    <w:rsid w:val="00F156F0"/>
    <w:rsid w:val="00F160C7"/>
    <w:rsid w:val="00F23A0B"/>
    <w:rsid w:val="00F2408F"/>
    <w:rsid w:val="00F240E9"/>
    <w:rsid w:val="00F36D8F"/>
    <w:rsid w:val="00F417B1"/>
    <w:rsid w:val="00F45853"/>
    <w:rsid w:val="00F602DF"/>
    <w:rsid w:val="00F61EC0"/>
    <w:rsid w:val="00F754A1"/>
    <w:rsid w:val="00F81FD9"/>
    <w:rsid w:val="00F841AA"/>
    <w:rsid w:val="00F84A94"/>
    <w:rsid w:val="00F87E96"/>
    <w:rsid w:val="00FA23E8"/>
    <w:rsid w:val="00FD3CC1"/>
    <w:rsid w:val="00FF1E02"/>
    <w:rsid w:val="00FF30B4"/>
    <w:rsid w:val="012A5EC2"/>
    <w:rsid w:val="012D6C51"/>
    <w:rsid w:val="015975B8"/>
    <w:rsid w:val="02FEBE30"/>
    <w:rsid w:val="04916F1E"/>
    <w:rsid w:val="061E35DE"/>
    <w:rsid w:val="066E0107"/>
    <w:rsid w:val="075E089E"/>
    <w:rsid w:val="07996F6E"/>
    <w:rsid w:val="07DFD8BA"/>
    <w:rsid w:val="085C603A"/>
    <w:rsid w:val="09867E8F"/>
    <w:rsid w:val="099A0B53"/>
    <w:rsid w:val="09C237E6"/>
    <w:rsid w:val="0A2032A3"/>
    <w:rsid w:val="0AD43577"/>
    <w:rsid w:val="0CA8290A"/>
    <w:rsid w:val="0D1E5A5F"/>
    <w:rsid w:val="0D344711"/>
    <w:rsid w:val="0D35B1ED"/>
    <w:rsid w:val="0E254B6B"/>
    <w:rsid w:val="0E4662A9"/>
    <w:rsid w:val="0F537ACE"/>
    <w:rsid w:val="0F98263C"/>
    <w:rsid w:val="0FB953EC"/>
    <w:rsid w:val="0FC03E4B"/>
    <w:rsid w:val="101860EC"/>
    <w:rsid w:val="101F47CC"/>
    <w:rsid w:val="105C67D0"/>
    <w:rsid w:val="10C055FF"/>
    <w:rsid w:val="11694EBD"/>
    <w:rsid w:val="11772AA4"/>
    <w:rsid w:val="11791763"/>
    <w:rsid w:val="118107EC"/>
    <w:rsid w:val="12E24EE2"/>
    <w:rsid w:val="1327361E"/>
    <w:rsid w:val="13D50BC4"/>
    <w:rsid w:val="14B17F78"/>
    <w:rsid w:val="165E0673"/>
    <w:rsid w:val="16B831D5"/>
    <w:rsid w:val="16BB723D"/>
    <w:rsid w:val="17795C6E"/>
    <w:rsid w:val="17E50567"/>
    <w:rsid w:val="18205C97"/>
    <w:rsid w:val="186504BB"/>
    <w:rsid w:val="19A445FC"/>
    <w:rsid w:val="1BE8440E"/>
    <w:rsid w:val="1D155CEE"/>
    <w:rsid w:val="1D1638FE"/>
    <w:rsid w:val="1E312DEB"/>
    <w:rsid w:val="1E740ACF"/>
    <w:rsid w:val="1EA802D2"/>
    <w:rsid w:val="1FEF5431"/>
    <w:rsid w:val="1FF35744"/>
    <w:rsid w:val="1FF6BC77"/>
    <w:rsid w:val="20363FD2"/>
    <w:rsid w:val="2186353C"/>
    <w:rsid w:val="22821466"/>
    <w:rsid w:val="23860B96"/>
    <w:rsid w:val="240371BF"/>
    <w:rsid w:val="24232187"/>
    <w:rsid w:val="244F3473"/>
    <w:rsid w:val="24C97D99"/>
    <w:rsid w:val="25A718F0"/>
    <w:rsid w:val="25BB59F6"/>
    <w:rsid w:val="260F557C"/>
    <w:rsid w:val="267D14EB"/>
    <w:rsid w:val="26970054"/>
    <w:rsid w:val="26ED7616"/>
    <w:rsid w:val="27F7EF07"/>
    <w:rsid w:val="281408E2"/>
    <w:rsid w:val="28572948"/>
    <w:rsid w:val="29FD04D3"/>
    <w:rsid w:val="2A35531F"/>
    <w:rsid w:val="2B6A1BC9"/>
    <w:rsid w:val="2BFF7BC6"/>
    <w:rsid w:val="2C2521C9"/>
    <w:rsid w:val="2C8A61B5"/>
    <w:rsid w:val="2DF04E50"/>
    <w:rsid w:val="2E586DFA"/>
    <w:rsid w:val="2F040D46"/>
    <w:rsid w:val="2F6B035B"/>
    <w:rsid w:val="2F9563AB"/>
    <w:rsid w:val="2FAE5751"/>
    <w:rsid w:val="2FB1A395"/>
    <w:rsid w:val="2FD9A7D8"/>
    <w:rsid w:val="2FDBF714"/>
    <w:rsid w:val="2FFF2402"/>
    <w:rsid w:val="306231D9"/>
    <w:rsid w:val="30AB6865"/>
    <w:rsid w:val="319F7F4E"/>
    <w:rsid w:val="31EC5F2F"/>
    <w:rsid w:val="32BD1EF1"/>
    <w:rsid w:val="3304709D"/>
    <w:rsid w:val="33074585"/>
    <w:rsid w:val="33A773CB"/>
    <w:rsid w:val="33D07EC2"/>
    <w:rsid w:val="345B5987"/>
    <w:rsid w:val="349D6851"/>
    <w:rsid w:val="36AA5135"/>
    <w:rsid w:val="36BE0DA7"/>
    <w:rsid w:val="376B6AA6"/>
    <w:rsid w:val="376D39B2"/>
    <w:rsid w:val="37E16F03"/>
    <w:rsid w:val="37E318BA"/>
    <w:rsid w:val="37F53A3B"/>
    <w:rsid w:val="389B6C89"/>
    <w:rsid w:val="38D469F0"/>
    <w:rsid w:val="3937E6FC"/>
    <w:rsid w:val="39627CCD"/>
    <w:rsid w:val="397BAF1F"/>
    <w:rsid w:val="39EC08EA"/>
    <w:rsid w:val="3AB79AF3"/>
    <w:rsid w:val="3AE834C0"/>
    <w:rsid w:val="3B7EF35A"/>
    <w:rsid w:val="3B9FDB6C"/>
    <w:rsid w:val="3BF5BC2F"/>
    <w:rsid w:val="3C4C4B75"/>
    <w:rsid w:val="3C734277"/>
    <w:rsid w:val="3CEBA265"/>
    <w:rsid w:val="3D0D094B"/>
    <w:rsid w:val="3D98207C"/>
    <w:rsid w:val="3DEE7CF3"/>
    <w:rsid w:val="3E740A63"/>
    <w:rsid w:val="3E78745D"/>
    <w:rsid w:val="3EE17838"/>
    <w:rsid w:val="3F55381A"/>
    <w:rsid w:val="3F7F7599"/>
    <w:rsid w:val="3F7FB80C"/>
    <w:rsid w:val="3FF4CAE0"/>
    <w:rsid w:val="3FF7B227"/>
    <w:rsid w:val="40BB3E09"/>
    <w:rsid w:val="41ED7B52"/>
    <w:rsid w:val="41FB202D"/>
    <w:rsid w:val="441E63B0"/>
    <w:rsid w:val="442B2FB6"/>
    <w:rsid w:val="44E268DA"/>
    <w:rsid w:val="450D13D7"/>
    <w:rsid w:val="45506656"/>
    <w:rsid w:val="486A6C7A"/>
    <w:rsid w:val="4A627F82"/>
    <w:rsid w:val="4B0E749A"/>
    <w:rsid w:val="4B2477C4"/>
    <w:rsid w:val="4B4F25DA"/>
    <w:rsid w:val="4BE068DB"/>
    <w:rsid w:val="4BF5B918"/>
    <w:rsid w:val="4D577224"/>
    <w:rsid w:val="4DBF1CEB"/>
    <w:rsid w:val="4DF0007C"/>
    <w:rsid w:val="4E6E3A94"/>
    <w:rsid w:val="4EAB630A"/>
    <w:rsid w:val="4ECE2238"/>
    <w:rsid w:val="4F801E40"/>
    <w:rsid w:val="4F833267"/>
    <w:rsid w:val="4FE9BD67"/>
    <w:rsid w:val="4FFB052F"/>
    <w:rsid w:val="51125FCD"/>
    <w:rsid w:val="519633FB"/>
    <w:rsid w:val="52FE1FE8"/>
    <w:rsid w:val="537E6D0A"/>
    <w:rsid w:val="53F74C96"/>
    <w:rsid w:val="54241121"/>
    <w:rsid w:val="55170BA8"/>
    <w:rsid w:val="553218C9"/>
    <w:rsid w:val="55F200DF"/>
    <w:rsid w:val="567E1AA5"/>
    <w:rsid w:val="56D63923"/>
    <w:rsid w:val="56E47B74"/>
    <w:rsid w:val="57175D52"/>
    <w:rsid w:val="574444C9"/>
    <w:rsid w:val="57BD3DD4"/>
    <w:rsid w:val="593D4967"/>
    <w:rsid w:val="594DF986"/>
    <w:rsid w:val="5A0C5344"/>
    <w:rsid w:val="5AF92295"/>
    <w:rsid w:val="5B250254"/>
    <w:rsid w:val="5BDD79E6"/>
    <w:rsid w:val="5BF561CA"/>
    <w:rsid w:val="5BFF5DFC"/>
    <w:rsid w:val="5C314EC5"/>
    <w:rsid w:val="5CD71FC4"/>
    <w:rsid w:val="5D1F11B5"/>
    <w:rsid w:val="5D695134"/>
    <w:rsid w:val="5DAE1B18"/>
    <w:rsid w:val="5DE7D9E5"/>
    <w:rsid w:val="5E1C6F87"/>
    <w:rsid w:val="5ECEC941"/>
    <w:rsid w:val="5EF511B5"/>
    <w:rsid w:val="5F9111E8"/>
    <w:rsid w:val="5FBF9FF3"/>
    <w:rsid w:val="5FCD4E2C"/>
    <w:rsid w:val="5FEF394A"/>
    <w:rsid w:val="5FF67715"/>
    <w:rsid w:val="61877E86"/>
    <w:rsid w:val="62612C2E"/>
    <w:rsid w:val="62BF3928"/>
    <w:rsid w:val="63B3701E"/>
    <w:rsid w:val="63FA1497"/>
    <w:rsid w:val="647F5392"/>
    <w:rsid w:val="65E66580"/>
    <w:rsid w:val="664B1D71"/>
    <w:rsid w:val="664B4E8E"/>
    <w:rsid w:val="670652D9"/>
    <w:rsid w:val="67277B67"/>
    <w:rsid w:val="674D527A"/>
    <w:rsid w:val="67AA3209"/>
    <w:rsid w:val="687302AC"/>
    <w:rsid w:val="698D0931"/>
    <w:rsid w:val="6A7FE5F3"/>
    <w:rsid w:val="6AB83318"/>
    <w:rsid w:val="6B053271"/>
    <w:rsid w:val="6B143B26"/>
    <w:rsid w:val="6BDC5DA7"/>
    <w:rsid w:val="6BDD78B3"/>
    <w:rsid w:val="6C4A05C8"/>
    <w:rsid w:val="6C8742B8"/>
    <w:rsid w:val="6CFDD695"/>
    <w:rsid w:val="6D9E678D"/>
    <w:rsid w:val="6DBF5E93"/>
    <w:rsid w:val="6DFF077E"/>
    <w:rsid w:val="6E714EF0"/>
    <w:rsid w:val="6E7E3605"/>
    <w:rsid w:val="6E7FDCC7"/>
    <w:rsid w:val="6E9A7E36"/>
    <w:rsid w:val="6EAA6AC3"/>
    <w:rsid w:val="6ED6A62E"/>
    <w:rsid w:val="6EE00B15"/>
    <w:rsid w:val="6F6FB3EB"/>
    <w:rsid w:val="6F8731EA"/>
    <w:rsid w:val="6FCE6052"/>
    <w:rsid w:val="6FD57C00"/>
    <w:rsid w:val="6FEFFFD8"/>
    <w:rsid w:val="6FF5CC65"/>
    <w:rsid w:val="6FFB47EC"/>
    <w:rsid w:val="6FFF034A"/>
    <w:rsid w:val="70484440"/>
    <w:rsid w:val="712A28F1"/>
    <w:rsid w:val="715C0E4B"/>
    <w:rsid w:val="71992E7C"/>
    <w:rsid w:val="71E10F19"/>
    <w:rsid w:val="72233669"/>
    <w:rsid w:val="72734D90"/>
    <w:rsid w:val="72EA60E0"/>
    <w:rsid w:val="73160E6D"/>
    <w:rsid w:val="7332FE48"/>
    <w:rsid w:val="73AB61DA"/>
    <w:rsid w:val="73AD73D5"/>
    <w:rsid w:val="73B6EB34"/>
    <w:rsid w:val="73FA497D"/>
    <w:rsid w:val="744731E5"/>
    <w:rsid w:val="749F0731"/>
    <w:rsid w:val="74BBD01D"/>
    <w:rsid w:val="74ED5379"/>
    <w:rsid w:val="7560752F"/>
    <w:rsid w:val="75DEEEC2"/>
    <w:rsid w:val="75E32345"/>
    <w:rsid w:val="76E3355F"/>
    <w:rsid w:val="76E5539F"/>
    <w:rsid w:val="76FF5125"/>
    <w:rsid w:val="7737786E"/>
    <w:rsid w:val="776F6FFA"/>
    <w:rsid w:val="778769C8"/>
    <w:rsid w:val="77A75DCA"/>
    <w:rsid w:val="77AB0A56"/>
    <w:rsid w:val="77C73C75"/>
    <w:rsid w:val="77DC22F5"/>
    <w:rsid w:val="77F7A89F"/>
    <w:rsid w:val="783E271A"/>
    <w:rsid w:val="78616DE9"/>
    <w:rsid w:val="78E875D7"/>
    <w:rsid w:val="79086DAD"/>
    <w:rsid w:val="797321A9"/>
    <w:rsid w:val="79D7FD79"/>
    <w:rsid w:val="79EE5BA4"/>
    <w:rsid w:val="7A7D42C4"/>
    <w:rsid w:val="7A894339"/>
    <w:rsid w:val="7AD284E8"/>
    <w:rsid w:val="7AFF7572"/>
    <w:rsid w:val="7B6C7DFB"/>
    <w:rsid w:val="7BBB5F1F"/>
    <w:rsid w:val="7BBFBED0"/>
    <w:rsid w:val="7BC3E394"/>
    <w:rsid w:val="7BED4B8B"/>
    <w:rsid w:val="7C1F3737"/>
    <w:rsid w:val="7CAD2AB6"/>
    <w:rsid w:val="7CBFC87B"/>
    <w:rsid w:val="7CFE0F48"/>
    <w:rsid w:val="7D272ABC"/>
    <w:rsid w:val="7D6021D0"/>
    <w:rsid w:val="7D7EC23E"/>
    <w:rsid w:val="7DCBE99A"/>
    <w:rsid w:val="7E525C7B"/>
    <w:rsid w:val="7E5B6BF1"/>
    <w:rsid w:val="7E8ADEBF"/>
    <w:rsid w:val="7EEF11D3"/>
    <w:rsid w:val="7EFE4840"/>
    <w:rsid w:val="7EFEE97A"/>
    <w:rsid w:val="7EFF0CDB"/>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8CFB7280"/>
    <w:rsid w:val="937ED9F2"/>
    <w:rsid w:val="97FCF440"/>
    <w:rsid w:val="99FF2014"/>
    <w:rsid w:val="9BE1D713"/>
    <w:rsid w:val="A3EFE533"/>
    <w:rsid w:val="A6DD0D7F"/>
    <w:rsid w:val="AAFF2FA0"/>
    <w:rsid w:val="ACFF4FBB"/>
    <w:rsid w:val="ADC6F725"/>
    <w:rsid w:val="B7CF06AB"/>
    <w:rsid w:val="B7CFA926"/>
    <w:rsid w:val="B7F8786B"/>
    <w:rsid w:val="BABB6AA1"/>
    <w:rsid w:val="BB2F4199"/>
    <w:rsid w:val="BCFFB442"/>
    <w:rsid w:val="BD079C78"/>
    <w:rsid w:val="BD733540"/>
    <w:rsid w:val="BE77734A"/>
    <w:rsid w:val="BF3735D5"/>
    <w:rsid w:val="BF7F09AC"/>
    <w:rsid w:val="BFD475C3"/>
    <w:rsid w:val="BFDE5EA6"/>
    <w:rsid w:val="CF6FC6F3"/>
    <w:rsid w:val="CFD3D3D7"/>
    <w:rsid w:val="CFDF1009"/>
    <w:rsid w:val="D6676F54"/>
    <w:rsid w:val="D7D7B16A"/>
    <w:rsid w:val="D8D6DB89"/>
    <w:rsid w:val="DB6F4CAB"/>
    <w:rsid w:val="DB777682"/>
    <w:rsid w:val="DD1FB521"/>
    <w:rsid w:val="DDFFD65F"/>
    <w:rsid w:val="DEFBFEAE"/>
    <w:rsid w:val="DF1F3B80"/>
    <w:rsid w:val="DF6F9789"/>
    <w:rsid w:val="DFE9BE81"/>
    <w:rsid w:val="DFF7D41B"/>
    <w:rsid w:val="DFFFA9E8"/>
    <w:rsid w:val="E5F4E9DC"/>
    <w:rsid w:val="E70FE695"/>
    <w:rsid w:val="E7DB6DFA"/>
    <w:rsid w:val="EB2E368B"/>
    <w:rsid w:val="ECFED1BC"/>
    <w:rsid w:val="ED1D69BB"/>
    <w:rsid w:val="ED7FD312"/>
    <w:rsid w:val="EF2E1AC6"/>
    <w:rsid w:val="EF53993F"/>
    <w:rsid w:val="EF6FD633"/>
    <w:rsid w:val="EFA50376"/>
    <w:rsid w:val="EFBFB2F4"/>
    <w:rsid w:val="EFBFFA21"/>
    <w:rsid w:val="EFDBC4C9"/>
    <w:rsid w:val="EFE7C15D"/>
    <w:rsid w:val="F2BEBCB8"/>
    <w:rsid w:val="F36BE595"/>
    <w:rsid w:val="F36FB518"/>
    <w:rsid w:val="F37F49E5"/>
    <w:rsid w:val="F3DE1A04"/>
    <w:rsid w:val="F3F3C824"/>
    <w:rsid w:val="F3F722E5"/>
    <w:rsid w:val="F4FBCD07"/>
    <w:rsid w:val="F6BF9F92"/>
    <w:rsid w:val="FA5F1E70"/>
    <w:rsid w:val="FA5FDB97"/>
    <w:rsid w:val="FB5BD7FD"/>
    <w:rsid w:val="FB7F486A"/>
    <w:rsid w:val="FBB7E43C"/>
    <w:rsid w:val="FBD3E0E9"/>
    <w:rsid w:val="FBFF5B2E"/>
    <w:rsid w:val="FD7FFE2B"/>
    <w:rsid w:val="FDEE196B"/>
    <w:rsid w:val="FDFE6575"/>
    <w:rsid w:val="FEDFDDC2"/>
    <w:rsid w:val="FEED32F6"/>
    <w:rsid w:val="FEED954F"/>
    <w:rsid w:val="FEF781DD"/>
    <w:rsid w:val="FF3F7E3F"/>
    <w:rsid w:val="FFBA12D7"/>
    <w:rsid w:val="FFCBD314"/>
    <w:rsid w:val="FFD45610"/>
    <w:rsid w:val="FFDFF91C"/>
    <w:rsid w:val="FFDFFAEE"/>
    <w:rsid w:val="FFEF6777"/>
    <w:rsid w:val="FFEF68F8"/>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qFormat/>
    <w:uiPriority w:val="0"/>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收入、支出决算总计变动情况图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233.91</c:v>
                </c:pt>
                <c:pt idx="1">
                  <c:v>233.91</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223.96</c:v>
                </c:pt>
                <c:pt idx="1">
                  <c:v>223.96</c:v>
                </c:pt>
              </c:numCache>
            </c:numRef>
          </c:val>
        </c:ser>
        <c:dLbls>
          <c:showLegendKey val="0"/>
          <c:showVal val="1"/>
          <c:showCatName val="0"/>
          <c:showSerName val="0"/>
          <c:showPercent val="0"/>
          <c:showBubbleSize val="0"/>
        </c:dLbls>
        <c:gapWidth val="219"/>
        <c:overlap val="-27"/>
        <c:axId val="224544256"/>
        <c:axId val="224545408"/>
      </c:barChart>
      <c:catAx>
        <c:axId val="22454425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545408"/>
        <c:crosses val="autoZero"/>
        <c:auto val="1"/>
        <c:lblAlgn val="ctr"/>
        <c:lblOffset val="100"/>
        <c:noMultiLvlLbl val="0"/>
      </c:catAx>
      <c:valAx>
        <c:axId val="2245454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5442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1578f4-7762-4846-b69c-1db9e73a740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rPr lang="en-US" altLang="zh-CN"/>
              <a:t>2025</a:t>
            </a:r>
            <a:r>
              <a:rPr lang="zh-CN" altLang="en-US"/>
              <a:t>年收入结构图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scene3d>
              <a:camera prst="orthographicFront"/>
              <a:lightRig rig="threePt" dir="t"/>
            </a:scene3d>
            <a:sp3d contourW="9525"/>
          </c:spPr>
          <c:explosion val="25"/>
          <c:dPt>
            <c:idx val="0"/>
            <c:bubble3D val="0"/>
            <c:spPr>
              <a:solidFill>
                <a:schemeClr val="accent1"/>
              </a:solidFill>
              <a:ln>
                <a:noFill/>
              </a:ln>
              <a:effectLst>
                <a:outerShdw blurRad="88900" sx="102000" sy="102000" algn="ctr"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223.96</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595f28-c8ef-470e-953b-f6dad51b92df}"/>
      </c:ext>
    </c:extLst>
  </c:chart>
  <c:spPr>
    <a:pattFill prst="dkDnDiag">
      <a:fgClr>
        <a:schemeClr val="lt1">
          <a:lumMod val="95000"/>
        </a:schemeClr>
      </a:fgClr>
      <a:bgClr>
        <a:schemeClr val="lt1"/>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223.96</a:t>
                    </a:r>
                    <a:r>
                      <a:rPr lang="zh-CN" altLang="en-US"/>
                      <a:t>万元</a:t>
                    </a:r>
                    <a:r>
                      <a:rPr lang="en-US" altLang="en-US"/>
                      <a:t>, 100%</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223.96</c:v>
                </c:pt>
                <c:pt idx="1">
                  <c:v>0</c:v>
                </c:pt>
              </c:numCache>
            </c:numRef>
          </c:val>
        </c:ser>
        <c:dLbls>
          <c:showLegendKey val="0"/>
          <c:showVal val="0"/>
          <c:showCatName val="0"/>
          <c:showSerName val="0"/>
          <c:showPercent val="1"/>
          <c:showBubbleSize val="0"/>
          <c:showLeaderLines val="1"/>
        </c:dLbls>
        <c:firstSliceAng val="71"/>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9943cdc5-fc1f-424f-89b4-1aa128098ff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233.91</c:v>
                </c:pt>
                <c:pt idx="1">
                  <c:v>223.96</c:v>
                </c:pt>
              </c:numCache>
            </c:numRef>
          </c:val>
        </c:ser>
        <c:dLbls>
          <c:showLegendKey val="0"/>
          <c:showVal val="1"/>
          <c:showCatName val="0"/>
          <c:showSerName val="0"/>
          <c:showPercent val="0"/>
          <c:showBubbleSize val="0"/>
        </c:dLbls>
        <c:gapWidth val="199"/>
        <c:axId val="308948352"/>
        <c:axId val="309090560"/>
      </c:barChart>
      <c:catAx>
        <c:axId val="3089483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309090560"/>
        <c:crosses val="autoZero"/>
        <c:auto val="1"/>
        <c:lblAlgn val="ctr"/>
        <c:lblOffset val="100"/>
        <c:noMultiLvlLbl val="0"/>
      </c:catAx>
      <c:valAx>
        <c:axId val="309090560"/>
        <c:scaling>
          <c:orientation val="minMax"/>
        </c:scaling>
        <c:delete val="0"/>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894835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37ca1b3-e1ca-4bb8-8094-401c8842db7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cap="all" spc="50" baseline="0">
                <a:solidFill>
                  <a:schemeClr val="tx1">
                    <a:lumMod val="65000"/>
                    <a:lumOff val="3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en-US" altLang="zh-CN" sz="12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2024</a:t>
            </a:r>
            <a:r>
              <a:rPr lang="zh-CN" altLang="en-US" sz="12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年、</a:t>
            </a:r>
            <a:r>
              <a:rPr lang="en-US" altLang="zh-CN" sz="12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2025</a:t>
            </a:r>
            <a:r>
              <a:rPr lang="zh-CN" altLang="en-US" sz="12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年一般公共预算财政拨款支出（万元）</a:t>
            </a:r>
            <a:endParaRPr lang="zh-CN" altLang="en-US" sz="12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233.91</c:v>
                </c:pt>
                <c:pt idx="1">
                  <c:v>223.96</c:v>
                </c:pt>
              </c:numCache>
            </c:numRef>
          </c:val>
        </c:ser>
        <c:dLbls>
          <c:showLegendKey val="0"/>
          <c:showVal val="1"/>
          <c:showCatName val="0"/>
          <c:showSerName val="0"/>
          <c:showPercent val="0"/>
          <c:showBubbleSize val="0"/>
        </c:dLbls>
        <c:gapWidth val="355"/>
        <c:overlap val="-70"/>
        <c:axId val="309101696"/>
        <c:axId val="309112832"/>
      </c:barChart>
      <c:catAx>
        <c:axId val="30910169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112832"/>
        <c:crosses val="autoZero"/>
        <c:auto val="1"/>
        <c:lblAlgn val="ctr"/>
        <c:lblOffset val="100"/>
        <c:noMultiLvlLbl val="0"/>
      </c:catAx>
      <c:valAx>
        <c:axId val="30911283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101696"/>
        <c:crosses val="autoZero"/>
        <c:crossBetween val="between"/>
      </c:valAx>
      <c:spPr>
        <a:noFill/>
        <a:ln>
          <a:noFill/>
        </a:ln>
        <a:effectLst/>
      </c:spPr>
    </c:plotArea>
    <c:plotVisOnly val="1"/>
    <c:dispBlanksAs val="gap"/>
    <c:showDLblsOverMax val="0"/>
    <c:extLst>
      <c:ext uri="{0b15fc19-7d7d-44ad-8c2d-2c3a37ce22c3}">
        <chartProps xmlns="https://web.wps.cn/et/2018/main" chartId="{4860bc6b-8725-4b28-8e53-8e903b2b2b25}"/>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depthPercent val="100"/>
      <c:rAngAx val="0"/>
      <c:perspective val="30"/>
    </c:view3D>
    <c:floor>
      <c:thickness val="0"/>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销售额</c:v>
                </c:pt>
              </c:strCache>
            </c:strRef>
          </c:tx>
          <c:explosion val="25"/>
          <c:dPt>
            <c:idx val="0"/>
            <c:bubble3D val="0"/>
          </c:dPt>
          <c:dPt>
            <c:idx val="1"/>
            <c:bubble3D val="0"/>
          </c:dPt>
          <c:dPt>
            <c:idx val="2"/>
            <c:bubble3D val="0"/>
          </c:dPt>
          <c:dPt>
            <c:idx val="3"/>
            <c:bubble3D val="0"/>
          </c:dPt>
          <c:dPt>
            <c:idx val="4"/>
            <c:bubble3D val="0"/>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节能环保支出</c:v>
                </c:pt>
                <c:pt idx="4">
                  <c:v>住房保障支出</c:v>
                </c:pt>
              </c:strCache>
            </c:strRef>
          </c:cat>
          <c:val>
            <c:numRef>
              <c:f>Sheet1!$B$2:$B$6</c:f>
              <c:numCache>
                <c:formatCode>General</c:formatCode>
                <c:ptCount val="5"/>
                <c:pt idx="0">
                  <c:v>0.48</c:v>
                </c:pt>
                <c:pt idx="1">
                  <c:v>25.87</c:v>
                </c:pt>
                <c:pt idx="2">
                  <c:v>14.9</c:v>
                </c:pt>
                <c:pt idx="3">
                  <c:v>162.2</c:v>
                </c:pt>
                <c:pt idx="4">
                  <c:v>20.51</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a033869a-3687-430a-9ba0-ed345ffef5e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“三公”经费财政拨款支出</a:t>
            </a:r>
            <a:endParaRPr lang="zh-CN" altLang="en-US"/>
          </a:p>
        </c:rich>
      </c:tx>
      <c:layout/>
      <c:overlay val="0"/>
    </c:title>
    <c:autoTitleDeleted val="0"/>
    <c:plotArea>
      <c:layout/>
      <c:pieChart>
        <c:varyColors val="1"/>
        <c:ser>
          <c:idx val="0"/>
          <c:order val="0"/>
          <c:tx>
            <c:strRef>
              <c:f>Sheet1!$B$1</c:f>
              <c:strCache>
                <c:ptCount val="1"/>
                <c:pt idx="0">
                  <c:v>销售额</c:v>
                </c:pt>
              </c:strCache>
            </c:strRef>
          </c:tx>
          <c:spPr>
            <a:scene3d>
              <a:camera prst="orthographicFront"/>
              <a:lightRig rig="threePt" dir="t"/>
            </a:scene3d>
            <a:sp3d contourW="9525"/>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因公出国（境）费用</c:v>
                </c:pt>
                <c:pt idx="1">
                  <c:v>公务用车购置及运行维护费</c:v>
                </c:pt>
                <c:pt idx="2">
                  <c:v>公务接待费</c:v>
                </c:pt>
              </c:strCache>
            </c:strRef>
          </c:cat>
          <c:val>
            <c:numRef>
              <c:f>Sheet1!$B$2:$B$4</c:f>
              <c:numCache>
                <c:formatCode>General</c:formatCode>
                <c:ptCount val="3"/>
                <c:pt idx="0">
                  <c:v>0</c:v>
                </c:pt>
                <c:pt idx="1">
                  <c:v>0</c:v>
                </c:pt>
                <c:pt idx="2">
                  <c:v>0.72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c415bd2f-ed01-421a-ab92-be88cbe7a48f}"/>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1222</Words>
  <Characters>6972</Characters>
  <Lines>58</Lines>
  <Paragraphs>16</Paragraphs>
  <TotalTime>2</TotalTime>
  <ScaleCrop>false</ScaleCrop>
  <LinksUpToDate>false</LinksUpToDate>
  <CharactersWithSpaces>8178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2020-08-12T01:49:00Z</dcterms:created>
  <dc:creator>曹颖</dc:creator>
  <cp:lastModifiedBy>user</cp:lastModifiedBy>
  <cp:lastPrinted>2025-08-09T09:34:00Z</cp:lastPrinted>
  <dcterms:modified xsi:type="dcterms:W3CDTF">2026-09-11T09:41:55Z</dcterms:modified>
  <dc:title>四川省***</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04787F2533EB45DC91BCDE4AB213247F</vt:lpwstr>
  </property>
</Properties>
</file>