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9ABF3B">
      <w:pPr>
        <w:jc w:val="center"/>
        <w:rPr>
          <w:rFonts w:hint="eastAsia" w:ascii="黑体" w:eastAsia="黑体"/>
          <w:b w:val="0"/>
          <w:bCs w:val="0"/>
          <w:sz w:val="32"/>
          <w:szCs w:val="32"/>
          <w:lang w:val="en-US" w:eastAsia="zh-CN"/>
        </w:rPr>
      </w:pPr>
      <w:r>
        <w:rPr>
          <w:rFonts w:hint="eastAsia" w:ascii="黑体" w:eastAsia="黑体"/>
          <w:b w:val="0"/>
          <w:bCs w:val="0"/>
          <w:sz w:val="44"/>
          <w:szCs w:val="44"/>
          <w:lang w:val="en-US" w:eastAsia="zh-CN"/>
        </w:rPr>
        <w:t>关于对攀枝花洋硕新能源科技有限公司行政处罚的公示</w:t>
      </w:r>
    </w:p>
    <w:p w14:paraId="6B13BD37">
      <w:pPr>
        <w:rPr>
          <w:rFonts w:hint="eastAsia" w:ascii="黑体" w:eastAsia="黑体"/>
          <w:b w:val="0"/>
          <w:bCs w:val="0"/>
          <w:sz w:val="32"/>
          <w:szCs w:val="32"/>
          <w:lang w:val="en-US" w:eastAsia="zh-CN"/>
        </w:rPr>
      </w:pPr>
    </w:p>
    <w:p w14:paraId="728703FE">
      <w:pPr>
        <w:rPr>
          <w:rFonts w:hint="eastAsia" w:ascii="黑体" w:eastAsia="黑体"/>
          <w:b w:val="0"/>
          <w:bCs w:val="0"/>
          <w:sz w:val="32"/>
          <w:szCs w:val="32"/>
          <w:lang w:val="en-US" w:eastAsia="zh-CN"/>
        </w:rPr>
      </w:pPr>
      <w:r>
        <w:rPr>
          <w:rFonts w:hint="eastAsia" w:ascii="黑体" w:eastAsia="黑体"/>
          <w:b w:val="0"/>
          <w:bCs w:val="0"/>
          <w:sz w:val="32"/>
          <w:szCs w:val="32"/>
          <w:lang w:val="en-US" w:eastAsia="zh-CN"/>
        </w:rPr>
        <w:t>处罚对象：攀枝花洋硕新能源科技有限公司</w:t>
      </w:r>
    </w:p>
    <w:p w14:paraId="63F157BA">
      <w:pPr>
        <w:rPr>
          <w:rFonts w:hint="eastAsia" w:ascii="黑体" w:eastAsia="黑体"/>
          <w:b w:val="0"/>
          <w:bCs w:val="0"/>
          <w:sz w:val="32"/>
          <w:szCs w:val="32"/>
          <w:lang w:val="en-US" w:eastAsia="zh-CN"/>
        </w:rPr>
      </w:pPr>
      <w:r>
        <w:rPr>
          <w:rFonts w:hint="eastAsia" w:ascii="黑体" w:eastAsia="黑体"/>
          <w:b w:val="0"/>
          <w:bCs w:val="0"/>
          <w:sz w:val="32"/>
          <w:szCs w:val="32"/>
          <w:lang w:val="en-US" w:eastAsia="zh-CN"/>
        </w:rPr>
        <w:t>统一社会信用代码：91510402MAED80GA1C</w:t>
      </w:r>
    </w:p>
    <w:p w14:paraId="2D85370A">
      <w:pPr>
        <w:rPr>
          <w:rFonts w:hint="default" w:ascii="黑体" w:eastAsia="黑体"/>
          <w:b w:val="0"/>
          <w:bCs w:val="0"/>
          <w:sz w:val="32"/>
          <w:szCs w:val="32"/>
          <w:lang w:val="en-US" w:eastAsia="zh-CN"/>
        </w:rPr>
      </w:pPr>
      <w:r>
        <w:rPr>
          <w:rFonts w:hint="eastAsia" w:ascii="黑体" w:eastAsia="黑体"/>
          <w:b w:val="0"/>
          <w:bCs w:val="0"/>
          <w:sz w:val="32"/>
          <w:szCs w:val="32"/>
          <w:lang w:val="en-US" w:eastAsia="zh-CN"/>
        </w:rPr>
        <w:t>法定代表人：关晶月</w:t>
      </w:r>
    </w:p>
    <w:p w14:paraId="1041DDD9">
      <w:pPr>
        <w:rPr>
          <w:rFonts w:hint="eastAsia" w:ascii="黑体" w:eastAsia="黑体"/>
          <w:b w:val="0"/>
          <w:bCs w:val="0"/>
          <w:sz w:val="32"/>
          <w:szCs w:val="32"/>
          <w:lang w:val="en-US" w:eastAsia="zh-CN"/>
        </w:rPr>
      </w:pPr>
      <w:r>
        <w:rPr>
          <w:rFonts w:hint="eastAsia" w:ascii="黑体" w:eastAsia="黑体"/>
          <w:b w:val="0"/>
          <w:bCs w:val="0"/>
          <w:sz w:val="32"/>
          <w:szCs w:val="32"/>
          <w:lang w:val="en-US" w:eastAsia="zh-CN"/>
        </w:rPr>
        <w:t>处罚文号：川04生环处〔2026〕24号</w:t>
      </w:r>
    </w:p>
    <w:p w14:paraId="20FF8D04">
      <w:pPr>
        <w:rPr>
          <w:rFonts w:hint="eastAsia" w:ascii="黑体" w:eastAsia="黑体"/>
          <w:b w:val="0"/>
          <w:bCs w:val="0"/>
          <w:sz w:val="32"/>
          <w:szCs w:val="32"/>
          <w:lang w:val="en-US" w:eastAsia="zh-CN"/>
        </w:rPr>
      </w:pPr>
      <w:r>
        <w:rPr>
          <w:rFonts w:hint="eastAsia" w:ascii="黑体" w:eastAsia="黑体"/>
          <w:b w:val="0"/>
          <w:bCs w:val="0"/>
          <w:sz w:val="32"/>
          <w:szCs w:val="32"/>
          <w:lang w:val="en-US" w:eastAsia="zh-CN"/>
        </w:rPr>
        <w:t>违法行为：</w:t>
      </w:r>
    </w:p>
    <w:p w14:paraId="17FAD287">
      <w:pPr>
        <w:numPr>
          <w:ilvl w:val="0"/>
          <w:numId w:val="1"/>
        </w:numPr>
        <w:ind w:firstLine="640" w:firstLineChars="200"/>
        <w:rPr>
          <w:rFonts w:hint="eastAsia" w:ascii="黑体" w:eastAsia="黑体"/>
          <w:b w:val="0"/>
          <w:bCs w:val="0"/>
          <w:sz w:val="32"/>
          <w:szCs w:val="32"/>
          <w:lang w:val="en-US" w:eastAsia="zh-CN"/>
        </w:rPr>
      </w:pPr>
      <w:r>
        <w:rPr>
          <w:rFonts w:hint="eastAsia" w:ascii="黑体" w:eastAsia="黑体"/>
          <w:b w:val="0"/>
          <w:bCs w:val="0"/>
          <w:sz w:val="32"/>
          <w:szCs w:val="32"/>
          <w:lang w:val="en-US" w:eastAsia="zh-CN"/>
        </w:rPr>
        <w:t>未将大气污染物在线监测设备与生态环境主管部门的监控设备联网；</w:t>
      </w:r>
    </w:p>
    <w:p w14:paraId="4C31BBF4">
      <w:pPr>
        <w:numPr>
          <w:ilvl w:val="0"/>
          <w:numId w:val="1"/>
        </w:numPr>
        <w:ind w:left="0" w:leftChars="0" w:firstLine="640" w:firstLineChars="200"/>
        <w:rPr>
          <w:rFonts w:hint="eastAsia" w:ascii="黑体" w:eastAsia="黑体"/>
          <w:b w:val="0"/>
          <w:bCs w:val="0"/>
          <w:sz w:val="32"/>
          <w:szCs w:val="32"/>
          <w:lang w:val="en-US" w:eastAsia="zh-CN"/>
        </w:rPr>
      </w:pPr>
      <w:r>
        <w:rPr>
          <w:rFonts w:hint="eastAsia" w:ascii="黑体" w:eastAsia="黑体"/>
          <w:b w:val="0"/>
          <w:bCs w:val="0"/>
          <w:sz w:val="32"/>
          <w:szCs w:val="32"/>
          <w:lang w:val="en-US" w:eastAsia="zh-CN"/>
        </w:rPr>
        <w:t>未加强环保设施精细化管控造成其石墨化工序烟气和辅料筛分烟尘散排；</w:t>
      </w:r>
    </w:p>
    <w:p w14:paraId="2B31C2F4">
      <w:pPr>
        <w:ind w:firstLine="640" w:firstLineChars="200"/>
        <w:rPr>
          <w:rFonts w:hint="default" w:ascii="黑体" w:eastAsia="黑体"/>
          <w:b w:val="0"/>
          <w:bCs w:val="0"/>
          <w:sz w:val="32"/>
          <w:szCs w:val="32"/>
          <w:lang w:val="en-US" w:eastAsia="zh-CN"/>
        </w:rPr>
      </w:pPr>
      <w:r>
        <w:rPr>
          <w:rFonts w:hint="eastAsia" w:ascii="黑体" w:eastAsia="黑体"/>
          <w:b w:val="0"/>
          <w:bCs w:val="0"/>
          <w:sz w:val="32"/>
          <w:szCs w:val="32"/>
          <w:lang w:val="en-US" w:eastAsia="zh-CN"/>
        </w:rPr>
        <w:t>上述两起环境违法行为分别违反了《中华人民共和国大气污染防治法》第二十四条第一款、第四十八条第一款之规定；</w:t>
      </w:r>
    </w:p>
    <w:p w14:paraId="03B0A401">
      <w:pPr>
        <w:rPr>
          <w:rFonts w:hint="eastAsia" w:ascii="黑体" w:eastAsia="黑体"/>
          <w:b w:val="0"/>
          <w:bCs w:val="0"/>
          <w:sz w:val="32"/>
          <w:szCs w:val="32"/>
          <w:lang w:val="en-US" w:eastAsia="zh-CN"/>
        </w:rPr>
      </w:pPr>
      <w:r>
        <w:rPr>
          <w:rFonts w:hint="eastAsia" w:ascii="黑体" w:eastAsia="黑体"/>
          <w:b w:val="0"/>
          <w:bCs w:val="0"/>
          <w:sz w:val="32"/>
          <w:szCs w:val="32"/>
          <w:lang w:val="en-US" w:eastAsia="zh-CN"/>
        </w:rPr>
        <w:t>处罚依据：</w:t>
      </w:r>
    </w:p>
    <w:p w14:paraId="56120B11">
      <w:pPr>
        <w:ind w:firstLine="640" w:firstLineChars="200"/>
        <w:rPr>
          <w:rFonts w:hint="default" w:ascii="黑体" w:eastAsia="黑体"/>
          <w:b w:val="0"/>
          <w:bCs w:val="0"/>
          <w:sz w:val="32"/>
          <w:szCs w:val="32"/>
          <w:lang w:val="en-US" w:eastAsia="zh-CN"/>
        </w:rPr>
      </w:pPr>
      <w:r>
        <w:rPr>
          <w:rFonts w:hint="eastAsia" w:ascii="黑体" w:eastAsia="黑体"/>
          <w:b w:val="0"/>
          <w:bCs w:val="0"/>
          <w:sz w:val="32"/>
          <w:szCs w:val="32"/>
          <w:lang w:val="en-US" w:eastAsia="zh-CN"/>
        </w:rPr>
        <w:t>《中华人民共和国大气污染防治法》第一百条第三项、第一百零八条第五项之规定；</w:t>
      </w:r>
    </w:p>
    <w:p w14:paraId="2CFD5280">
      <w:pPr>
        <w:rPr>
          <w:rFonts w:hint="eastAsia" w:ascii="黑体" w:eastAsia="黑体"/>
          <w:b w:val="0"/>
          <w:bCs w:val="0"/>
          <w:sz w:val="32"/>
          <w:szCs w:val="32"/>
          <w:lang w:val="en-US" w:eastAsia="zh-CN"/>
        </w:rPr>
      </w:pPr>
      <w:r>
        <w:rPr>
          <w:rFonts w:hint="eastAsia" w:ascii="黑体" w:eastAsia="黑体"/>
          <w:b w:val="0"/>
          <w:bCs w:val="0"/>
          <w:sz w:val="32"/>
          <w:szCs w:val="32"/>
          <w:lang w:val="en-US" w:eastAsia="zh-CN"/>
        </w:rPr>
        <w:t>处罚金额：分别裁决为处以罚款人民币70600元</w:t>
      </w:r>
      <w:r>
        <w:rPr>
          <w:rFonts w:hint="default" w:ascii="黑体" w:eastAsia="黑体"/>
          <w:b w:val="0"/>
          <w:bCs w:val="0"/>
          <w:sz w:val="32"/>
          <w:szCs w:val="32"/>
          <w:lang w:val="en-US" w:eastAsia="zh-CN"/>
        </w:rPr>
        <w:t>（</w:t>
      </w:r>
      <w:r>
        <w:rPr>
          <w:rFonts w:hint="eastAsia" w:ascii="黑体" w:eastAsia="黑体"/>
          <w:b w:val="0"/>
          <w:bCs w:val="0"/>
          <w:sz w:val="32"/>
          <w:szCs w:val="32"/>
          <w:lang w:val="en-US" w:eastAsia="zh-CN"/>
        </w:rPr>
        <w:t>大写：</w:t>
      </w:r>
      <w:r>
        <w:rPr>
          <w:rFonts w:hint="default" w:ascii="黑体" w:eastAsia="黑体"/>
          <w:b w:val="0"/>
          <w:bCs w:val="0"/>
          <w:sz w:val="32"/>
          <w:szCs w:val="32"/>
          <w:lang w:val="en-US" w:eastAsia="zh-CN"/>
        </w:rPr>
        <w:t>柒万零陆佰元整）</w:t>
      </w:r>
      <w:r>
        <w:rPr>
          <w:rFonts w:hint="eastAsia" w:ascii="黑体" w:eastAsia="黑体"/>
          <w:b w:val="0"/>
          <w:bCs w:val="0"/>
          <w:sz w:val="32"/>
          <w:szCs w:val="32"/>
          <w:lang w:val="en-US" w:eastAsia="zh-CN"/>
        </w:rPr>
        <w:t>、处以罚款人民币20000元（大写：贰万元</w:t>
      </w:r>
      <w:r>
        <w:rPr>
          <w:rFonts w:hint="default" w:ascii="黑体" w:eastAsia="黑体"/>
          <w:b w:val="0"/>
          <w:bCs w:val="0"/>
          <w:sz w:val="32"/>
          <w:szCs w:val="32"/>
          <w:lang w:val="en-US" w:eastAsia="zh-CN"/>
        </w:rPr>
        <w:t>整</w:t>
      </w:r>
      <w:r>
        <w:rPr>
          <w:rFonts w:hint="eastAsia" w:ascii="黑体" w:eastAsia="黑体"/>
          <w:b w:val="0"/>
          <w:bCs w:val="0"/>
          <w:sz w:val="32"/>
          <w:szCs w:val="32"/>
          <w:lang w:val="en-US" w:eastAsia="zh-CN"/>
        </w:rPr>
        <w:t>），合并处以罚款人民币90600元（大写：玖万零</w:t>
      </w:r>
      <w:r>
        <w:rPr>
          <w:rFonts w:hint="default" w:ascii="黑体" w:eastAsia="黑体"/>
          <w:b w:val="0"/>
          <w:bCs w:val="0"/>
          <w:sz w:val="32"/>
          <w:szCs w:val="32"/>
          <w:lang w:val="en-US" w:eastAsia="zh-CN"/>
        </w:rPr>
        <w:t>陆佰元整</w:t>
      </w:r>
      <w:r>
        <w:rPr>
          <w:rFonts w:hint="eastAsia" w:ascii="黑体" w:eastAsia="黑体"/>
          <w:b w:val="0"/>
          <w:bCs w:val="0"/>
          <w:sz w:val="32"/>
          <w:szCs w:val="32"/>
          <w:lang w:val="en-US" w:eastAsia="zh-CN"/>
        </w:rPr>
        <w:t>）。</w:t>
      </w:r>
    </w:p>
    <w:p w14:paraId="181B6688">
      <w:pPr>
        <w:rPr>
          <w:rFonts w:hint="eastAsia" w:ascii="黑体" w:eastAsia="黑体"/>
          <w:b w:val="0"/>
          <w:bCs w:val="0"/>
          <w:color w:val="auto"/>
          <w:sz w:val="32"/>
          <w:szCs w:val="32"/>
          <w:lang w:val="en-US" w:eastAsia="zh-CN"/>
        </w:rPr>
      </w:pPr>
      <w:r>
        <w:rPr>
          <w:rFonts w:hint="eastAsia" w:ascii="黑体" w:eastAsia="黑体"/>
          <w:b w:val="0"/>
          <w:bCs w:val="0"/>
          <w:sz w:val="32"/>
          <w:szCs w:val="32"/>
          <w:lang w:val="en-US" w:eastAsia="zh-CN"/>
        </w:rPr>
        <w:t>下达处罚决定时间：2026年10月15</w:t>
      </w:r>
      <w:r>
        <w:rPr>
          <w:rFonts w:hint="eastAsia" w:ascii="黑体" w:eastAsia="黑体"/>
          <w:b w:val="0"/>
          <w:bCs w:val="0"/>
          <w:color w:val="auto"/>
          <w:sz w:val="32"/>
          <w:szCs w:val="32"/>
          <w:lang w:val="en-US" w:eastAsia="zh-CN"/>
        </w:rPr>
        <w:t>日</w:t>
      </w:r>
    </w:p>
    <w:p w14:paraId="5DBC4C2A">
      <w:pPr>
        <w:rPr>
          <w:rFonts w:hint="default" w:ascii="黑体" w:eastAsia="黑体"/>
          <w:b w:val="0"/>
          <w:bCs w:val="0"/>
          <w:color w:val="auto"/>
          <w:sz w:val="32"/>
          <w:szCs w:val="32"/>
          <w:lang w:val="en-US" w:eastAsia="zh-CN"/>
        </w:rPr>
      </w:pPr>
      <w:r>
        <w:rPr>
          <w:rFonts w:hint="eastAsia" w:ascii="黑体" w:eastAsia="黑体"/>
          <w:b w:val="0"/>
          <w:bCs w:val="0"/>
          <w:color w:val="auto"/>
          <w:sz w:val="32"/>
          <w:szCs w:val="32"/>
          <w:lang w:val="en-US" w:eastAsia="zh-CN"/>
        </w:rPr>
        <w:t>公开截止日期：自2026年10月16日起至2027年1</w:t>
      </w:r>
      <w:bookmarkStart w:id="0" w:name="_GoBack"/>
      <w:bookmarkEnd w:id="0"/>
      <w:r>
        <w:rPr>
          <w:rFonts w:hint="eastAsia" w:ascii="黑体" w:eastAsia="黑体"/>
          <w:b w:val="0"/>
          <w:bCs w:val="0"/>
          <w:color w:val="auto"/>
          <w:sz w:val="32"/>
          <w:szCs w:val="32"/>
          <w:lang w:val="en-US" w:eastAsia="zh-CN"/>
        </w:rPr>
        <w:t>月15日止</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981DBC"/>
    <w:multiLevelType w:val="singleLevel"/>
    <w:tmpl w:val="96981DBC"/>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76149F"/>
    <w:rsid w:val="0C6C7B0E"/>
    <w:rsid w:val="1276149F"/>
    <w:rsid w:val="18A82588"/>
    <w:rsid w:val="251D62FD"/>
    <w:rsid w:val="3E44793E"/>
    <w:rsid w:val="420F1F19"/>
    <w:rsid w:val="55652152"/>
    <w:rsid w:val="5A47057B"/>
    <w:rsid w:val="69D0338A"/>
    <w:rsid w:val="745520C9"/>
    <w:rsid w:val="77170059"/>
    <w:rsid w:val="7BCA71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319</Words>
  <Characters>358</Characters>
  <Lines>0</Lines>
  <Paragraphs>0</Paragraphs>
  <TotalTime>1</TotalTime>
  <ScaleCrop>false</ScaleCrop>
  <LinksUpToDate>false</LinksUpToDate>
  <CharactersWithSpaces>358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2026-01-07T09:54:00Z</dcterms:created>
  <dc:creator>熊毅</dc:creator>
  <cp:lastModifiedBy>熊毅</cp:lastModifiedBy>
  <dcterms:modified xsi:type="dcterms:W3CDTF">2026-10-16T03:29:32Z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0DF68442EF82467595076883150645B8_11</vt:lpwstr>
  </property>
  <property fmtid="{D5CDD505-2E9C-101B-9397-08002B2CF9AE}" pid="4" name="KSOTemplateDocerSaveRecord">
    <vt:lpwstr>eyJoZGlkIjoiMzEwNTM5NzYwMDRjMzkwZTVkZjY2ODkwMGIxNGU0OTUiLCJ1c2VySWQiOiIxMzI4NjA3NzEwIn0=</vt:lpwstr>
  </property>
</Properties>
</file>